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5A351" w14:textId="10999CEB" w:rsidR="000B5D7E" w:rsidRPr="00667BED" w:rsidRDefault="0099215A" w:rsidP="0099215A">
      <w:pPr>
        <w:pStyle w:val="Title"/>
        <w:jc w:val="center"/>
        <w:rPr>
          <w:color w:val="1F497D" w:themeColor="text2"/>
        </w:rPr>
      </w:pPr>
      <w:r w:rsidRPr="00667BED">
        <w:rPr>
          <w:color w:val="1F497D" w:themeColor="text2"/>
        </w:rPr>
        <w:t>Bank</w:t>
      </w:r>
      <w:r w:rsidR="00000000" w:rsidRPr="00667BED">
        <w:rPr>
          <w:color w:val="1F497D" w:themeColor="text2"/>
        </w:rPr>
        <w:t xml:space="preserve"> Churn Dashboard Report</w:t>
      </w:r>
    </w:p>
    <w:p w14:paraId="49A711F3" w14:textId="77777777" w:rsidR="000B5D7E" w:rsidRPr="0099215A" w:rsidRDefault="00000000">
      <w:pPr>
        <w:pStyle w:val="Heading1"/>
        <w:rPr>
          <w:color w:val="1F497D" w:themeColor="text2"/>
        </w:rPr>
      </w:pPr>
      <w:r w:rsidRPr="0099215A">
        <w:rPr>
          <w:color w:val="1F497D" w:themeColor="text2"/>
        </w:rPr>
        <w:t>1. Overview</w:t>
      </w:r>
    </w:p>
    <w:p w14:paraId="2968619C" w14:textId="77777777" w:rsidR="000B5D7E" w:rsidRPr="00667BED" w:rsidRDefault="00000000">
      <w:pPr>
        <w:rPr>
          <w:rFonts w:ascii="Cambria Math" w:hAnsi="Cambria Math"/>
        </w:rPr>
      </w:pPr>
      <w:r w:rsidRPr="00667BED">
        <w:rPr>
          <w:rFonts w:ascii="Cambria Math" w:hAnsi="Cambria Math"/>
        </w:rPr>
        <w:t>This Power BI dashboard presents an in-depth analysis of customer churn for a banking institution. The primary aim is to identify patterns and risk factors associated with customer attrition to inform strategic decisions for improving retention.</w:t>
      </w:r>
    </w:p>
    <w:p w14:paraId="24755858" w14:textId="77777777" w:rsidR="000B5D7E" w:rsidRPr="0099215A" w:rsidRDefault="00000000">
      <w:pPr>
        <w:pStyle w:val="Heading1"/>
        <w:rPr>
          <w:color w:val="1F497D" w:themeColor="text2"/>
        </w:rPr>
      </w:pPr>
      <w:r w:rsidRPr="0099215A">
        <w:rPr>
          <w:color w:val="1F497D" w:themeColor="text2"/>
        </w:rPr>
        <w:t>2. Key Metrics</w:t>
      </w:r>
    </w:p>
    <w:p w14:paraId="44CAE410" w14:textId="77777777" w:rsidR="000B5D7E" w:rsidRPr="00667BED" w:rsidRDefault="00000000">
      <w:pPr>
        <w:pStyle w:val="ListBullet"/>
        <w:rPr>
          <w:rFonts w:ascii="Cambria Math" w:hAnsi="Cambria Math"/>
        </w:rPr>
      </w:pPr>
      <w:r w:rsidRPr="00667BED">
        <w:rPr>
          <w:rFonts w:ascii="Cambria Math" w:hAnsi="Cambria Math"/>
        </w:rPr>
        <w:t>Total Customers: 10,000</w:t>
      </w:r>
    </w:p>
    <w:p w14:paraId="369C0737" w14:textId="77777777" w:rsidR="000B5D7E" w:rsidRPr="00667BED" w:rsidRDefault="00000000">
      <w:pPr>
        <w:pStyle w:val="ListBullet"/>
        <w:rPr>
          <w:rFonts w:ascii="Cambria Math" w:hAnsi="Cambria Math"/>
        </w:rPr>
      </w:pPr>
      <w:r w:rsidRPr="00667BED">
        <w:rPr>
          <w:rFonts w:ascii="Cambria Math" w:hAnsi="Cambria Math"/>
        </w:rPr>
        <w:t>Churned Customers: 2,037</w:t>
      </w:r>
    </w:p>
    <w:p w14:paraId="1ACD94CF" w14:textId="77777777" w:rsidR="000B5D7E" w:rsidRPr="00667BED" w:rsidRDefault="00000000">
      <w:pPr>
        <w:pStyle w:val="ListBullet"/>
        <w:rPr>
          <w:rFonts w:ascii="Cambria Math" w:hAnsi="Cambria Math"/>
        </w:rPr>
      </w:pPr>
      <w:r w:rsidRPr="00667BED">
        <w:rPr>
          <w:rFonts w:ascii="Cambria Math" w:hAnsi="Cambria Math"/>
        </w:rPr>
        <w:t>Churn Rate: 20.4%</w:t>
      </w:r>
    </w:p>
    <w:p w14:paraId="5BD29C25" w14:textId="4B5A57D9" w:rsidR="000B5D7E" w:rsidRPr="00667BED" w:rsidRDefault="00000000">
      <w:pPr>
        <w:pStyle w:val="ListBullet"/>
        <w:rPr>
          <w:rFonts w:ascii="Cambria Math" w:hAnsi="Cambria Math"/>
        </w:rPr>
      </w:pPr>
      <w:r w:rsidRPr="00667BED">
        <w:rPr>
          <w:rFonts w:ascii="Cambria Math" w:hAnsi="Cambria Math"/>
        </w:rPr>
        <w:t>Active Customers: 7,963</w:t>
      </w:r>
    </w:p>
    <w:p w14:paraId="25BCE3C9" w14:textId="77777777" w:rsidR="000B5D7E" w:rsidRPr="0099215A" w:rsidRDefault="00000000">
      <w:pPr>
        <w:pStyle w:val="Heading1"/>
        <w:rPr>
          <w:color w:val="1F497D" w:themeColor="text2"/>
        </w:rPr>
      </w:pPr>
      <w:r w:rsidRPr="0099215A">
        <w:rPr>
          <w:color w:val="1F497D" w:themeColor="text2"/>
        </w:rPr>
        <w:t>3. Churn Analysis by Segments</w:t>
      </w:r>
    </w:p>
    <w:p w14:paraId="5A7B6824" w14:textId="3FC05B21" w:rsidR="000B5D7E" w:rsidRPr="0099215A" w:rsidRDefault="00000000">
      <w:pPr>
        <w:pStyle w:val="Heading2"/>
        <w:rPr>
          <w:color w:val="1F497D" w:themeColor="text2"/>
        </w:rPr>
      </w:pPr>
      <w:r>
        <w:t xml:space="preserve"> </w:t>
      </w:r>
      <w:r w:rsidRPr="0099215A">
        <w:rPr>
          <w:color w:val="1F497D" w:themeColor="text2"/>
        </w:rPr>
        <w:t>Age Brackets</w:t>
      </w:r>
    </w:p>
    <w:p w14:paraId="4B5709EA" w14:textId="77777777" w:rsidR="000B5D7E" w:rsidRPr="00667BED" w:rsidRDefault="00000000">
      <w:pPr>
        <w:rPr>
          <w:rFonts w:ascii="Cambria Math" w:hAnsi="Cambria Math"/>
        </w:rPr>
      </w:pPr>
      <w:r w:rsidRPr="00667BED">
        <w:rPr>
          <w:rFonts w:ascii="Cambria Math" w:hAnsi="Cambria Math"/>
        </w:rPr>
        <w:t>Highest churn is observed in the Pre-Retirement (3.9K) and Mid-Career (1.8K) brackets. Young Professionals and Early Adults show moderate churn numbers.</w:t>
      </w:r>
      <w:r w:rsidRPr="00667BED">
        <w:rPr>
          <w:rFonts w:ascii="Cambria Math" w:hAnsi="Cambria Math"/>
        </w:rPr>
        <w:br/>
      </w:r>
      <w:r w:rsidRPr="00667BED">
        <w:rPr>
          <w:rFonts w:ascii="Segoe UI Emoji" w:hAnsi="Segoe UI Emoji" w:cs="Segoe UI Emoji"/>
        </w:rPr>
        <w:t>📌</w:t>
      </w:r>
      <w:r w:rsidRPr="00667BED">
        <w:rPr>
          <w:rFonts w:ascii="Cambria Math" w:hAnsi="Cambria Math"/>
        </w:rPr>
        <w:t xml:space="preserve"> Insight: Customers in the 40–60 age range may be more prone to churn, potentially due to financial planning changes or service dissatisfaction.</w:t>
      </w:r>
    </w:p>
    <w:p w14:paraId="652431DE" w14:textId="66FFFE41" w:rsidR="000B5D7E" w:rsidRPr="0099215A" w:rsidRDefault="00000000">
      <w:pPr>
        <w:pStyle w:val="Heading2"/>
        <w:rPr>
          <w:color w:val="1F497D" w:themeColor="text2"/>
        </w:rPr>
      </w:pPr>
      <w:r w:rsidRPr="0099215A">
        <w:rPr>
          <w:color w:val="1F497D" w:themeColor="text2"/>
        </w:rPr>
        <w:t>Credit Score Range</w:t>
      </w:r>
    </w:p>
    <w:p w14:paraId="389A0603" w14:textId="77777777" w:rsidR="000B5D7E" w:rsidRPr="00667BED" w:rsidRDefault="00000000">
      <w:pPr>
        <w:rPr>
          <w:rFonts w:ascii="Cambria Math" w:hAnsi="Cambria Math"/>
        </w:rPr>
      </w:pPr>
      <w:r w:rsidRPr="00667BED">
        <w:rPr>
          <w:rFonts w:ascii="Cambria Math" w:hAnsi="Cambria Math"/>
        </w:rPr>
        <w:t>Churn is concentrated among customers with Fair (0.7K) and Good (0.5K) scores. Very few churned customers have Excellent credit scores, indicating a possible correlation between creditworthiness and loyalty.</w:t>
      </w:r>
      <w:r w:rsidRPr="00667BED">
        <w:rPr>
          <w:rFonts w:ascii="Cambria Math" w:hAnsi="Cambria Math"/>
        </w:rPr>
        <w:br/>
      </w:r>
      <w:r w:rsidRPr="00667BED">
        <w:rPr>
          <w:rFonts w:ascii="Segoe UI Emoji" w:hAnsi="Segoe UI Emoji" w:cs="Segoe UI Emoji"/>
        </w:rPr>
        <w:t>📌</w:t>
      </w:r>
      <w:r w:rsidRPr="00667BED">
        <w:rPr>
          <w:rFonts w:ascii="Cambria Math" w:hAnsi="Cambria Math"/>
        </w:rPr>
        <w:t xml:space="preserve"> Insight: Improving support and personalization for mid-tier credit customers could reduce churn.</w:t>
      </w:r>
    </w:p>
    <w:p w14:paraId="07E57E4E" w14:textId="24EC3E55" w:rsidR="000B5D7E" w:rsidRPr="0099215A" w:rsidRDefault="00000000">
      <w:pPr>
        <w:pStyle w:val="Heading2"/>
        <w:rPr>
          <w:color w:val="1F497D" w:themeColor="text2"/>
        </w:rPr>
      </w:pPr>
      <w:r w:rsidRPr="0099215A">
        <w:rPr>
          <w:color w:val="1F497D" w:themeColor="text2"/>
        </w:rPr>
        <w:t>Product Engagement</w:t>
      </w:r>
    </w:p>
    <w:p w14:paraId="0A2B2851" w14:textId="77777777" w:rsidR="000B5D7E" w:rsidRPr="00667BED" w:rsidRDefault="00000000">
      <w:pPr>
        <w:rPr>
          <w:rFonts w:ascii="Cambria Math" w:hAnsi="Cambria Math"/>
        </w:rPr>
      </w:pPr>
      <w:r w:rsidRPr="00667BED">
        <w:rPr>
          <w:rFonts w:ascii="Cambria Math" w:hAnsi="Cambria Math"/>
        </w:rPr>
        <w:t>Single-service users represent the largest group of churned customers (5.1K). Highly engaged customers show the lowest churn (0.1K).</w:t>
      </w:r>
      <w:r w:rsidRPr="00667BED">
        <w:rPr>
          <w:rFonts w:ascii="Cambria Math" w:hAnsi="Cambria Math"/>
        </w:rPr>
        <w:br/>
      </w:r>
      <w:r w:rsidRPr="00667BED">
        <w:rPr>
          <w:rFonts w:ascii="Segoe UI Emoji" w:hAnsi="Segoe UI Emoji" w:cs="Segoe UI Emoji"/>
        </w:rPr>
        <w:t>📌</w:t>
      </w:r>
      <w:r w:rsidRPr="00667BED">
        <w:rPr>
          <w:rFonts w:ascii="Cambria Math" w:hAnsi="Cambria Math"/>
        </w:rPr>
        <w:t xml:space="preserve"> Insight: Customers using more products are less likely to churn — upselling and cross-selling could help boost retention.</w:t>
      </w:r>
    </w:p>
    <w:p w14:paraId="34B664D2" w14:textId="334C1CED" w:rsidR="000B5D7E" w:rsidRPr="0099215A" w:rsidRDefault="00000000">
      <w:pPr>
        <w:pStyle w:val="Heading2"/>
        <w:rPr>
          <w:color w:val="1F497D" w:themeColor="text2"/>
        </w:rPr>
      </w:pPr>
      <w:r w:rsidRPr="0099215A">
        <w:rPr>
          <w:color w:val="1F497D" w:themeColor="text2"/>
        </w:rPr>
        <w:t>Tenure Range</w:t>
      </w:r>
    </w:p>
    <w:p w14:paraId="5446AB5F" w14:textId="77777777" w:rsidR="000B5D7E" w:rsidRPr="00667BED" w:rsidRDefault="00000000">
      <w:pPr>
        <w:rPr>
          <w:rFonts w:ascii="Cambria Math" w:hAnsi="Cambria Math"/>
        </w:rPr>
      </w:pPr>
      <w:r w:rsidRPr="00667BED">
        <w:rPr>
          <w:rFonts w:ascii="Cambria Math" w:hAnsi="Cambria Math"/>
        </w:rPr>
        <w:t>New and Developing Relationships exhibit higher churn, while Loyal Customers show stronger retention. Even some Long-Time Customers are churning, highlighting the need for continuous engagement.</w:t>
      </w:r>
      <w:r w:rsidRPr="00667BED">
        <w:rPr>
          <w:rFonts w:ascii="Cambria Math" w:hAnsi="Cambria Math"/>
        </w:rPr>
        <w:br/>
      </w:r>
      <w:r w:rsidRPr="00667BED">
        <w:rPr>
          <w:rFonts w:ascii="Segoe UI Emoji" w:hAnsi="Segoe UI Emoji" w:cs="Segoe UI Emoji"/>
        </w:rPr>
        <w:t>📌</w:t>
      </w:r>
      <w:r w:rsidRPr="00667BED">
        <w:rPr>
          <w:rFonts w:ascii="Cambria Math" w:hAnsi="Cambria Math"/>
        </w:rPr>
        <w:t xml:space="preserve"> Insight: Early-stage relationship building is critical for long-term retention.</w:t>
      </w:r>
    </w:p>
    <w:p w14:paraId="3629489C" w14:textId="77777777" w:rsidR="000B5D7E" w:rsidRDefault="00000000">
      <w:pPr>
        <w:pStyle w:val="Heading1"/>
      </w:pPr>
      <w:r>
        <w:lastRenderedPageBreak/>
        <w:t>4. Demographic Churn Trends</w:t>
      </w:r>
    </w:p>
    <w:p w14:paraId="68D34E21" w14:textId="4E38A3DB" w:rsidR="000B5D7E" w:rsidRPr="0099215A" w:rsidRDefault="00000000">
      <w:pPr>
        <w:pStyle w:val="Heading2"/>
        <w:rPr>
          <w:color w:val="1F497D" w:themeColor="text2"/>
        </w:rPr>
      </w:pPr>
      <w:r w:rsidRPr="0099215A">
        <w:rPr>
          <w:color w:val="1F497D" w:themeColor="text2"/>
        </w:rPr>
        <w:t>Gender</w:t>
      </w:r>
    </w:p>
    <w:p w14:paraId="0D693071" w14:textId="77777777" w:rsidR="000B5D7E" w:rsidRPr="00667BED" w:rsidRDefault="00000000">
      <w:pPr>
        <w:rPr>
          <w:rFonts w:ascii="Cambria Math" w:hAnsi="Cambria Math"/>
        </w:rPr>
      </w:pPr>
      <w:r w:rsidRPr="00667BED">
        <w:rPr>
          <w:rFonts w:ascii="Cambria Math" w:hAnsi="Cambria Math"/>
        </w:rPr>
        <w:t>Females: 60.37% churn rate</w:t>
      </w:r>
      <w:r w:rsidRPr="00667BED">
        <w:rPr>
          <w:rFonts w:ascii="Cambria Math" w:hAnsi="Cambria Math"/>
        </w:rPr>
        <w:br/>
        <w:t>Males: 39.63% churn rate</w:t>
      </w:r>
      <w:r w:rsidRPr="00667BED">
        <w:rPr>
          <w:rFonts w:ascii="Cambria Math" w:hAnsi="Cambria Math"/>
        </w:rPr>
        <w:br/>
      </w:r>
      <w:r w:rsidRPr="00667BED">
        <w:rPr>
          <w:rFonts w:ascii="Segoe UI Emoji" w:hAnsi="Segoe UI Emoji" w:cs="Segoe UI Emoji"/>
        </w:rPr>
        <w:t>📌</w:t>
      </w:r>
      <w:r w:rsidRPr="00667BED">
        <w:rPr>
          <w:rFonts w:ascii="Cambria Math" w:hAnsi="Cambria Math"/>
        </w:rPr>
        <w:t xml:space="preserve"> Insight: The churn rate among female customers is notably higher — consider gender-specific experience reviews.</w:t>
      </w:r>
    </w:p>
    <w:p w14:paraId="17741A79" w14:textId="6198A9CF" w:rsidR="000B5D7E" w:rsidRPr="0099215A" w:rsidRDefault="00000000">
      <w:pPr>
        <w:pStyle w:val="Heading2"/>
        <w:rPr>
          <w:color w:val="1F497D" w:themeColor="text2"/>
        </w:rPr>
      </w:pPr>
      <w:r w:rsidRPr="0099215A">
        <w:rPr>
          <w:color w:val="1F497D" w:themeColor="text2"/>
        </w:rPr>
        <w:t>Country</w:t>
      </w:r>
    </w:p>
    <w:p w14:paraId="5C284901" w14:textId="77777777" w:rsidR="000B5D7E" w:rsidRDefault="00000000">
      <w:r>
        <w:t>Germany: Highest churn rate at 32.4%</w:t>
      </w:r>
      <w:r>
        <w:br/>
        <w:t>Spain and France: Lower churn at ~16%</w:t>
      </w:r>
      <w:r>
        <w:br/>
        <w:t>📌 Insight: Germany may require focused customer satisfaction or competitive strategy reviews.</w:t>
      </w:r>
    </w:p>
    <w:p w14:paraId="10859C49" w14:textId="5BE75C66" w:rsidR="000B5D7E" w:rsidRPr="0099215A" w:rsidRDefault="00000000">
      <w:pPr>
        <w:pStyle w:val="Heading1"/>
        <w:rPr>
          <w:color w:val="1F497D" w:themeColor="text2"/>
        </w:rPr>
      </w:pPr>
      <w:r w:rsidRPr="0099215A">
        <w:rPr>
          <w:color w:val="1F497D" w:themeColor="text2"/>
        </w:rPr>
        <w:t>Strategic Implications</w:t>
      </w:r>
    </w:p>
    <w:p w14:paraId="1C02ACB5" w14:textId="72F5E066" w:rsidR="0099215A" w:rsidRPr="00667BED" w:rsidRDefault="0099215A" w:rsidP="0099215A">
      <w:pPr>
        <w:pStyle w:val="Heading1"/>
        <w:numPr>
          <w:ilvl w:val="0"/>
          <w:numId w:val="10"/>
        </w:numPr>
        <w:spacing w:line="240" w:lineRule="auto"/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</w:pPr>
      <w:r w:rsidRPr="0099215A"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  <w:t>20.4% of customers have churned — that’s about 2,037 out of 10,000.</w:t>
      </w:r>
    </w:p>
    <w:p w14:paraId="2F17A17C" w14:textId="77777777" w:rsidR="0099215A" w:rsidRPr="0099215A" w:rsidRDefault="0099215A" w:rsidP="0099215A">
      <w:pPr>
        <w:pStyle w:val="Heading1"/>
        <w:numPr>
          <w:ilvl w:val="0"/>
          <w:numId w:val="10"/>
        </w:numPr>
        <w:spacing w:line="240" w:lineRule="auto"/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</w:pPr>
      <w:r w:rsidRPr="0099215A"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  <w:t>Older customers (40–60 years) and those with only one product are more likely to leave.</w:t>
      </w:r>
    </w:p>
    <w:p w14:paraId="389AD5EF" w14:textId="77777777" w:rsidR="0099215A" w:rsidRPr="0099215A" w:rsidRDefault="0099215A" w:rsidP="0099215A">
      <w:pPr>
        <w:pStyle w:val="Heading1"/>
        <w:numPr>
          <w:ilvl w:val="0"/>
          <w:numId w:val="10"/>
        </w:numPr>
        <w:spacing w:line="240" w:lineRule="auto"/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</w:pPr>
      <w:r w:rsidRPr="0099215A"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  <w:t>Customers with mid-level credit scores (Fair or Good) have higher churn.</w:t>
      </w:r>
    </w:p>
    <w:p w14:paraId="270DFB08" w14:textId="77777777" w:rsidR="0099215A" w:rsidRPr="0099215A" w:rsidRDefault="0099215A" w:rsidP="0099215A">
      <w:pPr>
        <w:pStyle w:val="Heading1"/>
        <w:numPr>
          <w:ilvl w:val="0"/>
          <w:numId w:val="10"/>
        </w:numPr>
        <w:spacing w:line="240" w:lineRule="auto"/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</w:pPr>
      <w:r w:rsidRPr="0099215A"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  <w:t>Germany has the highest churn rate (32.4%) — much higher than Spain or France.</w:t>
      </w:r>
    </w:p>
    <w:p w14:paraId="5E642723" w14:textId="77777777" w:rsidR="0099215A" w:rsidRPr="0099215A" w:rsidRDefault="0099215A" w:rsidP="0099215A">
      <w:pPr>
        <w:pStyle w:val="Heading1"/>
        <w:numPr>
          <w:ilvl w:val="0"/>
          <w:numId w:val="10"/>
        </w:numPr>
        <w:spacing w:line="240" w:lineRule="auto"/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</w:pPr>
      <w:r w:rsidRPr="0099215A">
        <w:rPr>
          <w:rFonts w:ascii="Cambria Math" w:hAnsi="Cambria Math"/>
          <w:b w:val="0"/>
          <w:bCs w:val="0"/>
          <w:color w:val="000000" w:themeColor="text1"/>
          <w:sz w:val="22"/>
          <w:szCs w:val="22"/>
          <w:lang w:val="en-IN"/>
        </w:rPr>
        <w:t>Female customers are churning more than males (60% vs. 40%).</w:t>
      </w:r>
    </w:p>
    <w:p w14:paraId="6FA533FD" w14:textId="77777777" w:rsidR="000B5D7E" w:rsidRPr="0099215A" w:rsidRDefault="00000000">
      <w:pPr>
        <w:pStyle w:val="Heading1"/>
        <w:rPr>
          <w:color w:val="1F497D" w:themeColor="text2"/>
        </w:rPr>
      </w:pPr>
      <w:r w:rsidRPr="0099215A">
        <w:rPr>
          <w:color w:val="1F497D" w:themeColor="text2"/>
        </w:rPr>
        <w:t>6. Recommendations</w:t>
      </w:r>
    </w:p>
    <w:p w14:paraId="61942786" w14:textId="0394EA89" w:rsidR="0099215A" w:rsidRPr="0099215A" w:rsidRDefault="0099215A" w:rsidP="0099215A">
      <w:pPr>
        <w:pStyle w:val="ListBullet"/>
        <w:spacing w:line="360" w:lineRule="auto"/>
        <w:rPr>
          <w:rFonts w:ascii="Cambria Math" w:hAnsi="Cambria Math"/>
          <w:lang w:val="en-IN"/>
        </w:rPr>
      </w:pPr>
      <w:r w:rsidRPr="0099215A">
        <w:rPr>
          <w:rFonts w:ascii="Cambria Math" w:hAnsi="Cambria Math"/>
          <w:lang w:val="en-IN"/>
        </w:rPr>
        <w:t>Strengthen onboarding for new customers</w:t>
      </w:r>
    </w:p>
    <w:p w14:paraId="0BBD32B3" w14:textId="02F6468A" w:rsidR="0099215A" w:rsidRPr="0099215A" w:rsidRDefault="0099215A" w:rsidP="0099215A">
      <w:pPr>
        <w:pStyle w:val="ListBullet"/>
        <w:spacing w:line="360" w:lineRule="auto"/>
        <w:rPr>
          <w:rFonts w:ascii="Cambria Math" w:hAnsi="Cambria Math"/>
          <w:lang w:val="en-IN"/>
        </w:rPr>
      </w:pPr>
      <w:r w:rsidRPr="0099215A">
        <w:rPr>
          <w:rFonts w:ascii="Cambria Math" w:hAnsi="Cambria Math"/>
          <w:lang w:val="en-IN"/>
        </w:rPr>
        <w:t>Promote bundled products to increase engagement</w:t>
      </w:r>
    </w:p>
    <w:p w14:paraId="744EA988" w14:textId="3CFCDB86" w:rsidR="0099215A" w:rsidRPr="0099215A" w:rsidRDefault="0099215A" w:rsidP="0099215A">
      <w:pPr>
        <w:pStyle w:val="ListBullet"/>
        <w:spacing w:line="360" w:lineRule="auto"/>
        <w:rPr>
          <w:rFonts w:ascii="Cambria Math" w:hAnsi="Cambria Math"/>
          <w:lang w:val="en-IN"/>
        </w:rPr>
      </w:pPr>
      <w:r w:rsidRPr="0099215A">
        <w:rPr>
          <w:rFonts w:ascii="Cambria Math" w:hAnsi="Cambria Math"/>
          <w:lang w:val="en-IN"/>
        </w:rPr>
        <w:t>Implement loyalty programs for long-term and high-value customers</w:t>
      </w:r>
    </w:p>
    <w:p w14:paraId="0535863B" w14:textId="105E0FE8" w:rsidR="000B5D7E" w:rsidRPr="00667BED" w:rsidRDefault="0099215A" w:rsidP="0099215A">
      <w:pPr>
        <w:pStyle w:val="ListBullet"/>
        <w:spacing w:line="360" w:lineRule="auto"/>
        <w:rPr>
          <w:rFonts w:ascii="Cambria Math" w:hAnsi="Cambria Math"/>
          <w:lang w:val="en-IN"/>
        </w:rPr>
      </w:pPr>
      <w:r w:rsidRPr="0099215A">
        <w:rPr>
          <w:rFonts w:ascii="Cambria Math" w:hAnsi="Cambria Math"/>
          <w:lang w:val="en-IN"/>
        </w:rPr>
        <w:t>Investigate regional issues contributing to high churn in Germany</w:t>
      </w:r>
    </w:p>
    <w:sectPr w:rsidR="000B5D7E" w:rsidRPr="00667B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720FA3"/>
    <w:multiLevelType w:val="multilevel"/>
    <w:tmpl w:val="0DE4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721771">
    <w:abstractNumId w:val="8"/>
  </w:num>
  <w:num w:numId="2" w16cid:durableId="1072117269">
    <w:abstractNumId w:val="6"/>
  </w:num>
  <w:num w:numId="3" w16cid:durableId="1540586094">
    <w:abstractNumId w:val="5"/>
  </w:num>
  <w:num w:numId="4" w16cid:durableId="2008359899">
    <w:abstractNumId w:val="4"/>
  </w:num>
  <w:num w:numId="5" w16cid:durableId="1937858115">
    <w:abstractNumId w:val="7"/>
  </w:num>
  <w:num w:numId="6" w16cid:durableId="1594901447">
    <w:abstractNumId w:val="3"/>
  </w:num>
  <w:num w:numId="7" w16cid:durableId="1378814695">
    <w:abstractNumId w:val="2"/>
  </w:num>
  <w:num w:numId="8" w16cid:durableId="1236891724">
    <w:abstractNumId w:val="1"/>
  </w:num>
  <w:num w:numId="9" w16cid:durableId="1307660678">
    <w:abstractNumId w:val="0"/>
  </w:num>
  <w:num w:numId="10" w16cid:durableId="1225412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D7E"/>
    <w:rsid w:val="0015074B"/>
    <w:rsid w:val="0029639D"/>
    <w:rsid w:val="00326F90"/>
    <w:rsid w:val="00667BED"/>
    <w:rsid w:val="0099215A"/>
    <w:rsid w:val="00AA1D8D"/>
    <w:rsid w:val="00AF080D"/>
    <w:rsid w:val="00B47730"/>
    <w:rsid w:val="00C753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262E1"/>
  <w14:defaultImageDpi w14:val="300"/>
  <w15:docId w15:val="{3D1FDFBD-2AA8-475B-909A-A0511F6A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indhu</cp:lastModifiedBy>
  <cp:revision>2</cp:revision>
  <cp:lastPrinted>2025-06-05T06:16:00Z</cp:lastPrinted>
  <dcterms:created xsi:type="dcterms:W3CDTF">2013-12-23T23:15:00Z</dcterms:created>
  <dcterms:modified xsi:type="dcterms:W3CDTF">2025-06-05T07:45:00Z</dcterms:modified>
  <cp:category/>
</cp:coreProperties>
</file>