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ML Sign Detection Model — Training Methodology Report</w:t>
      </w:r>
    </w:p>
    <w:p>
      <w:r>
        <w:rPr>
          <w:b/>
        </w:rPr>
        <w:t>Safety Signage Audit Application — AS 1319-1994 Compliance Tool</w:t>
        <w:br/>
      </w:r>
      <w:r>
        <w:t>Date: March 2026  |  Author: Kiran Gokal, WSP</w:t>
        <w:br/>
      </w:r>
      <w:r>
        <w:t>Classification: Internal / Technical Reference</w:t>
      </w:r>
    </w:p>
    <w:p>
      <w:pPr>
        <w:pStyle w:val="Heading1"/>
      </w:pPr>
      <w:r>
        <w:t>1. Introduction</w:t>
      </w:r>
    </w:p>
    <w:p>
      <w:r>
        <w:t>This report describes the machine learning methodology used to develop an automated safety sign category classifier for the Safety Signage Audit application. The classifier identifies signs conforming to AS 1319-1994 (Safety signs for the occupational environment) and operates as part of a multi-layered detection pipeline that includes local computer vision analysis and optional cloud-based Vision AI.</w:t>
      </w:r>
    </w:p>
    <w:p>
      <w:r>
        <w:t>The primary objective was to replace a generic ImageNet-based MobileNet model — which achieved approximately 25% category accuracy on safety signs — with a purpose-trained model capable of classifying signs into the seven AS 1319 categories with field-usable accuracy (target: &gt;85%).</w:t>
      </w:r>
    </w:p>
    <w:p>
      <w:pPr>
        <w:pStyle w:val="Heading1"/>
      </w:pPr>
      <w:r>
        <w:t>2. Dataset Selection and Rationale</w:t>
      </w:r>
    </w:p>
    <w:p>
      <w:r>
        <w:t>No publicly available machine learning dataset exists for Australian AS 1319 safety signs. A review of available resources identified the ORP-SIG-2024 dataset as the most suitable training source.</w:t>
      </w:r>
    </w:p>
    <w:p>
      <w:pPr>
        <w:pStyle w:val="Heading2"/>
      </w:pPr>
      <w:r>
        <w:t>2.1 ORP-SIG-2024 Dataset</w:t>
      </w:r>
    </w:p>
    <w:p>
      <w:r>
        <w:t>The ORP-SIG-2024 dataset (Mendeley Data, DOI: 10.17632/dfg5hnxrzg.1) contains 94,080 images across 299 ISO 7010 pictograms organised into five categories: Prohibition (P-series), Mandatory (M-series), Warning (W-series), Emergency/Safe Condition (E-series), and Fire Protection (F-series). Each pictogram includes original and augmented variants with transformations such as rotation, brightness variation, blur, and cropping to simulate real-world degradation.</w:t>
      </w:r>
    </w:p>
    <w:p>
      <w:r>
        <w:t>Published validation on this dataset reports 99.98% accuracy on clean pictograms and 95.30% on degraded images (Frontiers in Public Health, 2024).</w:t>
      </w:r>
    </w:p>
    <w:p>
      <w:pPr>
        <w:pStyle w:val="Heading2"/>
      </w:pPr>
      <w:r>
        <w:t>2.2 ISO 7010 to AS 1319 Mapping</w:t>
      </w:r>
    </w:p>
    <w:p>
      <w:r>
        <w:t>ISO 7010 (Graphical symbols — Safety colours and safety signs) and AS 1319-1994 share a common visual framework derived from earlier ISO standards. Both standards use identical safety colours (red, blue, yellow, green), identical geometric shapes for each category, and substantially overlapping pictogram designs. The category-level mapping is direct:</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rPr>
              <w:t>ISO 7010 Series</w:t>
            </w:r>
          </w:p>
        </w:tc>
        <w:tc>
          <w:tcPr>
            <w:tcW w:type="dxa" w:w="2340"/>
          </w:tcPr>
          <w:p>
            <w:r>
              <w:rPr>
                <w:b/>
              </w:rPr>
              <w:t>AS 1319 Category</w:t>
            </w:r>
          </w:p>
        </w:tc>
        <w:tc>
          <w:tcPr>
            <w:tcW w:type="dxa" w:w="2340"/>
          </w:tcPr>
          <w:p>
            <w:r>
              <w:rPr>
                <w:b/>
              </w:rPr>
              <w:t>Shape / Colour</w:t>
            </w:r>
          </w:p>
        </w:tc>
        <w:tc>
          <w:tcPr>
            <w:tcW w:type="dxa" w:w="2340"/>
          </w:tcPr>
          <w:p>
            <w:r>
              <w:rPr>
                <w:b/>
              </w:rPr>
              <w:t>Mapping Confidence</w:t>
            </w:r>
          </w:p>
        </w:tc>
      </w:tr>
      <w:tr>
        <w:tc>
          <w:tcPr>
            <w:tcW w:type="dxa" w:w="2340"/>
          </w:tcPr>
          <w:p>
            <w:r>
              <w:t>P-series</w:t>
            </w:r>
          </w:p>
        </w:tc>
        <w:tc>
          <w:tcPr>
            <w:tcW w:type="dxa" w:w="2340"/>
          </w:tcPr>
          <w:p>
            <w:r>
              <w:t>Prohibition</w:t>
            </w:r>
          </w:p>
        </w:tc>
        <w:tc>
          <w:tcPr>
            <w:tcW w:type="dxa" w:w="2340"/>
          </w:tcPr>
          <w:p>
            <w:r>
              <w:t>Red circle + diagonal bar</w:t>
            </w:r>
          </w:p>
        </w:tc>
        <w:tc>
          <w:tcPr>
            <w:tcW w:type="dxa" w:w="2340"/>
          </w:tcPr>
          <w:p>
            <w:r>
              <w:t>Direct</w:t>
            </w:r>
          </w:p>
        </w:tc>
      </w:tr>
      <w:tr>
        <w:tc>
          <w:tcPr>
            <w:tcW w:type="dxa" w:w="2340"/>
          </w:tcPr>
          <w:p>
            <w:r>
              <w:t>M-series</w:t>
            </w:r>
          </w:p>
        </w:tc>
        <w:tc>
          <w:tcPr>
            <w:tcW w:type="dxa" w:w="2340"/>
          </w:tcPr>
          <w:p>
            <w:r>
              <w:t>Mandatory</w:t>
            </w:r>
          </w:p>
        </w:tc>
        <w:tc>
          <w:tcPr>
            <w:tcW w:type="dxa" w:w="2340"/>
          </w:tcPr>
          <w:p>
            <w:r>
              <w:t>Blue filled circle</w:t>
            </w:r>
          </w:p>
        </w:tc>
        <w:tc>
          <w:tcPr>
            <w:tcW w:type="dxa" w:w="2340"/>
          </w:tcPr>
          <w:p>
            <w:r>
              <w:t>Direct</w:t>
            </w:r>
          </w:p>
        </w:tc>
      </w:tr>
      <w:tr>
        <w:tc>
          <w:tcPr>
            <w:tcW w:type="dxa" w:w="2340"/>
          </w:tcPr>
          <w:p>
            <w:r>
              <w:t>W-series</w:t>
            </w:r>
          </w:p>
        </w:tc>
        <w:tc>
          <w:tcPr>
            <w:tcW w:type="dxa" w:w="2340"/>
          </w:tcPr>
          <w:p>
            <w:r>
              <w:t>Warning</w:t>
            </w:r>
          </w:p>
        </w:tc>
        <w:tc>
          <w:tcPr>
            <w:tcW w:type="dxa" w:w="2340"/>
          </w:tcPr>
          <w:p>
            <w:r>
              <w:t>Yellow triangle</w:t>
            </w:r>
          </w:p>
        </w:tc>
        <w:tc>
          <w:tcPr>
            <w:tcW w:type="dxa" w:w="2340"/>
          </w:tcPr>
          <w:p>
            <w:r>
              <w:t>Direct</w:t>
            </w:r>
          </w:p>
        </w:tc>
      </w:tr>
      <w:tr>
        <w:tc>
          <w:tcPr>
            <w:tcW w:type="dxa" w:w="2340"/>
          </w:tcPr>
          <w:p>
            <w:r>
              <w:t>E-series</w:t>
            </w:r>
          </w:p>
        </w:tc>
        <w:tc>
          <w:tcPr>
            <w:tcW w:type="dxa" w:w="2340"/>
          </w:tcPr>
          <w:p>
            <w:r>
              <w:t>Emergency Information</w:t>
            </w:r>
          </w:p>
        </w:tc>
        <w:tc>
          <w:tcPr>
            <w:tcW w:type="dxa" w:w="2340"/>
          </w:tcPr>
          <w:p>
            <w:r>
              <w:t>Green rectangle</w:t>
            </w:r>
          </w:p>
        </w:tc>
        <w:tc>
          <w:tcPr>
            <w:tcW w:type="dxa" w:w="2340"/>
          </w:tcPr>
          <w:p>
            <w:r>
              <w:t>Direct</w:t>
            </w:r>
          </w:p>
        </w:tc>
      </w:tr>
      <w:tr>
        <w:tc>
          <w:tcPr>
            <w:tcW w:type="dxa" w:w="2340"/>
          </w:tcPr>
          <w:p>
            <w:r>
              <w:t>F-series</w:t>
            </w:r>
          </w:p>
        </w:tc>
        <w:tc>
          <w:tcPr>
            <w:tcW w:type="dxa" w:w="2340"/>
          </w:tcPr>
          <w:p>
            <w:r>
              <w:t>Fire</w:t>
            </w:r>
          </w:p>
        </w:tc>
        <w:tc>
          <w:tcPr>
            <w:tcW w:type="dxa" w:w="2340"/>
          </w:tcPr>
          <w:p>
            <w:r>
              <w:t>Red rectangle</w:t>
            </w:r>
          </w:p>
        </w:tc>
        <w:tc>
          <w:tcPr>
            <w:tcW w:type="dxa" w:w="2340"/>
          </w:tcPr>
          <w:p>
            <w:r>
              <w:t>Direct</w:t>
            </w:r>
          </w:p>
        </w:tc>
      </w:tr>
      <w:tr>
        <w:tc>
          <w:tcPr>
            <w:tcW w:type="dxa" w:w="2340"/>
          </w:tcPr>
          <w:p>
            <w:r>
              <w:t>—</w:t>
            </w:r>
          </w:p>
        </w:tc>
        <w:tc>
          <w:tcPr>
            <w:tcW w:type="dxa" w:w="2340"/>
          </w:tcPr>
          <w:p>
            <w:r>
              <w:t>Danger (AS 1319 specific)</w:t>
            </w:r>
          </w:p>
        </w:tc>
        <w:tc>
          <w:tcPr>
            <w:tcW w:type="dxa" w:w="2340"/>
          </w:tcPr>
          <w:p>
            <w:r>
              <w:t>Red oval + black bg</w:t>
            </w:r>
          </w:p>
        </w:tc>
        <w:tc>
          <w:tcPr>
            <w:tcW w:type="dxa" w:w="2340"/>
          </w:tcPr>
          <w:p>
            <w:r>
              <w:t>Synthesised</w:t>
            </w:r>
          </w:p>
        </w:tc>
      </w:tr>
      <w:tr>
        <w:tc>
          <w:tcPr>
            <w:tcW w:type="dxa" w:w="2340"/>
          </w:tcPr>
          <w:p>
            <w:r>
              <w:t>—</w:t>
            </w:r>
          </w:p>
        </w:tc>
        <w:tc>
          <w:tcPr>
            <w:tcW w:type="dxa" w:w="2340"/>
          </w:tcPr>
          <w:p>
            <w:r>
              <w:t>Restriction (AS 1319 specific)</w:t>
            </w:r>
          </w:p>
        </w:tc>
        <w:tc>
          <w:tcPr>
            <w:tcW w:type="dxa" w:w="2340"/>
          </w:tcPr>
          <w:p>
            <w:r>
              <w:t>Red circle, no bar</w:t>
            </w:r>
          </w:p>
        </w:tc>
        <w:tc>
          <w:tcPr>
            <w:tcW w:type="dxa" w:w="2340"/>
          </w:tcPr>
          <w:p>
            <w:r>
              <w:t>Synthesised</w:t>
            </w:r>
          </w:p>
        </w:tc>
      </w:tr>
    </w:tbl>
    <w:p/>
    <w:p>
      <w:r>
        <w:t>Two AS 1319 categories have no ISO 7010 equivalent. DANGER signs (Clause 2.3.4) use a distinctive red oval with white "DANGER" text on a black background — these are word-only signs unique to the Australian standard. Restriction signs (red annulus, white interior, no diagonal bar) represent a subset that ISO 7010 does not distinguish from prohibition. Training images for both categories were synthetically generated (500 images each) with randomised parameters including text content, rotation, brightness, and noise to provide visual diversity.</w:t>
      </w:r>
    </w:p>
    <w:p>
      <w:pPr>
        <w:pStyle w:val="Heading1"/>
      </w:pPr>
      <w:r>
        <w:t>3. Model Architecture and Training</w:t>
      </w:r>
    </w:p>
    <w:p>
      <w:pPr>
        <w:pStyle w:val="Heading2"/>
      </w:pPr>
      <w:r>
        <w:t>3.1 Architecture</w:t>
      </w:r>
    </w:p>
    <w:p>
      <w:r>
        <w:t>The classifier uses MobileNet v3 Small as a feature extraction backbone with a custom classification head. MobileNet v3 Small was selected for its balance of accuracy and inference speed on mobile devices — the model runs in-browser via TensorFlow.js at under 500ms on mid-range smartphones.</w:t>
      </w:r>
    </w:p>
    <w:p>
      <w:r>
        <w:rPr>
          <w:b/>
        </w:rPr>
        <w:t>Model structure:</w:t>
      </w:r>
    </w:p>
    <w:p>
      <w:pPr>
        <w:pStyle w:val="ListBullet"/>
      </w:pPr>
      <w:r>
        <w:t>MobileNet v3 Small (ImageNet weights, 939K parameters) — frozen</w:t>
      </w:r>
    </w:p>
    <w:p>
      <w:pPr>
        <w:pStyle w:val="ListBullet"/>
      </w:pPr>
      <w:r>
        <w:t>Global Average Pooling 2D</w:t>
      </w:r>
    </w:p>
    <w:p>
      <w:pPr>
        <w:pStyle w:val="ListBullet"/>
      </w:pPr>
      <w:r>
        <w:t>Dense(128, ReLU)</w:t>
      </w:r>
    </w:p>
    <w:p>
      <w:pPr>
        <w:pStyle w:val="ListBullet"/>
      </w:pPr>
      <w:r>
        <w:t>Dropout(0.3)</w:t>
      </w:r>
    </w:p>
    <w:p>
      <w:pPr>
        <w:pStyle w:val="ListBullet"/>
      </w:pPr>
      <w:r>
        <w:t>Dense(7, softmax) — outputs 7 AS 1319 category probabilities</w:t>
      </w:r>
    </w:p>
    <w:p>
      <w:r>
        <w:t>Input preprocessing normalises images to 224×224 pixels with pixel values scaled to [-1, 1], matching MobileNet v3 expectations. The total model size after uint16 quantization is 2.1 MB.</w:t>
      </w:r>
    </w:p>
    <w:p>
      <w:pPr>
        <w:pStyle w:val="Heading2"/>
      </w:pPr>
      <w:r>
        <w:t>3.2 Training Process</w:t>
      </w:r>
    </w:p>
    <w:p>
      <w:r>
        <w:t>Training used the organised dataset of 6,083 images (5,083 from ORP-SIG-2024 plus 1,000 synthesised) split 80/10/10 into train/validation/test sets. Data augmentation during training included random rotation (±29°), zoom (±10%), translation (±5%), brightness variation (±20%), contrast adjustment (±20%), and horizontal flipping.</w:t>
      </w:r>
    </w:p>
    <w:p>
      <w:r>
        <w:rPr>
          <w:b/>
        </w:rPr>
        <w:t>Training configuration:</w:t>
      </w:r>
    </w:p>
    <w:p>
      <w:pPr>
        <w:pStyle w:val="ListBullet"/>
      </w:pPr>
      <w:r>
        <w:t>Optimiser: Adam, learning rate 1×10⁻³ (frozen base) then 1×10⁻⁴ (unfrozen)</w:t>
      </w:r>
    </w:p>
    <w:p>
      <w:pPr>
        <w:pStyle w:val="ListBullet"/>
      </w:pPr>
      <w:r>
        <w:t>Loss: Sparse categorical cross-entropy</w:t>
      </w:r>
    </w:p>
    <w:p>
      <w:pPr>
        <w:pStyle w:val="ListBullet"/>
      </w:pPr>
      <w:r>
        <w:t>Batch size: 32</w:t>
      </w:r>
    </w:p>
    <w:p>
      <w:pPr>
        <w:pStyle w:val="ListBullet"/>
      </w:pPr>
      <w:r>
        <w:t>Early stopping: patience 5, restoring best weights on validation accuracy</w:t>
      </w:r>
    </w:p>
    <w:p>
      <w:pPr>
        <w:pStyle w:val="ListBullet"/>
      </w:pPr>
      <w:r>
        <w:t>Learning rate reduction: factor 0.5 on validation loss plateau (patience 3)</w:t>
      </w:r>
    </w:p>
    <w:p>
      <w:r>
        <w:t>The final deployed model used a two-phase approach: Phase 1 trained only the classification head (25 epochs with frozen convolutional base), followed by unfreezing the top 10 convolutional layers for an additional 25 epochs at a reduced learning rate. This achieved 89.5% test accuracy on the held-out test set.</w:t>
      </w:r>
    </w:p>
    <w:p>
      <w:pPr>
        <w:pStyle w:val="Heading1"/>
      </w:pPr>
      <w:r>
        <w:t>4. Results</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872"/>
          </w:tcPr>
          <w:p>
            <w:r>
              <w:rPr>
                <w:b/>
              </w:rPr>
              <w:t>Category</w:t>
            </w:r>
          </w:p>
        </w:tc>
        <w:tc>
          <w:tcPr>
            <w:tcW w:type="dxa" w:w="1872"/>
          </w:tcPr>
          <w:p>
            <w:r>
              <w:rPr>
                <w:b/>
              </w:rPr>
              <w:t>Precision</w:t>
            </w:r>
          </w:p>
        </w:tc>
        <w:tc>
          <w:tcPr>
            <w:tcW w:type="dxa" w:w="1872"/>
          </w:tcPr>
          <w:p>
            <w:r>
              <w:rPr>
                <w:b/>
              </w:rPr>
              <w:t>Recall</w:t>
            </w:r>
          </w:p>
        </w:tc>
        <w:tc>
          <w:tcPr>
            <w:tcW w:type="dxa" w:w="1872"/>
          </w:tcPr>
          <w:p>
            <w:r>
              <w:rPr>
                <w:b/>
              </w:rPr>
              <w:t>F1-Score</w:t>
            </w:r>
          </w:p>
        </w:tc>
        <w:tc>
          <w:tcPr>
            <w:tcW w:type="dxa" w:w="1872"/>
          </w:tcPr>
          <w:p>
            <w:r>
              <w:rPr>
                <w:b/>
              </w:rPr>
              <w:t>Test Samples</w:t>
            </w:r>
          </w:p>
        </w:tc>
      </w:tr>
      <w:tr>
        <w:tc>
          <w:tcPr>
            <w:tcW w:type="dxa" w:w="1872"/>
          </w:tcPr>
          <w:p>
            <w:r>
              <w:t>Prohibition</w:t>
            </w:r>
          </w:p>
        </w:tc>
        <w:tc>
          <w:tcPr>
            <w:tcW w:type="dxa" w:w="1872"/>
          </w:tcPr>
          <w:p>
            <w:r>
              <w:t>1.00</w:t>
            </w:r>
          </w:p>
        </w:tc>
        <w:tc>
          <w:tcPr>
            <w:tcW w:type="dxa" w:w="1872"/>
          </w:tcPr>
          <w:p>
            <w:r>
              <w:t>0.83</w:t>
            </w:r>
          </w:p>
        </w:tc>
        <w:tc>
          <w:tcPr>
            <w:tcW w:type="dxa" w:w="1872"/>
          </w:tcPr>
          <w:p>
            <w:r>
              <w:t>0.91</w:t>
            </w:r>
          </w:p>
        </w:tc>
        <w:tc>
          <w:tcPr>
            <w:tcW w:type="dxa" w:w="1872"/>
          </w:tcPr>
          <w:p>
            <w:r>
              <w:t>118</w:t>
            </w:r>
          </w:p>
        </w:tc>
      </w:tr>
      <w:tr>
        <w:tc>
          <w:tcPr>
            <w:tcW w:type="dxa" w:w="1872"/>
          </w:tcPr>
          <w:p>
            <w:r>
              <w:t>Mandatory</w:t>
            </w:r>
          </w:p>
        </w:tc>
        <w:tc>
          <w:tcPr>
            <w:tcW w:type="dxa" w:w="1872"/>
          </w:tcPr>
          <w:p>
            <w:r>
              <w:t>0.69</w:t>
            </w:r>
          </w:p>
        </w:tc>
        <w:tc>
          <w:tcPr>
            <w:tcW w:type="dxa" w:w="1872"/>
          </w:tcPr>
          <w:p>
            <w:r>
              <w:t>0.91</w:t>
            </w:r>
          </w:p>
        </w:tc>
        <w:tc>
          <w:tcPr>
            <w:tcW w:type="dxa" w:w="1872"/>
          </w:tcPr>
          <w:p>
            <w:r>
              <w:t>0.79</w:t>
            </w:r>
          </w:p>
        </w:tc>
        <w:tc>
          <w:tcPr>
            <w:tcW w:type="dxa" w:w="1872"/>
          </w:tcPr>
          <w:p>
            <w:r>
              <w:t>92</w:t>
            </w:r>
          </w:p>
        </w:tc>
      </w:tr>
      <w:tr>
        <w:tc>
          <w:tcPr>
            <w:tcW w:type="dxa" w:w="1872"/>
          </w:tcPr>
          <w:p>
            <w:r>
              <w:t>Restriction*</w:t>
            </w:r>
          </w:p>
        </w:tc>
        <w:tc>
          <w:tcPr>
            <w:tcW w:type="dxa" w:w="1872"/>
          </w:tcPr>
          <w:p>
            <w:r>
              <w:t>1.00</w:t>
            </w:r>
          </w:p>
        </w:tc>
        <w:tc>
          <w:tcPr>
            <w:tcW w:type="dxa" w:w="1872"/>
          </w:tcPr>
          <w:p>
            <w:r>
              <w:t>0.96</w:t>
            </w:r>
          </w:p>
        </w:tc>
        <w:tc>
          <w:tcPr>
            <w:tcW w:type="dxa" w:w="1872"/>
          </w:tcPr>
          <w:p>
            <w:r>
              <w:t>0.98</w:t>
            </w:r>
          </w:p>
        </w:tc>
        <w:tc>
          <w:tcPr>
            <w:tcW w:type="dxa" w:w="1872"/>
          </w:tcPr>
          <w:p>
            <w:r>
              <w:t>53</w:t>
            </w:r>
          </w:p>
        </w:tc>
      </w:tr>
      <w:tr>
        <w:tc>
          <w:tcPr>
            <w:tcW w:type="dxa" w:w="1872"/>
          </w:tcPr>
          <w:p>
            <w:r>
              <w:t>Warning</w:t>
            </w:r>
          </w:p>
        </w:tc>
        <w:tc>
          <w:tcPr>
            <w:tcW w:type="dxa" w:w="1872"/>
          </w:tcPr>
          <w:p>
            <w:r>
              <w:t>0.92</w:t>
            </w:r>
          </w:p>
        </w:tc>
        <w:tc>
          <w:tcPr>
            <w:tcW w:type="dxa" w:w="1872"/>
          </w:tcPr>
          <w:p>
            <w:r>
              <w:t>0.99</w:t>
            </w:r>
          </w:p>
        </w:tc>
        <w:tc>
          <w:tcPr>
            <w:tcW w:type="dxa" w:w="1872"/>
          </w:tcPr>
          <w:p>
            <w:r>
              <w:t>0.96</w:t>
            </w:r>
          </w:p>
        </w:tc>
        <w:tc>
          <w:tcPr>
            <w:tcW w:type="dxa" w:w="1872"/>
          </w:tcPr>
          <w:p>
            <w:r>
              <w:t>145</w:t>
            </w:r>
          </w:p>
        </w:tc>
      </w:tr>
      <w:tr>
        <w:tc>
          <w:tcPr>
            <w:tcW w:type="dxa" w:w="1872"/>
          </w:tcPr>
          <w:p>
            <w:r>
              <w:t>Danger*</w:t>
            </w:r>
          </w:p>
        </w:tc>
        <w:tc>
          <w:tcPr>
            <w:tcW w:type="dxa" w:w="1872"/>
          </w:tcPr>
          <w:p>
            <w:r>
              <w:t>1.00</w:t>
            </w:r>
          </w:p>
        </w:tc>
        <w:tc>
          <w:tcPr>
            <w:tcW w:type="dxa" w:w="1872"/>
          </w:tcPr>
          <w:p>
            <w:r>
              <w:t>1.00</w:t>
            </w:r>
          </w:p>
        </w:tc>
        <w:tc>
          <w:tcPr>
            <w:tcW w:type="dxa" w:w="1872"/>
          </w:tcPr>
          <w:p>
            <w:r>
              <w:t>1.00</w:t>
            </w:r>
          </w:p>
        </w:tc>
        <w:tc>
          <w:tcPr>
            <w:tcW w:type="dxa" w:w="1872"/>
          </w:tcPr>
          <w:p>
            <w:r>
              <w:t>41</w:t>
            </w:r>
          </w:p>
        </w:tc>
      </w:tr>
      <w:tr>
        <w:tc>
          <w:tcPr>
            <w:tcW w:type="dxa" w:w="1872"/>
          </w:tcPr>
          <w:p>
            <w:r>
              <w:t>Emergency</w:t>
            </w:r>
          </w:p>
        </w:tc>
        <w:tc>
          <w:tcPr>
            <w:tcW w:type="dxa" w:w="1872"/>
          </w:tcPr>
          <w:p>
            <w:r>
              <w:t>0.90</w:t>
            </w:r>
          </w:p>
        </w:tc>
        <w:tc>
          <w:tcPr>
            <w:tcW w:type="dxa" w:w="1872"/>
          </w:tcPr>
          <w:p>
            <w:r>
              <w:t>0.93</w:t>
            </w:r>
          </w:p>
        </w:tc>
        <w:tc>
          <w:tcPr>
            <w:tcW w:type="dxa" w:w="1872"/>
          </w:tcPr>
          <w:p>
            <w:r>
              <w:t>0.91</w:t>
            </w:r>
          </w:p>
        </w:tc>
        <w:tc>
          <w:tcPr>
            <w:tcW w:type="dxa" w:w="1872"/>
          </w:tcPr>
          <w:p>
            <w:r>
              <w:t>121</w:t>
            </w:r>
          </w:p>
        </w:tc>
      </w:tr>
      <w:tr>
        <w:tc>
          <w:tcPr>
            <w:tcW w:type="dxa" w:w="1872"/>
          </w:tcPr>
          <w:p>
            <w:r>
              <w:t>Fire</w:t>
            </w:r>
          </w:p>
        </w:tc>
        <w:tc>
          <w:tcPr>
            <w:tcW w:type="dxa" w:w="1872"/>
          </w:tcPr>
          <w:p>
            <w:r>
              <w:t>1.00</w:t>
            </w:r>
          </w:p>
        </w:tc>
        <w:tc>
          <w:tcPr>
            <w:tcW w:type="dxa" w:w="1872"/>
          </w:tcPr>
          <w:p>
            <w:r>
              <w:t>0.42</w:t>
            </w:r>
          </w:p>
        </w:tc>
        <w:tc>
          <w:tcPr>
            <w:tcW w:type="dxa" w:w="1872"/>
          </w:tcPr>
          <w:p>
            <w:r>
              <w:t>0.59</w:t>
            </w:r>
          </w:p>
        </w:tc>
        <w:tc>
          <w:tcPr>
            <w:tcW w:type="dxa" w:w="1872"/>
          </w:tcPr>
          <w:p>
            <w:r>
              <w:t>38</w:t>
            </w:r>
          </w:p>
        </w:tc>
      </w:tr>
      <w:tr>
        <w:tc>
          <w:tcPr>
            <w:tcW w:type="dxa" w:w="1872"/>
          </w:tcPr>
          <w:p>
            <w:r>
              <w:rPr>
                <w:b/>
              </w:rPr>
              <w:t>Overall</w:t>
            </w:r>
          </w:p>
        </w:tc>
        <w:tc>
          <w:tcPr>
            <w:tcW w:type="dxa" w:w="1872"/>
          </w:tcPr>
          <w:p>
            <w:r>
              <w:rPr>
                <w:b/>
              </w:rPr>
              <w:t>0.92</w:t>
            </w:r>
          </w:p>
        </w:tc>
        <w:tc>
          <w:tcPr>
            <w:tcW w:type="dxa" w:w="1872"/>
          </w:tcPr>
          <w:p>
            <w:r>
              <w:rPr>
                <w:b/>
              </w:rPr>
              <w:t>0.90</w:t>
            </w:r>
          </w:p>
        </w:tc>
        <w:tc>
          <w:tcPr>
            <w:tcW w:type="dxa" w:w="1872"/>
          </w:tcPr>
          <w:p>
            <w:r>
              <w:rPr>
                <w:b/>
              </w:rPr>
              <w:t>0.90</w:t>
            </w:r>
          </w:p>
        </w:tc>
        <w:tc>
          <w:tcPr>
            <w:tcW w:type="dxa" w:w="1872"/>
          </w:tcPr>
          <w:p>
            <w:r>
              <w:rPr>
                <w:b/>
              </w:rPr>
              <w:t>608</w:t>
            </w:r>
          </w:p>
        </w:tc>
      </w:tr>
    </w:tbl>
    <w:p/>
    <w:p>
      <w:r>
        <w:t>* Restriction and Danger categories used synthesised training data. The high scores reflect the visual distinctiveness of synthesised images and should be validated against photographs of real signs in the field.</w:t>
      </w:r>
    </w:p>
    <w:p>
      <w:r>
        <w:t>Fire category recall (42%) is the weakest result, attributable to the small number of fire protection pictograms in the source dataset (19 originals, 323 total with augmentation) and visual similarity to prohibition signs (both use red). Additional field photographs of fire safety signs would improve this category.</w:t>
      </w:r>
    </w:p>
    <w:p>
      <w:pPr>
        <w:pStyle w:val="Heading1"/>
      </w:pPr>
      <w:r>
        <w:t>5. Integration and Deployment</w:t>
      </w:r>
    </w:p>
    <w:p>
      <w:r>
        <w:t>The trained model was converted to TensorFlow.js GraphModel format with uint16 quantization (2.1 MB total) and is served alongside the application via GitHub Pages. The model loads lazily when the user enters the Capture view and is cached by the browser for offline use.</w:t>
      </w:r>
    </w:p>
    <w:p>
      <w:r>
        <w:t>Within the detection pipeline, the ML classifier operates alongside colour analysis and shape detection. The ML prediction receives 40% weight in the composite confidence score (increased from 20% with the previous ImageNet model) and is used to resolve ambiguous cases — particularly distinguishing prohibition from restriction signs (both red circles) and danger from fire signs (both red rectangles). The Vision API path, when configured, takes priority over both local methods.</w:t>
      </w:r>
    </w:p>
    <w:p>
      <w:pPr>
        <w:pStyle w:val="Heading1"/>
      </w:pPr>
      <w:r>
        <w:t>6. Limitations and Future Work</w:t>
      </w:r>
    </w:p>
    <w:p>
      <w:r>
        <w:t>Training data consists of standardised pictogram images, not photographs of installed signs. Real-world factors — weathering, fading, partial obstruction, non-standard printing, and varied lighting — are only partially represented by the dataset augmentations. Field validation with photographs from Australian sites is essential before relying on ML predictions for compliance decisions.</w:t>
      </w:r>
    </w:p>
    <w:p>
      <w:r>
        <w:t>The model classifies at the category level only (Phase 1). Specific sign number identification (e.g., distinguishing sign 424 "Head protection" from sign 425 "Hearing protection") requires a Phase 2 model trained on individual pictograms, which would map the 299 ISO 7010 pictograms to the ~30 AS 1319 Appendix B sign numbers.</w:t>
      </w:r>
    </w:p>
    <w:p>
      <w:r>
        <w:t>AS 1319-1994 was reconfirmed in 2018 but has not been revised to align with the current ISO 7010:2019 edition. Some newer ISO 7010 pictograms (added post-2003) may not have AS 1319 equivalents. The mapping used in this work covers the core categories that have remained stable across both standards.</w:t>
      </w:r>
    </w:p>
    <w:p>
      <w:pPr>
        <w:pStyle w:val="Heading1"/>
      </w:pPr>
      <w:r>
        <w:t>References</w:t>
      </w:r>
    </w:p>
    <w:p>
      <w:pPr>
        <w:pStyle w:val="ListNumber"/>
      </w:pPr>
      <w:r>
        <w:t>[1] AS 1319-1994 (Reconfirmed 2018), Safety signs for the occupational environment. Standards Australia.</w:t>
      </w:r>
    </w:p>
    <w:p>
      <w:pPr>
        <w:pStyle w:val="ListNumber"/>
      </w:pPr>
      <w:r>
        <w:t>[2] ISO 7010:2019, Graphical symbols — Safety colours and safety signs — Registered safety signs. International Organization for Standardization.</w:t>
      </w:r>
    </w:p>
    <w:p>
      <w:pPr>
        <w:pStyle w:val="ListNumber"/>
      </w:pPr>
      <w:r>
        <w:t>[3] ORP-SIG-2024 Dataset. Mendeley Data, DOI: 10.17632/dfg5hnxrzg.1.</w:t>
      </w:r>
    </w:p>
    <w:p>
      <w:pPr>
        <w:pStyle w:val="ListNumber"/>
      </w:pPr>
      <w:r>
        <w:t>[4] Fernández-Villacañas Marín, M. et al. (2024). "Machine vision-based recognition methodology of standard safety signs in work environments." Frontiers in Public Health, 12, 1431757.</w:t>
      </w:r>
    </w:p>
    <w:p>
      <w:pPr>
        <w:pStyle w:val="ListNumber"/>
      </w:pPr>
      <w:r>
        <w:t>[5] Howard, A. et al. (2019). "Searching for MobileNetV3." Proceedings of the IEEE/CVF International Conference on Computer Vision.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