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14: Jenkins Continuous Integration Pipeline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TS-14 — Pipeline configured; latest recorded build not revalidated here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Jenkinsfile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devops-workflow.md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docs/devops-workflow.md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Dockerfile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src/main/docker/Dockerfile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deployment-guide.md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docs/deployment-guide.md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4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(TS-14)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Jenkinsfile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docs/devops-workflow.md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src/main/docker/Dockerfile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docs/deployment-guide.md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Jenkinsfile defines checkout, toolchain, compile, unit test, package/archive, test stack, Selen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Hub publication is gated by a parameter and credential ID.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docs/devops-workflow.md records a previous successful local Jenkins build #13.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4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TS-14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Jenkinsfile defines checkout, toolchain, compile, unit test, package/archive, test stack, Selenium, test repor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Hub publication is gated by a parameter and credential ID.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docs/devops-workflow.md records a previous successful local Jenkins build #13.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That historical record was not revalidated during document generation.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Pushing task-report commits may trigger the configured SCM polling job.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Streetlight-CI after the documentation pushes and confirm all stages and report artifacts.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Declarative pipeline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Compile, unit test, and package stages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Selenium stage and test report publishing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build and optional Hub publication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Compose deployment and actuator check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Jenkins run after these commits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Jenkinsfil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Jenkinsfile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4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TS-14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docs/devops-workflow.md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docs/devops-workflow.md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Post-documentation CI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Streetlight-CI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publication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Requires saved Jenkins credential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result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 deployed URL is healthy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4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TS-14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14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14: Jenkins Continuous Integration Pipeline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