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adcb7f3497de8481821e16c921350cef9af4cd4"/>
    <w:p>
      <w:pPr>
        <w:pStyle w:val="Heading1"/>
      </w:pPr>
      <w:r>
        <w:t xml:space="preserve">Capstone: Anwendung der Vorgaben auf unseren Usecase</w:t>
      </w:r>
    </w:p>
    <w:p>
      <w:pPr>
        <w:pStyle w:val="FirstParagraph"/>
      </w:pPr>
      <w:r>
        <w:rPr>
          <w:bCs/>
          <w:b/>
        </w:rPr>
        <w:t xml:space="preserve">Usecase:</w:t>
      </w:r>
      <w:r>
        <w:t xml:space="preserve"> </w:t>
      </w:r>
      <w:r>
        <w:t xml:space="preserve">Ein agentisches System prüft Nachträge (Änderungswünsche) zu Softwareprojekten und Wartungsverträgen. Kleinigkeiten setzt es um bzw. gibt sie frei, alles Größere geht zur Kalkulation an einen Menschen (Human-in-the-Loop).</w:t>
      </w:r>
    </w:p>
    <w:bookmarkStart w:id="20" w:name="passt-das-problem-3-eigenschaften"/>
    <w:p>
      <w:pPr>
        <w:pStyle w:val="Heading2"/>
      </w:pPr>
      <w:r>
        <w:t xml:space="preserve">1. Passt das Problem? (3 Eigenschaften)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Eigenschaft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Anwendung auf 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Realistisch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Nutzen in einem Satz: Entwickler und Projektleiter sparen die manuelle Erstprüfung jedes Änderungswunsches und vermeiden unbezahlte „Kleinigkeiten”, die eigentlich Nachträge sind.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korrekt eingeordneter Änderungswünsche (klein / kontingentfähig / Nachtrag / Architektur) auf einem Testset.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Umsetzbar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Nur die Einordnung und Weiterleitung, nicht Kalkulation, Angebot oder Umsetzung. Die kleinste Version muss in 4 Wochen passen.</w:t>
            </w:r>
          </w:p>
        </w:tc>
      </w:tr>
    </w:tbl>
    <w:bookmarkEnd w:id="20"/>
    <w:bookmarkStart w:id="21" w:name="nächstes-fallback-projekt"/>
    <w:p>
      <w:pPr>
        <w:pStyle w:val="Heading2"/>
      </w:pPr>
      <w:r>
        <w:t xml:space="preserve">2. Nächstes Fallback-Projekt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Nr. 1, Support-Triage-Agent:</w:t>
      </w:r>
      <w:r>
        <w:t xml:space="preserve"> </w:t>
      </w:r>
      <w:r>
        <w:t xml:space="preserve">passt am besten. Eingang (Mail/Formular) → Einordnung mit Confidence-Score → Entwurf → Human-Handoff bei niedriger Sicherheit.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Nr. 7, Rechnungs-/Spesenverarbeitung:</w:t>
      </w:r>
      <w:r>
        <w:t xml:space="preserve"> </w:t>
      </w:r>
      <w:r>
        <w:t xml:space="preserve">liefert das Muster „Policy-Check gegen Regeln, keine Echtbuchung”. Bei uns: Prüfung gegen die Vertragsregeln, keine automatische Beauftragung oder Abrechnung.</w:t>
      </w:r>
    </w:p>
    <w:p>
      <w:pPr>
        <w:numPr>
          <w:ilvl w:val="0"/>
          <w:numId w:val="1001"/>
        </w:numPr>
        <w:pStyle w:val="Compact"/>
      </w:pPr>
      <w:r>
        <w:t xml:space="preserve">Nr. 4 (RAG) nur, wenn die Vertragsklauseln per Wissensabfrage genutzt werden sollen. Das ist die größte Herausforderung und für 4 Wochen riskant.</w:t>
      </w:r>
    </w:p>
    <w:p>
      <w:pPr>
        <w:numPr>
          <w:ilvl w:val="0"/>
          <w:numId w:val="1001"/>
        </w:numPr>
        <w:pStyle w:val="Compact"/>
      </w:pPr>
      <w:r>
        <w:t xml:space="preserve">Hinweis: Das Projekt ist keine Pflichtvorgabe des Kurses, wenn wir ein eigenes Problem einbringen. Die Ähnlichkeit zu Nr. 1 hilft aber bei Aufwand und Bewertung. Ich weiß nicht, ob der Kurs ein eigenes Thema ausdrücklich zulässt. Das sollte geklärt werden.</w:t>
      </w:r>
    </w:p>
    <w:bookmarkEnd w:id="21"/>
    <w:bookmarkStart w:id="22" w:name="aufgabe-1-scope-dokument-vorschlag"/>
    <w:p>
      <w:pPr>
        <w:pStyle w:val="Heading2"/>
      </w:pPr>
      <w:r>
        <w:t xml:space="preserve">3. Aufgabe 1: Scope-Dokument (Vorschlag)</w:t>
      </w:r>
    </w:p>
    <w:p>
      <w:pPr>
        <w:pStyle w:val="FirstParagraph"/>
      </w:pPr>
      <w:r>
        <w:rPr>
          <w:bCs/>
          <w:b/>
        </w:rPr>
        <w:t xml:space="preserve">Geschäftsproblem:</w:t>
      </w:r>
      <w:r>
        <w:t xml:space="preserve"> </w:t>
      </w:r>
      <w:r>
        <w:t xml:space="preserve">Softwareunternehmen bekommen laufend Änderungswünsche von Kunden. Die Erstprüfung (Ist das eine Kleinigkeit? Ist es im Vertrag/Kontingent? Braucht es eine Kalkulation?) bindet Entwickler und Projektleiter. Falsche Einordnung kostet entweder unbezahlte Arbeit oder verärgert Kunden.</w:t>
      </w:r>
    </w:p>
    <w:p>
      <w:pPr>
        <w:pStyle w:val="BodyText"/>
      </w:pPr>
      <w:r>
        <w:rPr>
          <w:bCs/>
          <w:b/>
        </w:rPr>
        <w:t xml:space="preserve">Drei Fragen: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Für wen?</w:t>
      </w:r>
      <w:r>
        <w:t xml:space="preserve"> </w:t>
      </w:r>
      <w:r>
        <w:t xml:space="preserve">Projektleiter und Entwickler eines Softwareunternehmens, das Wartungsverträge Plus betreut.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Was genau?</w:t>
      </w:r>
      <w:r>
        <w:t xml:space="preserve"> </w:t>
      </w:r>
      <w:r>
        <w:t xml:space="preserve">Der Agent liest einen eingehenden Änderungswunsch, ordnet ihn nach festen Vertragsregeln ein und leitet ihn weiter: Kleinstveränderung → Freigabe im Kontingent, alles andere → Mensch mit Kalkulationsvorlage.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Was nicht?</w:t>
      </w:r>
      <w:r>
        <w:t xml:space="preserve"> </w:t>
      </w:r>
      <w:r>
        <w:t xml:space="preserve">Siehe Ausschlüsse.</w:t>
      </w:r>
    </w:p>
    <w:p>
      <w:pPr>
        <w:pStyle w:val="FirstParagraph"/>
      </w:pPr>
      <w:r>
        <w:rPr>
          <w:bCs/>
          <w:b/>
        </w:rPr>
        <w:t xml:space="preserve">Erste Erfolgskennzahl (Vorschlag, noch festzulegen):</w:t>
      </w:r>
      <w:r>
        <w:t xml:space="preserve"> </w:t>
      </w:r>
      <w:r>
        <w:t xml:space="preserve">Mindestens 90 % der Testfälle werden richtig eingeordnet.</w:t>
      </w:r>
    </w:p>
    <w:p>
      <w:pPr>
        <w:pStyle w:val="BodyText"/>
      </w:pPr>
      <w:r>
        <w:rPr>
          <w:bCs/>
          <w:b/>
        </w:rPr>
        <w:t xml:space="preserve">Ausschlüsse (mind. 3):</w:t>
      </w:r>
    </w:p>
    <w:p>
      <w:pPr>
        <w:numPr>
          <w:ilvl w:val="0"/>
          <w:numId w:val="1003"/>
        </w:numPr>
        <w:pStyle w:val="Compact"/>
      </w:pPr>
      <w:r>
        <w:t xml:space="preserve">Keine Preisberechnung oder Angebotserstellung, nur Weiterleitung mit Vorbefüllung.</w:t>
      </w:r>
    </w:p>
    <w:p>
      <w:pPr>
        <w:numPr>
          <w:ilvl w:val="0"/>
          <w:numId w:val="1003"/>
        </w:numPr>
        <w:pStyle w:val="Compact"/>
      </w:pPr>
      <w:r>
        <w:t xml:space="preserve">Keine Umsetzung des Codes.</w:t>
      </w:r>
    </w:p>
    <w:p>
      <w:pPr>
        <w:numPr>
          <w:ilvl w:val="0"/>
          <w:numId w:val="1003"/>
        </w:numPr>
        <w:pStyle w:val="Compact"/>
      </w:pPr>
      <w:r>
        <w:t xml:space="preserve">Keine Rechnungsstellung oder Abrechnung.</w:t>
      </w:r>
    </w:p>
    <w:p>
      <w:pPr>
        <w:numPr>
          <w:ilvl w:val="0"/>
          <w:numId w:val="1003"/>
        </w:numPr>
        <w:pStyle w:val="Compact"/>
      </w:pPr>
      <w:r>
        <w:t xml:space="preserve">Keine Vertragserstellung oder Rechtsberatung.</w:t>
      </w:r>
    </w:p>
    <w:p>
      <w:pPr>
        <w:numPr>
          <w:ilvl w:val="0"/>
          <w:numId w:val="1003"/>
        </w:numPr>
        <w:pStyle w:val="Compact"/>
      </w:pPr>
      <w:r>
        <w:t xml:space="preserve">Festpreis-Projektvertrag und Projektvertrag nach Aufwand erst in einer späteren Phase, im ersten Schritt nur Wartung Plus.</w:t>
      </w:r>
    </w:p>
    <w:p>
      <w:pPr>
        <w:pStyle w:val="FirstParagraph"/>
      </w:pPr>
      <w:r>
        <w:rPr>
          <w:bCs/>
          <w:b/>
        </w:rPr>
        <w:t xml:space="preserve">„Und”-Test:</w:t>
      </w:r>
      <w:r>
        <w:t xml:space="preserve"> </w:t>
      </w:r>
      <w:r>
        <w:t xml:space="preserve">„Der Agent ordnet Änderungswünsche ein und leitet sie weiter.” Ein „und”, das passt. Wartung, Festpreis, Aufwand, Kalkulation und Umsetzung zusammen wären mehrere Projekte.</w:t>
      </w:r>
    </w:p>
    <w:bookmarkEnd w:id="22"/>
    <w:bookmarkStart w:id="23" w:name="aufgabe-2-erfolgskriterien-vorschlag"/>
    <w:p>
      <w:pPr>
        <w:pStyle w:val="Heading2"/>
      </w:pPr>
      <w:r>
        <w:t xml:space="preserve">4. Aufgabe 2: Erfolgskriterien (Vorschlag)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Baustein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Anwendung auf 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Primäre 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Anteil korrekt eingeordneter Fälle, Ziel z. B. ≥ 90 % (Zahl noch bestätigen).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„Korrekt”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Einordnung stimmt mit dem Referenzurteil überein. Referenz: Regeln aus dem Wartungsvertrag (Aufwandsgrenze je Änderung, Kontingent) plus Urteil eines erfahrenen Entwicklers vorab auf dem Testset festgehalten. Dritte müssen es ohne Rückfrage anwenden können.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Sekundäre Kennzahl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Zeit pro Fall gegenüber manueller Prüfung, (b) Fehlermodus: null Fälle, in denen eine Architekturänderung als Kleinigkeit freigegeben wird.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Schwellenwert „nicht bereit”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Vorab festlegen, z. B. unter 80 % korrekt oder auch nur eine kritische Fehlfreigabe. Danach nicht mehr absenken.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Grenzfall-Test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richtig = z. B. richtige Klasse, aber falscher Aufwandsrahmen. Muss eindeutig als falsch oder richtig definiert werden.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Testszenarien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Mindestens 10 für Sprint 3, besser 30 synthetische Änderungswünsche, selbst erstellt, mit klaren Grenzfällen.</w:t>
            </w:r>
          </w:p>
        </w:tc>
      </w:tr>
    </w:tbl>
    <w:p>
      <w:pPr>
        <w:pStyle w:val="BodyText"/>
      </w:pPr>
      <w:r>
        <w:t xml:space="preserve">Die genannten Zahlen sind meine Vorschläge, keine Vorgaben aus dem Kurs.</w:t>
      </w:r>
    </w:p>
    <w:bookmarkEnd w:id="23"/>
    <w:bookmarkStart w:id="24" w:name="governance"/>
    <w:p>
      <w:pPr>
        <w:pStyle w:val="Heading2"/>
      </w:pPr>
      <w:r>
        <w:t xml:space="preserve">5. Governance</w:t>
      </w:r>
    </w:p>
    <w:p>
      <w:pPr>
        <w:numPr>
          <w:ilvl w:val="0"/>
          <w:numId w:val="1004"/>
        </w:numPr>
        <w:pStyle w:val="Compact"/>
      </w:pPr>
      <w:r>
        <w:t xml:space="preserve">Der Usecase ist nicht Recruiting, die verbindliche EU-AI-Act-Governance aus Nr. 5 gilt also nicht automatisch. Ich weiß nicht, ob der Kurs für ein eigenes Thema eigene Governance-Anforderungen stellt.</w:t>
      </w:r>
    </w:p>
    <w:p>
      <w:pPr>
        <w:numPr>
          <w:ilvl w:val="0"/>
          <w:numId w:val="1004"/>
        </w:numPr>
        <w:pStyle w:val="Compact"/>
      </w:pPr>
      <w:r>
        <w:t xml:space="preserve">Praktisch bleiben: Human-in-the-Loop bei jeder Nicht-Kleinigkeit, Protokoll jeder Entscheidung, keine automatische Beauftragung oder Abrechnung.</w:t>
      </w:r>
    </w:p>
    <w:bookmarkEnd w:id="24"/>
    <w:bookmarkStart w:id="25" w:name="checkpoints"/>
    <w:p>
      <w:pPr>
        <w:pStyle w:val="Heading2"/>
      </w:pPr>
      <w:r>
        <w:t xml:space="preserve">6. Checkpoints</w:t>
      </w:r>
    </w:p>
    <w:p>
      <w:pPr>
        <w:numPr>
          <w:ilvl w:val="0"/>
          <w:numId w:val="1005"/>
        </w:numPr>
        <w:pStyle w:val="Compact"/>
      </w:pPr>
      <w:r>
        <w:t xml:space="preserve">Fremde könnten den Scope umsetzen: ja, wenn die Einordnungsregeln schriftlich vorliegen.</w:t>
      </w:r>
    </w:p>
    <w:p>
      <w:pPr>
        <w:numPr>
          <w:ilvl w:val="0"/>
          <w:numId w:val="1005"/>
        </w:numPr>
        <w:pStyle w:val="Compact"/>
      </w:pPr>
      <w:r>
        <w:t xml:space="preserve">Kennzahl mit Zahl: ja, noch bestätigen.</w:t>
      </w:r>
    </w:p>
    <w:p>
      <w:pPr>
        <w:numPr>
          <w:ilvl w:val="0"/>
          <w:numId w:val="1005"/>
        </w:numPr>
        <w:pStyle w:val="Compact"/>
      </w:pPr>
      <w:r>
        <w:t xml:space="preserve">Mindestens 3 Ausschlüsse: ja, fünf.</w:t>
      </w:r>
    </w:p>
    <w:p>
      <w:pPr>
        <w:numPr>
          <w:ilvl w:val="0"/>
          <w:numId w:val="1005"/>
        </w:numPr>
        <w:pStyle w:val="Compact"/>
      </w:pPr>
      <w:r>
        <w:t xml:space="preserve">Scope enger als die Ursprungsidee: ja, nur Wartung Plus und nur Einordnung.</w:t>
      </w:r>
    </w:p>
    <w:p>
      <w:pPr>
        <w:numPr>
          <w:ilvl w:val="0"/>
          <w:numId w:val="1005"/>
        </w:numPr>
        <w:pStyle w:val="Compact"/>
      </w:pPr>
      <w:r>
        <w:t xml:space="preserve">„Korrekt” hat einen Standard: ja, Vertragsregeln plus Referenzurteil.</w:t>
      </w:r>
    </w:p>
    <w:bookmarkEnd w:id="25"/>
    <w:bookmarkEnd w:id="26"/>
    <w:sectPr>
      <w:pgSz w:w="11906" w:h="16838"/>
      <w:pgMar w:left="1417" w:right="1417" w:top="1247" w:bottom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2026-10-13T13:30:44Z</dcterms:created>
  <dcterms:modified xsi:type="dcterms:W3CDTF">2026-10-13T13:30:44Z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