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Kunde</w:t>
      </w:r>
      <w:r>
        <w:t xml:space="preserve"> </w:t>
      </w:r>
      <w:r>
        <w:t xml:space="preserve">A</w:t>
      </w:r>
      <w:r>
        <w:t xml:space="preserve"> </w:t>
      </w:r>
      <w:r>
        <w:t xml:space="preserve">(fiktiv)</w:t>
      </w:r>
      <w:r>
        <w:t xml:space="preserve"> </w:t>
      </w:r>
      <w:r>
        <w:t xml:space="preserve">–</w:t>
      </w:r>
      <w:r>
        <w:t xml:space="preserve"> </w:t>
      </w:r>
      <w:r>
        <w:t xml:space="preserve">Vorschlag</w:t>
      </w:r>
    </w:p>
    <w:p>
      <w:pPr>
        <w:pStyle w:val="FirstParagraph"/>
      </w:pPr>
      <w:r>
        <w:rPr>
          <w:iCs/>
          <w:i/>
        </w:rPr>
        <w:t xml:space="preserve">Fiktives Beispiel für den Pflegevertrag (Cloud, v5). Name und Zahlen sind erfunden.</w:t>
      </w:r>
    </w:p>
    <w:bookmarkStart w:id="20" w:name="kunde"/>
    <w:p>
      <w:pPr>
        <w:pStyle w:val="Heading1"/>
      </w:pPr>
      <w:r>
        <w:t xml:space="preserve">1. Kunde</w:t>
      </w:r>
    </w:p>
    <w:p>
      <w:pPr>
        <w:pStyle w:val="FirstParagraph"/>
      </w:pPr>
      <w:r>
        <w:rPr>
          <w:bCs/>
          <w:b/>
        </w:rPr>
        <w:t xml:space="preserve">Allgäuer Sondermaschinenbau GmbH (fiktiv)</w:t>
      </w:r>
      <w:r>
        <w:t xml:space="preserve">, Kempten. Rund 45 Mitarbeiter, davon 12 in Service und Montage. Gebaut werden Sondermaschinen in Kleinserie. Zu jeder Maschine gehören Betriebsanleitung, Wartungsheft und Ersatzteilliste als PDF, insgesamt etwa 300 Dokumente in mehreren Versionen.</w:t>
      </w:r>
    </w:p>
    <w:p>
      <w:pPr>
        <w:pStyle w:val="BodyText"/>
      </w:pPr>
      <w:r>
        <w:rPr>
          <w:bCs/>
          <w:b/>
        </w:rPr>
        <w:t xml:space="preserve">Problem:</w:t>
      </w:r>
      <w:r>
        <w:t xml:space="preserve"> </w:t>
      </w:r>
      <w:r>
        <w:t xml:space="preserve">Servicetechniker und Monteure suchen Antworten in dicken PDFs, zum Beispiel „Welches Drehmoment gilt für die Spindelmutter bei Typ X?” oder „Welche Wartung steht nach 2.000 Betriebsstunden an?“. Das kostet Zeit und führt zu Rückfragen bei den Konstrukteuren.</w:t>
      </w:r>
    </w:p>
    <w:bookmarkEnd w:id="20"/>
    <w:bookmarkStart w:id="21" w:name="die-software-werkstatt-assistent"/>
    <w:p>
      <w:pPr>
        <w:pStyle w:val="Heading1"/>
      </w:pPr>
      <w:r>
        <w:t xml:space="preserve">2. Die Software („Werkstatt-Assistent”)</w:t>
      </w:r>
    </w:p>
    <w:p>
      <w:pPr>
        <w:numPr>
          <w:ilvl w:val="0"/>
          <w:numId w:val="1001"/>
        </w:numPr>
        <w:pStyle w:val="Compact"/>
      </w:pPr>
      <w:r>
        <w:t xml:space="preserve">Chatbot, den die Mitarbeiter im Browser oder auf dem Tablet nutzen (ca. 30 Nutzer).</w:t>
      </w:r>
    </w:p>
    <w:p>
      <w:pPr>
        <w:numPr>
          <w:ilvl w:val="0"/>
          <w:numId w:val="1001"/>
        </w:numPr>
        <w:pStyle w:val="Compact"/>
      </w:pPr>
      <w:r>
        <w:t xml:space="preserve">RAG im Hintergrund: Die Dokumente liegen in einer Vektordatenbank. Der Bot antwortet nur auf Basis dieser Dokumente und nennt die Fundstelle (Dokument, Seite).</w:t>
      </w:r>
    </w:p>
    <w:p>
      <w:pPr>
        <w:numPr>
          <w:ilvl w:val="0"/>
          <w:numId w:val="1001"/>
        </w:numPr>
        <w:pStyle w:val="Compact"/>
      </w:pPr>
      <w:r>
        <w:t xml:space="preserve">Steht keine Antwort in den Dokumenten, sagt der Bot das, statt zu raten.</w:t>
      </w:r>
    </w:p>
    <w:p>
      <w:pPr>
        <w:numPr>
          <w:ilvl w:val="0"/>
          <w:numId w:val="1001"/>
        </w:numPr>
        <w:pStyle w:val="Compact"/>
      </w:pPr>
      <w:r>
        <w:t xml:space="preserve">Betrieb ausschließlich in der Cloud (EU-Hosting). Der Kunde installiert nichts.</w:t>
      </w:r>
    </w:p>
    <w:bookmarkEnd w:id="21"/>
    <w:bookmarkStart w:id="22" w:name="Xd1efbc6c4041e5b42a29601ac83b28cac5cf61b"/>
    <w:p>
      <w:pPr>
        <w:pStyle w:val="Heading1"/>
      </w:pPr>
      <w:r>
        <w:t xml:space="preserve">3. Was der Pflegevertrag bei Kunde A abdeckt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Bereich</w:t>
            </w:r>
          </w:p>
        </w:tc>
        <w:tc>
          <w:tcPr/>
          <w:p>
            <w:pPr>
              <w:pStyle w:val="Compact"/>
              <w:jc w:val="left"/>
            </w:pPr>
            <w:r>
              <w:t xml:space="preserve">Inhalt</w:t>
            </w:r>
          </w:p>
        </w:tc>
      </w:tr>
      <w:tr>
        <w:tc>
          <w:tcPr/>
          <w:p>
            <w:pPr>
              <w:pStyle w:val="Compact"/>
              <w:jc w:val="left"/>
            </w:pPr>
            <w:r>
              <w:t xml:space="preserve">Fehlerbehebung</w:t>
            </w:r>
          </w:p>
        </w:tc>
        <w:tc>
          <w:tcPr/>
          <w:p>
            <w:pPr>
              <w:pStyle w:val="Compact"/>
              <w:jc w:val="left"/>
            </w:pPr>
            <w:r>
              <w:t xml:space="preserve">Bot antwortet falsch oder gar nicht, Ausfall, Fehler beim Einlesen von Dokumenten</w:t>
            </w:r>
          </w:p>
        </w:tc>
      </w:tr>
      <w:tr>
        <w:tc>
          <w:tcPr/>
          <w:p>
            <w:pPr>
              <w:pStyle w:val="Compact"/>
              <w:jc w:val="left"/>
            </w:pPr>
            <w:r>
              <w:t xml:space="preserve">Updates</w:t>
            </w:r>
          </w:p>
        </w:tc>
        <w:tc>
          <w:tcPr/>
          <w:p>
            <w:pPr>
              <w:pStyle w:val="Compact"/>
              <w:jc w:val="left"/>
            </w:pPr>
            <w:r>
              <w:t xml:space="preserve">Aktualisierung von Software, Modellen und Bibliotheken (Ankündigung 5 Werktage vorher)</w:t>
            </w:r>
          </w:p>
        </w:tc>
      </w:tr>
      <w:tr>
        <w:tc>
          <w:tcPr/>
          <w:p>
            <w:pPr>
              <w:pStyle w:val="Compact"/>
              <w:jc w:val="left"/>
            </w:pPr>
            <w:r>
              <w:t xml:space="preserve">Betrieb</w:t>
            </w:r>
          </w:p>
        </w:tc>
        <w:tc>
          <w:tcPr/>
          <w:p>
            <w:pPr>
              <w:pStyle w:val="Compact"/>
              <w:jc w:val="left"/>
            </w:pPr>
            <w:r>
              <w:t xml:space="preserve">Tägliche Datensicherung, Überwachung</w:t>
            </w:r>
          </w:p>
        </w:tc>
      </w:tr>
      <w:tr>
        <w:tc>
          <w:tcPr/>
          <w:p>
            <w:pPr>
              <w:pStyle w:val="Compact"/>
              <w:jc w:val="left"/>
            </w:pPr>
            <w:r>
              <w:t xml:space="preserve">Beratung</w:t>
            </w:r>
          </w:p>
        </w:tc>
        <w:tc>
          <w:tcPr/>
          <w:p>
            <w:pPr>
              <w:pStyle w:val="Compact"/>
              <w:jc w:val="left"/>
            </w:pPr>
            <w:r>
              <w:t xml:space="preserve">Ticketsystem oder E-Mail, Mo–Do 9:30–17:00</w:t>
            </w:r>
          </w:p>
        </w:tc>
      </w:tr>
    </w:tbl>
    <w:bookmarkEnd w:id="22"/>
    <w:bookmarkStart w:id="23" w:name="X170bfbbb0f0057568ec73f199f0f48310516fd3"/>
    <w:p>
      <w:pPr>
        <w:pStyle w:val="Heading1"/>
      </w:pPr>
      <w:r>
        <w:t xml:space="preserve">4. Beispiele für das Änderungsverfahren (Ziffer 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Kategorie</w:t>
            </w:r>
          </w:p>
        </w:tc>
        <w:tc>
          <w:tcPr/>
          <w:p>
            <w:pPr>
              <w:pStyle w:val="Compact"/>
              <w:jc w:val="left"/>
            </w:pPr>
            <w:r>
              <w:t xml:space="preserve">Beispiel bei Kunde A</w:t>
            </w:r>
          </w:p>
        </w:tc>
      </w:tr>
      <w:tr>
        <w:tc>
          <w:tcPr/>
          <w:p>
            <w:pPr>
              <w:pStyle w:val="Compact"/>
              <w:jc w:val="left"/>
            </w:pPr>
            <w:r>
              <w:t xml:space="preserve">A (Kleinstveränderung, bis 1.000 EUR)</w:t>
            </w:r>
          </w:p>
        </w:tc>
        <w:tc>
          <w:tcPr/>
          <w:p>
            <w:pPr>
              <w:pStyle w:val="Compact"/>
              <w:jc w:val="left"/>
            </w:pPr>
            <w:r>
              <w:t xml:space="preserve">Begrüßungstext ändern; Firmenlogo austauschen; neue Dokumente einlesen (bis 100 Seiten je Monat in der Pauschale, darüber nach Aufwand); Antwortlänge anpassen</w:t>
            </w:r>
          </w:p>
        </w:tc>
      </w:tr>
      <w:tr>
        <w:tc>
          <w:tcPr/>
          <w:p>
            <w:pPr>
              <w:pStyle w:val="Compact"/>
              <w:jc w:val="left"/>
            </w:pPr>
            <w:r>
              <w:t xml:space="preserve">B (Zusatzleistung)</w:t>
            </w:r>
          </w:p>
        </w:tc>
        <w:tc>
          <w:tcPr/>
          <w:p>
            <w:pPr>
              <w:pStyle w:val="Compact"/>
              <w:jc w:val="left"/>
            </w:pPr>
            <w:r>
              <w:t xml:space="preserve">Antworten auf Englisch für Auslandsmontage; Rollenrechte (Vertrieb sieht keine Servicedokumente); Auswertung der häufigsten Fragen</w:t>
            </w:r>
          </w:p>
        </w:tc>
      </w:tr>
      <w:tr>
        <w:tc>
          <w:tcPr/>
          <w:p>
            <w:pPr>
              <w:pStyle w:val="Compact"/>
              <w:jc w:val="left"/>
            </w:pPr>
            <w:r>
              <w:t xml:space="preserve">C (größere Änderung)</w:t>
            </w:r>
          </w:p>
        </w:tc>
        <w:tc>
          <w:tcPr/>
          <w:p>
            <w:pPr>
              <w:pStyle w:val="Compact"/>
              <w:jc w:val="left"/>
            </w:pPr>
            <w:r>
              <w:t xml:space="preserve">Anbindung ans ERP oder an die Ersatzteilbestellung; Bilder und Zeichnungen auslesen; neues Modul „Störungsdiagnose”</w:t>
            </w:r>
          </w:p>
        </w:tc>
      </w:tr>
    </w:tbl>
    <w:bookmarkEnd w:id="23"/>
    <w:bookmarkStart w:id="24" w:name="vorschlag-für-die-werte-in-anlage-1"/>
    <w:p>
      <w:pPr>
        <w:pStyle w:val="Heading1"/>
      </w:pPr>
      <w:r>
        <w:t xml:space="preserve">5. Vorschlag für die Werte in Anlage 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Punkt</w:t>
            </w:r>
          </w:p>
        </w:tc>
        <w:tc>
          <w:tcPr/>
          <w:p>
            <w:pPr>
              <w:pStyle w:val="Compact"/>
              <w:jc w:val="left"/>
            </w:pPr>
            <w:r>
              <w:t xml:space="preserve">Vorschlag</w:t>
            </w:r>
          </w:p>
        </w:tc>
      </w:tr>
      <w:tr>
        <w:tc>
          <w:tcPr/>
          <w:p>
            <w:pPr>
              <w:pStyle w:val="Compact"/>
              <w:jc w:val="left"/>
            </w:pPr>
            <w:r>
              <w:t xml:space="preserve">Programm</w:t>
            </w:r>
          </w:p>
        </w:tc>
        <w:tc>
          <w:tcPr/>
          <w:p>
            <w:pPr>
              <w:pStyle w:val="Compact"/>
              <w:jc w:val="left"/>
            </w:pPr>
            <w:r>
              <w:t xml:space="preserve">Werkstatt-Assistent (Chatbot mit Dokumentensuche), 1 Mandant, bis ca. 30 Nutzer, bis ca. 500 Dokumente</w:t>
            </w:r>
          </w:p>
        </w:tc>
      </w:tr>
      <w:tr>
        <w:tc>
          <w:tcPr/>
          <w:p>
            <w:pPr>
              <w:pStyle w:val="Compact"/>
              <w:jc w:val="left"/>
            </w:pPr>
            <w:r>
              <w:t xml:space="preserve">Systemverantwortlicher</w:t>
            </w:r>
          </w:p>
        </w:tc>
        <w:tc>
          <w:tcPr/>
          <w:p>
            <w:pPr>
              <w:pStyle w:val="Compact"/>
              <w:jc w:val="left"/>
            </w:pPr>
            <w:r>
              <w:t xml:space="preserve">Leiter Service (Stellvertreter: Leiter Konstruktion)</w:t>
            </w:r>
          </w:p>
        </w:tc>
      </w:tr>
      <w:tr>
        <w:tc>
          <w:tcPr/>
          <w:p>
            <w:pPr>
              <w:pStyle w:val="Compact"/>
              <w:jc w:val="left"/>
            </w:pPr>
            <w:r>
              <w:t xml:space="preserve">Pauschale</w:t>
            </w:r>
          </w:p>
        </w:tc>
        <w:tc>
          <w:tcPr/>
          <w:p>
            <w:pPr>
              <w:pStyle w:val="Compact"/>
              <w:jc w:val="left"/>
            </w:pPr>
            <w:r>
              <w:t xml:space="preserve">3.200 EUR im Monat (entschieden)</w:t>
            </w:r>
          </w:p>
        </w:tc>
      </w:tr>
      <w:tr>
        <w:tc>
          <w:tcPr/>
          <w:p>
            <w:pPr>
              <w:pStyle w:val="Compact"/>
              <w:jc w:val="left"/>
            </w:pPr>
            <w:r>
              <w:t xml:space="preserve">Laufzeit</w:t>
            </w:r>
          </w:p>
        </w:tc>
        <w:tc>
          <w:tcPr/>
          <w:p>
            <w:pPr>
              <w:pStyle w:val="Compact"/>
              <w:jc w:val="left"/>
            </w:pPr>
            <w:r>
              <w:t xml:space="preserve">24 Monate, danach Verlängerung (wie im Vertrag)</w:t>
            </w:r>
          </w:p>
        </w:tc>
      </w:tr>
      <w:tr>
        <w:tc>
          <w:tcPr/>
          <w:p>
            <w:pPr>
              <w:pStyle w:val="Compact"/>
              <w:jc w:val="left"/>
            </w:pPr>
            <w:r>
              <w:t xml:space="preserve">Freigabegrenze 6.3</w:t>
            </w:r>
          </w:p>
        </w:tc>
        <w:tc>
          <w:tcPr/>
          <w:p>
            <w:pPr>
              <w:pStyle w:val="Compact"/>
              <w:jc w:val="left"/>
            </w:pPr>
            <w:r>
              <w:t xml:space="preserve">500 EUR</w:t>
            </w:r>
          </w:p>
        </w:tc>
      </w:tr>
      <w:tr>
        <w:tc>
          <w:tcPr/>
          <w:p>
            <w:pPr>
              <w:pStyle w:val="Compact"/>
              <w:jc w:val="left"/>
            </w:pPr>
            <w:r>
              <w:t xml:space="preserve">Dienstleister 8.5</w:t>
            </w:r>
          </w:p>
        </w:tc>
        <w:tc>
          <w:tcPr/>
          <w:p>
            <w:pPr>
              <w:pStyle w:val="Compact"/>
              <w:jc w:val="left"/>
            </w:pPr>
            <w:r>
              <w:t xml:space="preserve">Hosting (EU), KI-Modell-Anbieter (EU-Verarbeitung), Vektordatenbank</w:t>
            </w:r>
          </w:p>
        </w:tc>
      </w:tr>
      <w:tr>
        <w:tc>
          <w:tcPr/>
          <w:p>
            <w:pPr>
              <w:pStyle w:val="Compact"/>
              <w:jc w:val="left"/>
            </w:pPr>
            <w:r>
              <w:t xml:space="preserve">Datenschutz</w:t>
            </w:r>
          </w:p>
        </w:tc>
        <w:tc>
          <w:tcPr/>
          <w:p>
            <w:pPr>
              <w:pStyle w:val="Compact"/>
              <w:jc w:val="left"/>
            </w:pPr>
            <w:r>
              <w:t xml:space="preserve">Chatverläufe werden nicht gespeichert. Die Nutzerkonten und die Verarbeitung der Fragen durch Hosting und KI-Dienst bleiben ein Datenschutzthema, daher AV-Vertrag nach Art. 28 DSGVO (siehe Ziffer 6.9)</w:t>
            </w:r>
          </w:p>
        </w:tc>
      </w:tr>
    </w:tbl>
    <w:bookmarkEnd w:id="24"/>
    <w:bookmarkStart w:id="25" w:name="entschieden"/>
    <w:p>
      <w:pPr>
        <w:pStyle w:val="Heading1"/>
      </w:pPr>
      <w:r>
        <w:t xml:space="preserve">6. Entschieden</w:t>
      </w:r>
    </w:p>
    <w:p>
      <w:pPr>
        <w:numPr>
          <w:ilvl w:val="0"/>
          <w:numId w:val="1002"/>
        </w:numPr>
        <w:pStyle w:val="Compact"/>
      </w:pPr>
      <w:r>
        <w:t xml:space="preserve">Pauschale bleibt bei 3.200 EUR im Monat.</w:t>
      </w:r>
    </w:p>
    <w:p>
      <w:pPr>
        <w:numPr>
          <w:ilvl w:val="0"/>
          <w:numId w:val="1002"/>
        </w:numPr>
        <w:pStyle w:val="Compact"/>
      </w:pPr>
      <w:r>
        <w:t xml:space="preserve">Neue Dokumente einlesen ist Kategorie A. Bis zu 100 Seiten pro Monat sind in der Pauschale enthalten, darüber gilt der Stundensatz.</w:t>
      </w:r>
    </w:p>
    <w:p>
      <w:pPr>
        <w:numPr>
          <w:ilvl w:val="0"/>
          <w:numId w:val="1002"/>
        </w:numPr>
        <w:pStyle w:val="Compact"/>
      </w:pPr>
      <w:r>
        <w:t xml:space="preserve">Das erste Einlesen des Erstbestands (ca. 300 Dokumente) ist ein Einrichtungsauftrag außerhalb der Pflege und wird gesondert angeboten.</w:t>
      </w:r>
    </w:p>
    <w:p>
      <w:pPr>
        <w:numPr>
          <w:ilvl w:val="0"/>
          <w:numId w:val="1002"/>
        </w:numPr>
        <w:pStyle w:val="Compact"/>
      </w:pPr>
      <w:r>
        <w:t xml:space="preserve">Chatverläufe werden nicht gespeichert.</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Kunde A (fiktiv) – Vorschlag</dc:title>
  <dc:creator/>
  <cp:keywords/>
  <dcterms:created xsi:type="dcterms:W3CDTF">2026-10-15T09:37:45Z</dcterms:created>
  <dcterms:modified xsi:type="dcterms:W3CDTF">2026-10-15T09:37:45Z</dcterms:modified>
</cp:coreProperties>
</file>

<file path=docProps/custom.xml><?xml version="1.0" encoding="utf-8"?>
<Properties xmlns="http://schemas.openxmlformats.org/officeDocument/2006/custom-properties" xmlns:vt="http://schemas.openxmlformats.org/officeDocument/2006/docPropsVTypes"/>
</file>