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Pflegevertrag</w:t>
      </w:r>
      <w:r>
        <w:t xml:space="preserve"> </w:t>
      </w:r>
      <w:r>
        <w:t xml:space="preserve">(Cloud)</w:t>
      </w:r>
      <w:r>
        <w:t xml:space="preserve"> </w:t>
      </w:r>
      <w:r>
        <w:t xml:space="preserve">–</w:t>
      </w:r>
      <w:r>
        <w:t xml:space="preserve"> </w:t>
      </w:r>
      <w:r>
        <w:t xml:space="preserve">Kurzfassung,</w:t>
      </w:r>
      <w:r>
        <w:t xml:space="preserve"> </w:t>
      </w:r>
      <w:r>
        <w:t xml:space="preserve">anonymisiert</w:t>
      </w:r>
      <w:r>
        <w:t xml:space="preserve"> </w:t>
      </w:r>
      <w:r>
        <w:t xml:space="preserve">(Kunde</w:t>
      </w:r>
      <w:r>
        <w:t xml:space="preserve"> </w:t>
      </w:r>
      <w:r>
        <w:t xml:space="preserve">B)</w:t>
      </w:r>
    </w:p>
    <w:p>
      <w:pPr>
        <w:pStyle w:val="FirstParagraph"/>
      </w:pPr>
      <w:r>
        <w:rPr>
          <w:iCs/>
          <w:i/>
        </w:rPr>
        <w:t xml:space="preserve">Gekürzte und anonymisierte Fassung eines Softwarepflegevertrags (Vertragsart: Pflege, Cloud). Enthalten sind nur die Regeln und Zahlen, die für die Bearbeitung von Fehlermeldungen und Änderungswünschen wichtig sind. Die Verweise in Klammern zeigen die Ziffer im Volltext. Namen, Anschriften, Kontaktdaten, Daten und Dienstleister sind durch Platzhalter ersetzt.</w:t>
      </w:r>
    </w:p>
    <w:bookmarkStart w:id="20" w:name="parteien-und-ansprechpartner"/>
    <w:p>
      <w:pPr>
        <w:pStyle w:val="Heading1"/>
      </w:pPr>
      <w:r>
        <w:t xml:space="preserve">1. Parteien und Ansprechpartner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Angabe</w:t>
            </w:r>
          </w:p>
        </w:tc>
      </w:tr>
      <w:tr>
        <w:tc>
          <w:tcPr/>
          <w:p>
            <w:pPr>
              <w:pStyle w:val="Compact"/>
              <w:jc w:val="left"/>
            </w:pPr>
            <w:r>
              <w:t xml:space="preserve">Anbieter</w:t>
            </w:r>
          </w:p>
        </w:tc>
        <w:tc>
          <w:tcPr/>
          <w:p>
            <w:pPr>
              <w:pStyle w:val="Compact"/>
              <w:jc w:val="left"/>
            </w:pPr>
            <w:r>
              <w:t xml:space="preserve">[ANBIETER] (Softwarehaus)</w:t>
            </w:r>
          </w:p>
        </w:tc>
      </w:tr>
      <w:tr>
        <w:tc>
          <w:tcPr/>
          <w:p>
            <w:pPr>
              <w:pStyle w:val="Compact"/>
              <w:jc w:val="left"/>
            </w:pPr>
            <w:r>
              <w:t xml:space="preserve">Kunde</w:t>
            </w:r>
          </w:p>
        </w:tc>
        <w:tc>
          <w:tcPr/>
          <w:p>
            <w:pPr>
              <w:pStyle w:val="Compact"/>
              <w:jc w:val="left"/>
            </w:pPr>
            <w:r>
              <w:t xml:space="preserve">[KUNDE] (großes Industrieunternehmen mit weltweitem Vertrieb)</w:t>
            </w:r>
          </w:p>
        </w:tc>
      </w:tr>
      <w:tr>
        <w:tc>
          <w:tcPr/>
          <w:p>
            <w:pPr>
              <w:pStyle w:val="Compact"/>
              <w:jc w:val="left"/>
            </w:pPr>
            <w:r>
              <w:t xml:space="preserve">Systemverantwortlicher Kunde</w:t>
            </w:r>
          </w:p>
        </w:tc>
        <w:tc>
          <w:tcPr/>
          <w:p>
            <w:pPr>
              <w:pStyle w:val="Compact"/>
              <w:jc w:val="left"/>
            </w:pPr>
            <w:r>
              <w:t xml:space="preserve">[SYSTEMVERANTWORTLICHER], Leitung IT-Servicemanagement; Vertretung [STELLVERTRETER], Leitung Digitalisierung (Ziff. 5)</w:t>
            </w:r>
          </w:p>
        </w:tc>
      </w:tr>
      <w:tr>
        <w:tc>
          <w:tcPr/>
          <w:p>
            <w:pPr>
              <w:pStyle w:val="Compact"/>
              <w:jc w:val="left"/>
            </w:pPr>
            <w:r>
              <w:t xml:space="preserve">Ansprechpartner Anbieter</w:t>
            </w:r>
          </w:p>
        </w:tc>
        <w:tc>
          <w:tcPr/>
          <w:p>
            <w:pPr>
              <w:pStyle w:val="Compact"/>
              <w:jc w:val="left"/>
            </w:pPr>
            <w:r>
              <w:t xml:space="preserve">[PROJEKTLEITUNG], Vertretung [SENIOR-ENTWICKLER] (Ziff. 4.2)</w:t>
            </w:r>
          </w:p>
        </w:tc>
      </w:tr>
      <w:tr>
        <w:tc>
          <w:tcPr/>
          <w:p>
            <w:pPr>
              <w:pStyle w:val="Compact"/>
              <w:jc w:val="left"/>
            </w:pPr>
            <w:r>
              <w:t xml:space="preserve">Kontakt Anbieter</w:t>
            </w:r>
          </w:p>
        </w:tc>
        <w:tc>
          <w:tcPr/>
          <w:p>
            <w:pPr>
              <w:pStyle w:val="Compact"/>
              <w:jc w:val="left"/>
            </w:pPr>
            <w:r>
              <w:t xml:space="preserve">[TELEFON], [SUPPORT-E-MAIL] (Ziff. 4.2)</w:t>
            </w:r>
          </w:p>
        </w:tc>
      </w:tr>
      <w:tr>
        <w:tc>
          <w:tcPr/>
          <w:p>
            <w:pPr>
              <w:pStyle w:val="Compact"/>
              <w:jc w:val="left"/>
            </w:pPr>
            <w:r>
              <w:t xml:space="preserve">Vertragsbeginn</w:t>
            </w:r>
          </w:p>
        </w:tc>
        <w:tc>
          <w:tcPr/>
          <w:p>
            <w:pPr>
              <w:pStyle w:val="Compact"/>
              <w:jc w:val="left"/>
            </w:pPr>
            <w:r>
              <w:t xml:space="preserve">[DATUM]</w:t>
            </w:r>
          </w:p>
        </w:tc>
      </w:tr>
    </w:tbl>
    <w:bookmarkEnd w:id="20"/>
    <w:bookmarkStart w:id="21" w:name="kerndaten"/>
    <w:p>
      <w:pPr>
        <w:pStyle w:val="Heading1"/>
      </w:pPr>
      <w:r>
        <w:t xml:space="preserve">2. Kerndaten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Wert</w:t>
            </w:r>
          </w:p>
        </w:tc>
      </w:tr>
      <w:tr>
        <w:tc>
          <w:tcPr/>
          <w:p>
            <w:pPr>
              <w:pStyle w:val="Compact"/>
              <w:jc w:val="left"/>
            </w:pPr>
            <w:r>
              <w:t xml:space="preserve">Vertragsart</w:t>
            </w:r>
          </w:p>
        </w:tc>
        <w:tc>
          <w:tcPr/>
          <w:p>
            <w:pPr>
              <w:pStyle w:val="Compact"/>
              <w:jc w:val="left"/>
            </w:pPr>
            <w:r>
              <w:t xml:space="preserve">Softwarepflege, ausschließlich Cloud; Hosting und Betrieb gehören zur Leistung des Anbieters (1.1)</w:t>
            </w:r>
          </w:p>
        </w:tc>
      </w:tr>
      <w:tr>
        <w:tc>
          <w:tcPr/>
          <w:p>
            <w:pPr>
              <w:pStyle w:val="Compact"/>
              <w:jc w:val="left"/>
            </w:pPr>
            <w:r>
              <w:t xml:space="preserve">Pauschale</w:t>
            </w:r>
          </w:p>
        </w:tc>
        <w:tc>
          <w:tcPr/>
          <w:p>
            <w:pPr>
              <w:pStyle w:val="Compact"/>
              <w:jc w:val="left"/>
            </w:pPr>
            <w:r>
              <w:t xml:space="preserve">8.000 EUR im Monat, zuzüglich Umsatzsteuer (7.1, 7.6)</w:t>
            </w:r>
          </w:p>
        </w:tc>
      </w:tr>
      <w:tr>
        <w:tc>
          <w:tcPr/>
          <w:p>
            <w:pPr>
              <w:pStyle w:val="Compact"/>
              <w:jc w:val="left"/>
            </w:pPr>
            <w:r>
              <w:t xml:space="preserve">Erste (Teil-)Rate</w:t>
            </w:r>
          </w:p>
        </w:tc>
        <w:tc>
          <w:tcPr/>
          <w:p>
            <w:pPr>
              <w:pStyle w:val="Compact"/>
              <w:jc w:val="left"/>
            </w:pPr>
            <w:r>
              <w:t xml:space="preserve">4.000 EUR, fällig nach Unterzeichnung und Rechnung (7.2)</w:t>
            </w:r>
          </w:p>
        </w:tc>
      </w:tr>
      <w:tr>
        <w:tc>
          <w:tcPr/>
          <w:p>
            <w:pPr>
              <w:pStyle w:val="Compact"/>
              <w:jc w:val="left"/>
            </w:pPr>
            <w:r>
              <w:t xml:space="preserve">Zahlung</w:t>
            </w:r>
          </w:p>
        </w:tc>
        <w:tc>
          <w:tcPr/>
          <w:p>
            <w:pPr>
              <w:pStyle w:val="Compact"/>
              <w:jc w:val="left"/>
            </w:pPr>
            <w:r>
              <w:t xml:space="preserve">monatlich im Voraus, spätestens am letzten Werktag des Vormonats (7.2)</w:t>
            </w:r>
          </w:p>
        </w:tc>
      </w:tr>
      <w:tr>
        <w:tc>
          <w:tcPr/>
          <w:p>
            <w:pPr>
              <w:pStyle w:val="Compact"/>
              <w:jc w:val="left"/>
            </w:pPr>
            <w:r>
              <w:t xml:space="preserve">Spesen</w:t>
            </w:r>
          </w:p>
        </w:tc>
        <w:tc>
          <w:tcPr/>
          <w:p>
            <w:pPr>
              <w:pStyle w:val="Compact"/>
              <w:jc w:val="left"/>
            </w:pPr>
            <w:r>
              <w:t xml:space="preserve">nicht gesondert berechnet (7.3)</w:t>
            </w:r>
          </w:p>
        </w:tc>
      </w:tr>
      <w:tr>
        <w:tc>
          <w:tcPr/>
          <w:p>
            <w:pPr>
              <w:pStyle w:val="Compact"/>
              <w:jc w:val="left"/>
            </w:pPr>
            <w:r>
              <w:t xml:space="preserve">Stundensätze außerhalb der Pauschale</w:t>
            </w:r>
          </w:p>
        </w:tc>
        <w:tc>
          <w:tcPr/>
          <w:p>
            <w:pPr>
              <w:pStyle w:val="Compact"/>
              <w:jc w:val="left"/>
            </w:pPr>
            <w:r>
              <w:t xml:space="preserve">Entwickler 95 EUR, Senior/Architekt 190 EUR (7.4)</w:t>
            </w:r>
          </w:p>
        </w:tc>
      </w:tr>
      <w:tr>
        <w:tc>
          <w:tcPr/>
          <w:p>
            <w:pPr>
              <w:pStyle w:val="Compact"/>
              <w:jc w:val="left"/>
            </w:pPr>
            <w:r>
              <w:t xml:space="preserve">Preisanhebung</w:t>
            </w:r>
          </w:p>
        </w:tc>
        <w:tc>
          <w:tcPr/>
          <w:p>
            <w:pPr>
              <w:pStyle w:val="Compact"/>
              <w:jc w:val="left"/>
            </w:pPr>
            <w:r>
              <w:t xml:space="preserve">nach Ankündigung in Textform, frühestens nach 3 Monaten, höchstens 10 % in 12 Monaten; Kunde kann mit 1 Monat Frist kündigen (7.5)</w:t>
            </w:r>
          </w:p>
        </w:tc>
      </w:tr>
      <w:tr>
        <w:tc>
          <w:tcPr/>
          <w:p>
            <w:pPr>
              <w:pStyle w:val="Compact"/>
              <w:jc w:val="left"/>
            </w:pPr>
            <w:r>
              <w:t xml:space="preserve">Laufzeit</w:t>
            </w:r>
          </w:p>
        </w:tc>
        <w:tc>
          <w:tcPr/>
          <w:p>
            <w:pPr>
              <w:pStyle w:val="Compact"/>
              <w:jc w:val="left"/>
            </w:pPr>
            <w:r>
              <w:t xml:space="preserve">36 Monate, danach Verlängerung um jeweils 12 Monate (13.2)</w:t>
            </w:r>
          </w:p>
        </w:tc>
      </w:tr>
      <w:tr>
        <w:tc>
          <w:tcPr/>
          <w:p>
            <w:pPr>
              <w:pStyle w:val="Compact"/>
              <w:jc w:val="left"/>
            </w:pPr>
            <w:r>
              <w:t xml:space="preserve">Kündigung</w:t>
            </w:r>
          </w:p>
        </w:tc>
        <w:tc>
          <w:tcPr/>
          <w:p>
            <w:pPr>
              <w:pStyle w:val="Compact"/>
              <w:jc w:val="left"/>
            </w:pPr>
            <w:r>
              <w:t xml:space="preserve">6 Monate zum Laufzeitende, in Textform (13.2, 13.4)</w:t>
            </w:r>
          </w:p>
        </w:tc>
      </w:tr>
      <w:tr>
        <w:tc>
          <w:tcPr/>
          <w:p>
            <w:pPr>
              <w:pStyle w:val="Compact"/>
              <w:jc w:val="left"/>
            </w:pPr>
            <w:r>
              <w:t xml:space="preserve">Neue Dokumente einlesen</w:t>
            </w:r>
          </w:p>
        </w:tc>
        <w:tc>
          <w:tcPr/>
          <w:p>
            <w:pPr>
              <w:pStyle w:val="Compact"/>
              <w:jc w:val="left"/>
            </w:pPr>
            <w:r>
              <w:t xml:space="preserve">bis 1.000 Seiten je Kalendermonat in der Pauschale, darüber nach Aufwand (7.1)</w:t>
            </w:r>
          </w:p>
        </w:tc>
      </w:tr>
      <w:tr>
        <w:tc>
          <w:tcPr/>
          <w:p>
            <w:pPr>
              <w:pStyle w:val="Compact"/>
              <w:jc w:val="left"/>
            </w:pPr>
            <w:r>
              <w:t xml:space="preserve">Datensicherung</w:t>
            </w:r>
          </w:p>
        </w:tc>
        <w:tc>
          <w:tcPr/>
          <w:p>
            <w:pPr>
              <w:pStyle w:val="Compact"/>
              <w:jc w:val="left"/>
            </w:pPr>
            <w:r>
              <w:t xml:space="preserve">täglich vollständig und zusätzlich stündlich inkrementell (3.5)</w:t>
            </w:r>
          </w:p>
        </w:tc>
      </w:tr>
    </w:tbl>
    <w:bookmarkEnd w:id="21"/>
    <w:bookmarkStart w:id="24" w:name="leistungsumfang"/>
    <w:p>
      <w:pPr>
        <w:pStyle w:val="Heading1"/>
      </w:pPr>
      <w:r>
        <w:t xml:space="preserve">3. Leistungsumfang</w:t>
      </w:r>
    </w:p>
    <w:bookmarkStart w:id="22" w:name="enthalten"/>
    <w:p>
      <w:pPr>
        <w:pStyle w:val="Heading2"/>
      </w:pPr>
      <w:r>
        <w:t xml:space="preserve">Enthalten</w:t>
      </w:r>
    </w:p>
    <w:p>
      <w:pPr>
        <w:numPr>
          <w:ilvl w:val="0"/>
          <w:numId w:val="1001"/>
        </w:numPr>
        <w:pStyle w:val="Compact"/>
      </w:pPr>
      <w:r>
        <w:t xml:space="preserve">Erhalt und Wiederherstellung der Betriebsbereitschaft, Aktualisierung (Updates), Dokumentation der Arbeiten, Beratung nach Ziff. 4, periodische Software-Tests (1.2).</w:t>
      </w:r>
    </w:p>
    <w:p>
      <w:pPr>
        <w:numPr>
          <w:ilvl w:val="0"/>
          <w:numId w:val="1001"/>
        </w:numPr>
        <w:pStyle w:val="Compact"/>
      </w:pPr>
      <w:r>
        <w:t xml:space="preserve">Pflege der laufenden Dokumentation (Benutzerhandbuch) und der Dateien oder Datenbestände, die im Leistungsschein genannt sind (1.3).</w:t>
      </w:r>
    </w:p>
    <w:p>
      <w:pPr>
        <w:numPr>
          <w:ilvl w:val="0"/>
          <w:numId w:val="1001"/>
        </w:numPr>
        <w:pStyle w:val="Compact"/>
      </w:pPr>
      <w:r>
        <w:t xml:space="preserve">Updates spielt der Anbieter selbst in die Cloud-Umgebung ein; der Kunde installiert nichts, ein Zugriff auf Systeme des Kunden ist nicht nötig (2.5, 2.6).</w:t>
      </w:r>
    </w:p>
    <w:p>
      <w:pPr>
        <w:numPr>
          <w:ilvl w:val="0"/>
          <w:numId w:val="1001"/>
        </w:numPr>
        <w:pStyle w:val="Compact"/>
      </w:pPr>
      <w:r>
        <w:t xml:space="preserve">Gepflegt wird nur die neueste Programmversion; auf Wunsch des Kunden können ältere Versionen bis zu 12 Monate weiterlaufen (2.10).</w:t>
      </w:r>
    </w:p>
    <w:bookmarkEnd w:id="22"/>
    <w:bookmarkStart w:id="23" w:name="nicht-enthalten-ziff.-1.4-wortlaut"/>
    <w:p>
      <w:pPr>
        <w:pStyle w:val="Heading2"/>
      </w:pPr>
      <w:r>
        <w:t xml:space="preserve">Nicht enthalten (Ziff. 1.4, Wortlaut)</w:t>
      </w:r>
    </w:p>
    <w:p>
      <w:pPr>
        <w:pStyle w:val="BlockText"/>
      </w:pPr>
      <w:r>
        <w:t xml:space="preserve">Nicht von diesem Vertrag umfasst sind die erstmalige Installation der Software mitsamt der Herstellung der Kompatibilität mit anderen bestehenden oder künftigen Softwareprogrammen oder einer nicht vereinbarten oder geänderten Hardwareinfrastruktur, die Einweisung und Schulung des Personals des Kunden, der Wechsel der Hardware oder des Betriebssystems des Kunden sowie individuelle Anpassungen der Software. Dies gilt auch für die Beseitigung von Störungen und Schäden, die durch Fehlbedienung seitens des Kunden, durch fehlerhafte Hardware, durch eine Unterbrechung der Stromversorgung, durch Einwirkung Dritter oder durch höhere Gewalt verursacht werden. Individuelle Anpassungen und die übrigen genannten Leistungen können im Einzelfall nach dem Änderungsverfahren in Ziffer 6 gegen gesonderte Vergütung nach den aktuellen Stundensätzen des Anbieters vereinbart und abgerechnet werden.</w:t>
      </w:r>
    </w:p>
    <w:p>
      <w:pPr>
        <w:pStyle w:val="FirstParagraph"/>
      </w:pPr>
      <w:r>
        <w:t xml:space="preserve">Außerdem laut Leistungsschein nicht enthalten: Ersteinlesen des Erstbestands und Einrichtung der Schnittstellen (gesonderter Einrichtungsauftrag), Anbindung weiterer Systeme (z. B. ERP), Auswertung von Bildern und Zeichnungen, Übersetzung der Quelldokumente.</w:t>
      </w:r>
    </w:p>
    <w:bookmarkEnd w:id="23"/>
    <w:bookmarkEnd w:id="24"/>
    <w:bookmarkStart w:id="25" w:name="fehlermeldungen-service"/>
    <w:p>
      <w:pPr>
        <w:pStyle w:val="Heading1"/>
      </w:pPr>
      <w:r>
        <w:t xml:space="preserve">4. Fehlermeldungen (Service)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Servicezeiten</w:t>
            </w:r>
          </w:p>
        </w:tc>
        <w:tc>
          <w:tcPr/>
          <w:p>
            <w:pPr>
              <w:pStyle w:val="Compact"/>
              <w:jc w:val="left"/>
            </w:pPr>
            <w:r>
              <w:t xml:space="preserve">Montag bis Freitag, 7:00 bis 19:00 Uhr (MEZ) (4.2); darüber hinaus nur nach besonderer Vereinbarung gegen gesonderte Vergütung (4.3)</w:t>
            </w:r>
          </w:p>
        </w:tc>
      </w:tr>
      <w:tr>
        <w:tc>
          <w:tcPr/>
          <w:p>
            <w:pPr>
              <w:pStyle w:val="Compact"/>
              <w:jc w:val="left"/>
            </w:pPr>
            <w:r>
              <w:t xml:space="preserve">Reaktionszeit</w:t>
            </w:r>
          </w:p>
        </w:tc>
        <w:tc>
          <w:tcPr/>
          <w:p>
            <w:pPr>
              <w:pStyle w:val="Compact"/>
              <w:jc w:val="left"/>
            </w:pPr>
            <w:r>
              <w:t xml:space="preserve">4 Stunden (2.2)</w:t>
            </w:r>
          </w:p>
        </w:tc>
      </w:tr>
      <w:tr>
        <w:tc>
          <w:tcPr/>
          <w:p>
            <w:pPr>
              <w:pStyle w:val="Compact"/>
              <w:jc w:val="left"/>
            </w:pPr>
            <w:r>
              <w:t xml:space="preserve">Behebung</w:t>
            </w:r>
          </w:p>
        </w:tc>
        <w:tc>
          <w:tcPr/>
          <w:p>
            <w:pPr>
              <w:pStyle w:val="Compact"/>
              <w:jc w:val="left"/>
            </w:pPr>
            <w:r>
              <w:t xml:space="preserve">innerhalb der genannten Frist, spätestens 2 Werktage nach der Meldung (2.2)</w:t>
            </w:r>
          </w:p>
        </w:tc>
      </w:tr>
      <w:tr>
        <w:tc>
          <w:tcPr/>
          <w:p>
            <w:pPr>
              <w:pStyle w:val="Compact"/>
              <w:jc w:val="left"/>
            </w:pPr>
            <w:r>
              <w:t xml:space="preserve">Fristen laufen</w:t>
            </w:r>
          </w:p>
        </w:tc>
        <w:tc>
          <w:tcPr/>
          <w:p>
            <w:pPr>
              <w:pStyle w:val="Compact"/>
              <w:jc w:val="left"/>
            </w:pPr>
            <w:r>
              <w:t xml:space="preserve">nur innerhalb der Servicezeiten (2.2)</w:t>
            </w:r>
          </w:p>
        </w:tc>
      </w:tr>
      <w:tr>
        <w:tc>
          <w:tcPr/>
          <w:p>
            <w:pPr>
              <w:pStyle w:val="Compact"/>
              <w:jc w:val="left"/>
            </w:pPr>
            <w:r>
              <w:t xml:space="preserve">Danach</w:t>
            </w:r>
          </w:p>
        </w:tc>
        <w:tc>
          <w:tcPr/>
          <w:p>
            <w:pPr>
              <w:pStyle w:val="Compact"/>
              <w:jc w:val="left"/>
            </w:pPr>
            <w:r>
              <w:t xml:space="preserve">Anbieter nennt innerhalb angemessener Frist die voraussichtliche Dauer der Analyse und Beseitigung (2.2)</w:t>
            </w:r>
          </w:p>
        </w:tc>
      </w:tr>
      <w:tr>
        <w:tc>
          <w:tcPr/>
          <w:p>
            <w:pPr>
              <w:pStyle w:val="Compact"/>
              <w:jc w:val="left"/>
            </w:pPr>
            <w:r>
              <w:t xml:space="preserve">Fehler</w:t>
            </w:r>
          </w:p>
        </w:tc>
        <w:tc>
          <w:tcPr/>
          <w:p>
            <w:pPr>
              <w:pStyle w:val="Compact"/>
              <w:jc w:val="left"/>
            </w:pPr>
            <w:r>
              <w:t xml:space="preserve">reproduzierbarer Fehler; Software erfüllt eine beschriebene Funktion nicht oder nicht zutreffend (2.1)</w:t>
            </w:r>
          </w:p>
        </w:tc>
      </w:tr>
      <w:tr>
        <w:tc>
          <w:tcPr/>
          <w:p>
            <w:pPr>
              <w:pStyle w:val="Compact"/>
              <w:jc w:val="left"/>
            </w:pPr>
            <w:r>
              <w:t xml:space="preserve">Wesentlicher Fehler</w:t>
            </w:r>
          </w:p>
        </w:tc>
        <w:tc>
          <w:tcPr/>
          <w:p>
            <w:pPr>
              <w:pStyle w:val="Compact"/>
              <w:jc w:val="left"/>
            </w:pPr>
            <w:r>
              <w:t xml:space="preserve">Software ganz oder in einer wesentlichen Funktion nicht oder nur mit erheblichen Einschränkungen nutzbar und keine zumutbare Umgehungslösung; Behebung per Update (2.3)</w:t>
            </w:r>
          </w:p>
        </w:tc>
      </w:tr>
      <w:tr>
        <w:tc>
          <w:tcPr/>
          <w:p>
            <w:pPr>
              <w:pStyle w:val="Compact"/>
              <w:jc w:val="left"/>
            </w:pPr>
            <w:r>
              <w:t xml:space="preserve">Sonstige Fehler</w:t>
            </w:r>
          </w:p>
        </w:tc>
        <w:tc>
          <w:tcPr/>
          <w:p>
            <w:pPr>
              <w:pStyle w:val="Compact"/>
              <w:jc w:val="left"/>
            </w:pPr>
            <w:r>
              <w:t xml:space="preserve">nur mit wirtschaftlich zumutbarem Aufwand, nicht bei notwendiger Neuprogrammierung wesentlicher Teile (2.4)</w:t>
            </w:r>
          </w:p>
        </w:tc>
      </w:tr>
      <w:tr>
        <w:tc>
          <w:tcPr/>
          <w:p>
            <w:pPr>
              <w:pStyle w:val="Compact"/>
              <w:jc w:val="left"/>
            </w:pPr>
            <w:r>
              <w:t xml:space="preserve">Updates</w:t>
            </w:r>
          </w:p>
        </w:tc>
        <w:tc>
          <w:tcPr/>
          <w:p>
            <w:pPr>
              <w:pStyle w:val="Compact"/>
              <w:jc w:val="left"/>
            </w:pPr>
            <w:r>
              <w:t xml:space="preserve">Ankündigung mindestens 10 Werktage vorher (2.5)</w:t>
            </w:r>
          </w:p>
        </w:tc>
      </w:tr>
      <w:tr>
        <w:tc>
          <w:tcPr/>
          <w:p>
            <w:pPr>
              <w:pStyle w:val="Compact"/>
              <w:jc w:val="left"/>
            </w:pPr>
            <w:r>
              <w:t xml:space="preserve">Fehlermeldung ist kein Änderungswunsch</w:t>
            </w:r>
          </w:p>
        </w:tc>
        <w:tc>
          <w:tcPr/>
          <w:p>
            <w:pPr>
              <w:pStyle w:val="Compact"/>
              <w:jc w:val="left"/>
            </w:pPr>
            <w:r>
              <w:t xml:space="preserve">Änderungswünsche laufen nach Abschnitt 6 dieser Kurzfassung (6.1)</w:t>
            </w:r>
          </w:p>
        </w:tc>
      </w:tr>
    </w:tbl>
    <w:p>
      <w:pPr>
        <w:pStyle w:val="BodyText"/>
      </w:pPr>
      <w:r>
        <w:rPr>
          <w:bCs/>
          <w:b/>
        </w:rPr>
        <w:t xml:space="preserve">Mitwirkung des Kunden:</w:t>
      </w:r>
      <w:r>
        <w:t xml:space="preserve"> </w:t>
      </w:r>
      <w:r>
        <w:t xml:space="preserve">Fehler unverzüglich melden und Mängelberichte, Daten und Protokolle liefern (3.1); Endgeräte und Internetverbindung bereitstellen (3.2); sachkundigen Ansprechpartner benennen, der auch für Änderungswünsche zuständig ist (3.3); Ausfallzeiten aufzeichnen, der Anbieter bestätigt in Textform (3.4); Zugangsdaten und Endgeräte schützen (3.5). Fristen des Anbieters setzen die Mitwirkung voraus (2.3).</w:t>
      </w:r>
    </w:p>
    <w:bookmarkEnd w:id="25"/>
    <w:bookmarkStart w:id="28" w:name="X5f71e58066bfc0366e5c2a9f3868621d4a01ca0"/>
    <w:p>
      <w:pPr>
        <w:pStyle w:val="Heading1"/>
      </w:pPr>
      <w:r>
        <w:t xml:space="preserve">5. Gewährleistung, Garantie und Haftung (Ziff. 11 und 12)</w:t>
      </w:r>
    </w:p>
    <w:bookmarkStart w:id="26" w:name="gewährleistung-ziff.-11"/>
    <w:p>
      <w:pPr>
        <w:pStyle w:val="Heading2"/>
      </w:pPr>
      <w:r>
        <w:t xml:space="preserve">Gewährleistung (Ziff. 11)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Zugesicherte Funktionen</w:t>
            </w:r>
          </w:p>
        </w:tc>
        <w:tc>
          <w:tcPr/>
          <w:p>
            <w:pPr>
              <w:pStyle w:val="Compact"/>
              <w:jc w:val="left"/>
            </w:pPr>
            <w:r>
              <w:t xml:space="preserve">Der Anbieter steht dafür ein, dass die Software während der Vertragslaufzeit die im Leistungsschein genannten Funktionen aufweist (11.1)</w:t>
            </w:r>
          </w:p>
        </w:tc>
      </w:tr>
      <w:tr>
        <w:tc>
          <w:tcPr/>
          <w:p>
            <w:pPr>
              <w:pStyle w:val="Compact"/>
              <w:jc w:val="left"/>
            </w:pPr>
            <w:r>
              <w:t xml:space="preserve">Sorgfalt</w:t>
            </w:r>
          </w:p>
        </w:tc>
        <w:tc>
          <w:tcPr/>
          <w:p>
            <w:pPr>
              <w:pStyle w:val="Compact"/>
              <w:jc w:val="left"/>
            </w:pPr>
            <w:r>
              <w:t xml:space="preserve">Arbeiten mit größter Sorgfalt und nach dem neuesten Stand bewährter Technik (11.2)</w:t>
            </w:r>
          </w:p>
        </w:tc>
      </w:tr>
      <w:tr>
        <w:tc>
          <w:tcPr/>
          <w:p>
            <w:pPr>
              <w:pStyle w:val="Compact"/>
              <w:jc w:val="left"/>
            </w:pPr>
            <w:r>
              <w:t xml:space="preserve">Ausweichlösung</w:t>
            </w:r>
          </w:p>
        </w:tc>
        <w:tc>
          <w:tcPr/>
          <w:p>
            <w:pPr>
              <w:pStyle w:val="Compact"/>
              <w:jc w:val="left"/>
            </w:pPr>
            <w:r>
              <w:t xml:space="preserve">Ist ein wesentlicher Fehler (Ziff. 2.3) mit vertretbaren wirtschaftlichen Mitteln nicht zu beseitigen, muss der Anbieter eine Ausweichlösung entwickeln (11.3)</w:t>
            </w:r>
          </w:p>
        </w:tc>
      </w:tr>
      <w:tr>
        <w:tc>
          <w:tcPr/>
          <w:p>
            <w:pPr>
              <w:pStyle w:val="Compact"/>
              <w:jc w:val="left"/>
            </w:pPr>
            <w:r>
              <w:t xml:space="preserve">Frist nicht eingehalten</w:t>
            </w:r>
          </w:p>
        </w:tc>
        <w:tc>
          <w:tcPr/>
          <w:p>
            <w:pPr>
              <w:pStyle w:val="Compact"/>
              <w:jc w:val="left"/>
            </w:pPr>
            <w:r>
              <w:t xml:space="preserve">Der Kunde setzt eine angemessene Nachfrist. Danach kann er den Mangel selbst beseitigen und Ersatz der Aufwendungen verlangen, die Vergütung herabsetzen, Schadensersatz statt der Leistung verlangen oder vom Vertrag zurücktreten (11.4; Frist nach 2.2: Behebung spätestens 2 Werktage)</w:t>
            </w:r>
          </w:p>
        </w:tc>
      </w:tr>
      <w:tr>
        <w:tc>
          <w:tcPr/>
          <w:p>
            <w:pPr>
              <w:pStyle w:val="Compact"/>
              <w:jc w:val="left"/>
            </w:pPr>
            <w:r>
              <w:t xml:space="preserve">Keine Nachfrist nötig</w:t>
            </w:r>
          </w:p>
        </w:tc>
        <w:tc>
          <w:tcPr/>
          <w:p>
            <w:pPr>
              <w:pStyle w:val="Compact"/>
              <w:jc w:val="left"/>
            </w:pPr>
            <w:r>
              <w:t xml:space="preserve">bei Schadensersatz und Rücktritt, wenn der Anbieter die Mängelbeseitigung verweigert, sie zweimal fehlgeschlagen oder dem Kunden unzumutbar ist (11.5)</w:t>
            </w:r>
          </w:p>
        </w:tc>
      </w:tr>
      <w:tr>
        <w:tc>
          <w:tcPr/>
          <w:p>
            <w:pPr>
              <w:pStyle w:val="Compact"/>
              <w:jc w:val="left"/>
            </w:pPr>
            <w:r>
              <w:t xml:space="preserve">Verjährung</w:t>
            </w:r>
          </w:p>
        </w:tc>
        <w:tc>
          <w:tcPr/>
          <w:p>
            <w:pPr>
              <w:pStyle w:val="Compact"/>
              <w:jc w:val="left"/>
            </w:pPr>
            <w:r>
              <w:t xml:space="preserve">2 Jahre ab Zugang der Mängelanzeige (11.6); im Vertrag als Option vermerkt: 1 Jahr, wenn der Kunde Vollkaufmann ist (B2B)</w:t>
            </w:r>
          </w:p>
        </w:tc>
      </w:tr>
    </w:tbl>
    <w:bookmarkEnd w:id="26"/>
    <w:bookmarkStart w:id="27" w:name="garantie-und-haftung-ziff.-12-kernpunkte"/>
    <w:p>
      <w:pPr>
        <w:pStyle w:val="Heading2"/>
      </w:pPr>
      <w:r>
        <w:t xml:space="preserve">Garantie und Haftung (Ziff. 12, Kernpunkte)</w:t>
      </w:r>
    </w:p>
    <w:p>
      <w:pPr>
        <w:numPr>
          <w:ilvl w:val="0"/>
          <w:numId w:val="1002"/>
        </w:numPr>
        <w:pStyle w:val="Compact"/>
      </w:pPr>
      <w:r>
        <w:t xml:space="preserve">Unbeschränkte Haftung bei Vorsatz, grober Fahrlässigkeit und im Umfang einer dem Kunden zugesagten</w:t>
      </w:r>
      <w:r>
        <w:t xml:space="preserve"> </w:t>
      </w:r>
      <w:r>
        <w:rPr>
          <w:bCs/>
          <w:b/>
        </w:rPr>
        <w:t xml:space="preserve">Garantie</w:t>
      </w:r>
      <w:r>
        <w:t xml:space="preserve"> </w:t>
      </w:r>
      <w:r>
        <w:t xml:space="preserve">(12.1).</w:t>
      </w:r>
    </w:p>
    <w:p>
      <w:pPr>
        <w:numPr>
          <w:ilvl w:val="0"/>
          <w:numId w:val="1002"/>
        </w:numPr>
        <w:pStyle w:val="Compact"/>
      </w:pPr>
      <w:r>
        <w:t xml:space="preserve">Bei Verletzung von Leben, Körper oder Gesundheit und im Anwendungsbereich des Produkthaftungsgesetzes auch bei leichter Fahrlässigkeit (12.1).</w:t>
      </w:r>
    </w:p>
    <w:p>
      <w:pPr>
        <w:numPr>
          <w:ilvl w:val="0"/>
          <w:numId w:val="1002"/>
        </w:numPr>
        <w:pStyle w:val="Compact"/>
      </w:pPr>
      <w:r>
        <w:t xml:space="preserve">Sonst bei leichter Fahrlässigkeit nur bei Verletzung einer wesentlichen Vertragspflicht (Kardinalpflicht) (12.1). Die Beschränkung gilt auch zugunsten der Mitarbeiter und Erfüllungsgehilfen des Anbieters (12.2).</w:t>
      </w:r>
    </w:p>
    <w:p>
      <w:pPr>
        <w:numPr>
          <w:ilvl w:val="0"/>
          <w:numId w:val="1002"/>
        </w:numPr>
        <w:pStyle w:val="Compact"/>
      </w:pPr>
      <w:r>
        <w:t xml:space="preserve">Datenverlust: Haftung nur, soweit die Daten aus der Datensicherung mit vertretbarem Aufwand wiederherstellbar sind (12.3).</w:t>
      </w:r>
    </w:p>
    <w:p>
      <w:pPr>
        <w:numPr>
          <w:ilvl w:val="0"/>
          <w:numId w:val="1002"/>
        </w:numPr>
        <w:pStyle w:val="Compact"/>
      </w:pPr>
      <w:r>
        <w:t xml:space="preserve">Der KI-Einsatz ändert die Haftung nicht; eine Einordnung durch das System entbindet den Anbieter nicht von der Verantwortung für die Ergebnisse (12.4).</w:t>
      </w:r>
    </w:p>
    <w:bookmarkEnd w:id="27"/>
    <w:bookmarkEnd w:id="28"/>
    <w:bookmarkStart w:id="29" w:name="Xaf4b88dc5414b1a431cc3e7d02fb91173f4152f"/>
    <w:p>
      <w:pPr>
        <w:pStyle w:val="Heading1"/>
      </w:pPr>
      <w:r>
        <w:t xml:space="preserve">6. Änderungswünsche und Nachtragsverfahren (Ziff. 6)</w:t>
      </w:r>
    </w:p>
    <w:p>
      <w:pPr>
        <w:pStyle w:val="FirstParagraph"/>
      </w:pPr>
      <w:r>
        <w:rPr>
          <w:bCs/>
          <w:b/>
        </w:rPr>
        <w:t xml:space="preserve">Einreichung (6.1):</w:t>
      </w:r>
      <w:r>
        <w:t xml:space="preserve"> </w:t>
      </w:r>
      <w:r>
        <w:t xml:space="preserve">in Textform über das Ticketsystem des Anbieters oder per E-Mail, mit Beschreibung des gewünschten Ergebnisses und, soweit bekannt, der Dringlichkeit.</w:t>
      </w:r>
    </w:p>
    <w:p>
      <w:pPr>
        <w:pStyle w:val="BodyText"/>
      </w:pPr>
      <w:r>
        <w:rPr>
          <w:bCs/>
          <w:b/>
        </w:rPr>
        <w:t xml:space="preserve">Ersteinordnung (6.2):</w:t>
      </w:r>
      <w:r>
        <w:t xml:space="preserve"> </w:t>
      </w:r>
      <w:r>
        <w:t xml:space="preserve">Der Anbieter ordnet jeden Änderungswunsch zuerst mit einem KI-gestützten System einer Kategorie zu.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Kategorie</w:t>
            </w:r>
          </w:p>
        </w:tc>
        <w:tc>
          <w:tcPr/>
          <w:p>
            <w:pPr>
              <w:pStyle w:val="Compact"/>
              <w:jc w:val="left"/>
            </w:pPr>
            <w:r>
              <w:t xml:space="preserve">Merkmale</w:t>
            </w:r>
          </w:p>
        </w:tc>
        <w:tc>
          <w:tcPr/>
          <w:p>
            <w:pPr>
              <w:pStyle w:val="Compact"/>
              <w:jc w:val="left"/>
            </w:pPr>
            <w:r>
              <w:t xml:space="preserve">Wer entscheidet</w:t>
            </w:r>
          </w:p>
        </w:tc>
        <w:tc>
          <w:tcPr/>
          <w:p>
            <w:pPr>
              <w:pStyle w:val="Compact"/>
              <w:jc w:val="left"/>
            </w:pPr>
            <w:r>
              <w:t xml:space="preserve">Folge und Abrechnung</w:t>
            </w:r>
          </w:p>
        </w:tc>
        <w:tc>
          <w:tcPr/>
          <w:p>
            <w:pPr>
              <w:pStyle w:val="Compact"/>
              <w:jc w:val="left"/>
            </w:pPr>
            <w:r>
              <w:t xml:space="preserve">Kundenfreigabe</w:t>
            </w:r>
          </w:p>
        </w:tc>
      </w:tr>
      <w:tr>
        <w:tc>
          <w:tcPr/>
          <w:p>
            <w:pPr>
              <w:pStyle w:val="Compact"/>
              <w:jc w:val="left"/>
            </w:pPr>
            <w:r>
              <w:t xml:space="preserve">A – Kleinstveränderung</w:t>
            </w:r>
          </w:p>
        </w:tc>
        <w:tc>
          <w:tcPr/>
          <w:p>
            <w:pPr>
              <w:pStyle w:val="Compact"/>
              <w:jc w:val="left"/>
            </w:pPr>
            <w:r>
              <w:t xml:space="preserve">Aufwand höchstens 2.500 EUR je Änderung; keine Auswirkung auf Architektur, Datenmodelle, Schnittstellen, Sicherheit oder Datenschutz. Beispiele: Text-, Konfigurations-, kleine Oberflächen- oder Berichtsänderung</w:t>
            </w:r>
          </w:p>
        </w:tc>
        <w:tc>
          <w:tcPr/>
          <w:p>
            <w:pPr>
              <w:pStyle w:val="Compact"/>
              <w:jc w:val="left"/>
            </w:pPr>
            <w:r>
              <w:t xml:space="preserve">System gibt frei; ein Mitarbeiter kann stichprobenartig nachsehen</w:t>
            </w:r>
          </w:p>
        </w:tc>
        <w:tc>
          <w:tcPr/>
          <w:p>
            <w:pPr>
              <w:pStyle w:val="Compact"/>
              <w:jc w:val="left"/>
            </w:pPr>
            <w:r>
              <w:t xml:space="preserve">Mitteilung an den Kunden und Umsetzung ohne Einzelangebot; Abrechnung nach Aufwand zu den Stundensätzen (6.3)</w:t>
            </w:r>
          </w:p>
        </w:tc>
        <w:tc>
          <w:tcPr/>
          <w:p>
            <w:pPr>
              <w:pStyle w:val="Compact"/>
              <w:jc w:val="left"/>
            </w:pPr>
            <w:r>
              <w:t xml:space="preserve">Vorab in Textform, wenn der geschätzte Aufwand über 1.500 EUR liegt</w:t>
            </w:r>
          </w:p>
        </w:tc>
      </w:tr>
      <w:tr>
        <w:tc>
          <w:tcPr/>
          <w:p>
            <w:pPr>
              <w:pStyle w:val="Compact"/>
              <w:jc w:val="left"/>
            </w:pPr>
            <w:r>
              <w:t xml:space="preserve">B – Zusatzleistung</w:t>
            </w:r>
          </w:p>
        </w:tc>
        <w:tc>
          <w:tcPr/>
          <w:p>
            <w:pPr>
              <w:pStyle w:val="Compact"/>
              <w:jc w:val="left"/>
            </w:pPr>
            <w:r>
              <w:t xml:space="preserve">Aufwand über der Grenze von A oder nicht im Leistungsschein enthalten, aber keine Kategorie C</w:t>
            </w:r>
          </w:p>
        </w:tc>
        <w:tc>
          <w:tcPr/>
          <w:p>
            <w:pPr>
              <w:pStyle w:val="Compact"/>
              <w:jc w:val="left"/>
            </w:pPr>
            <w:r>
              <w:t xml:space="preserve">Mitarbeiter nach Kalkulation</w:t>
            </w:r>
          </w:p>
        </w:tc>
        <w:tc>
          <w:tcPr/>
          <w:p>
            <w:pPr>
              <w:pStyle w:val="Compact"/>
              <w:jc w:val="left"/>
            </w:pPr>
            <w:r>
              <w:t xml:space="preserve">Aufwandsschätzung an den Kunden; Umsetzung erst nach Bestätigung in Textform (Nachtrag)</w:t>
            </w:r>
          </w:p>
        </w:tc>
        <w:tc>
          <w:tcPr/>
          <w:p>
            <w:pPr>
              <w:pStyle w:val="Compact"/>
              <w:jc w:val="left"/>
            </w:pPr>
            <w:r>
              <w:t xml:space="preserve">immer (Bestätigung)</w:t>
            </w:r>
          </w:p>
        </w:tc>
      </w:tr>
      <w:tr>
        <w:tc>
          <w:tcPr/>
          <w:p>
            <w:pPr>
              <w:pStyle w:val="Compact"/>
              <w:jc w:val="left"/>
            </w:pPr>
            <w:r>
              <w:t xml:space="preserve">C – größere Änderung</w:t>
            </w:r>
          </w:p>
        </w:tc>
        <w:tc>
          <w:tcPr/>
          <w:p>
            <w:pPr>
              <w:pStyle w:val="Compact"/>
              <w:jc w:val="left"/>
            </w:pPr>
            <w:r>
              <w:t xml:space="preserve">Änderung von Architektur, Datenmodellen oder Schnittstellen; wesentliche Erweiterung (Upgrade); neue Module</w:t>
            </w:r>
          </w:p>
        </w:tc>
        <w:tc>
          <w:tcPr/>
          <w:p>
            <w:pPr>
              <w:pStyle w:val="Compact"/>
              <w:jc w:val="left"/>
            </w:pPr>
            <w:r>
              <w:t xml:space="preserve">Mitarbeiter</w:t>
            </w:r>
          </w:p>
        </w:tc>
        <w:tc>
          <w:tcPr/>
          <w:p>
            <w:pPr>
              <w:pStyle w:val="Compact"/>
              <w:jc w:val="left"/>
            </w:pPr>
            <w:r>
              <w:t xml:space="preserve">Einzelangebot nach menschlicher Prüfung; Nachtrag oder gesonderter Vertrag</w:t>
            </w:r>
          </w:p>
        </w:tc>
        <w:tc>
          <w:tcPr/>
          <w:p>
            <w:pPr>
              <w:pStyle w:val="Compact"/>
              <w:jc w:val="left"/>
            </w:pPr>
            <w:r>
              <w:t xml:space="preserve">immer (Angebot)</w:t>
            </w:r>
          </w:p>
        </w:tc>
      </w:tr>
    </w:tbl>
    <w:p>
      <w:pPr>
        <w:pStyle w:val="BodyText"/>
      </w:pPr>
      <w:r>
        <w:rPr>
          <w:bCs/>
          <w:b/>
        </w:rPr>
        <w:t xml:space="preserve">Menschliche Prüfung (6.4):</w:t>
      </w:r>
      <w:r>
        <w:t xml:space="preserve"> </w:t>
      </w:r>
      <w:r>
        <w:t xml:space="preserve">Ein Mitarbeiter prüft jede Einordnung in B oder C, jede unsichere Einordnung des Systems und jede Änderung, die Architektur, Datenmodelle, Schnittstellen, Sicherheit oder personenbezogene Daten berührt, bevor der Kunde eine Kalkulation, ein Angebot oder einen Preis erhält. Das System gibt keine rechtsverbindlichen Erklärungen ab, nimmt keine Aufträge an und stellt keine Rechnungen. Angebote, Nachträge und Preise gibt ausschließlich ein Mitarbeiter frei.</w:t>
      </w:r>
    </w:p>
    <w:p>
      <w:pPr>
        <w:pStyle w:val="BodyText"/>
      </w:pPr>
      <w:r>
        <w:rPr>
          <w:bCs/>
          <w:b/>
        </w:rPr>
        <w:t xml:space="preserve">Mitteilung und Überprüfung (6.5):</w:t>
      </w:r>
      <w:r>
        <w:t xml:space="preserve"> </w:t>
      </w:r>
      <w:r>
        <w:t xml:space="preserve">Der Anbieter teilt die Einordnung mit kurzer Begründung in Textform mit. Der Kunde kann innerhalb von 5 Arbeitstagen verlangen, dass ein Mitarbeiter sie überprüft. Bis zur Entscheidung ruhen Umsetzung und Abrechnung, außer der Kunde verlangt in Textform die sofortige Umsetzung unter Vorbehalt.</w:t>
      </w:r>
    </w:p>
    <w:p>
      <w:pPr>
        <w:pStyle w:val="BodyText"/>
      </w:pPr>
      <w:r>
        <w:rPr>
          <w:bCs/>
          <w:b/>
        </w:rPr>
        <w:t xml:space="preserve">Verbindlichkeit (6.6):</w:t>
      </w:r>
      <w:r>
        <w:t xml:space="preserve"> </w:t>
      </w:r>
      <w:r>
        <w:t xml:space="preserve">Die Einordnung durch das System begründet keine Zahlungspflicht. Vergütung entsteht nur nach den Stundensätzen und diesem Verfahren; bei B und C erst nach Bestätigung in Textform durch beide Parteien.</w:t>
      </w:r>
    </w:p>
    <w:p>
      <w:pPr>
        <w:pStyle w:val="BodyText"/>
      </w:pPr>
      <w:r>
        <w:rPr>
          <w:bCs/>
          <w:b/>
        </w:rPr>
        <w:t xml:space="preserve">Protokoll (6.7):</w:t>
      </w:r>
      <w:r>
        <w:t xml:space="preserve"> </w:t>
      </w:r>
      <w:r>
        <w:t xml:space="preserve">Je Änderungswunsch werden Eingang, Einordnung, Begründung, Sicherheitswert, Mitwirkung eines Mitarbeiters und Freigabe protokolliert. Der Kunde erhält auf Verlangen einen Auszug. Aufbewahrung: Vertragsdauer plus 12 Monate.</w:t>
      </w:r>
    </w:p>
    <w:p>
      <w:pPr>
        <w:pStyle w:val="BodyText"/>
      </w:pPr>
      <w:r>
        <w:rPr>
          <w:bCs/>
          <w:b/>
        </w:rPr>
        <w:t xml:space="preserve">Fehleinordnung (6.8):</w:t>
      </w:r>
      <w:r>
        <w:t xml:space="preserve"> </w:t>
      </w:r>
      <w:r>
        <w:t xml:space="preserve">Aufwand durch eine Fehleinordnung, die der Anbieter zu verantworten hat (z. B. B oder C statt A), wird nicht berechnet.</w:t>
      </w:r>
    </w:p>
    <w:p>
      <w:pPr>
        <w:pStyle w:val="BodyText"/>
      </w:pPr>
      <w:r>
        <w:rPr>
          <w:bCs/>
          <w:b/>
        </w:rPr>
        <w:t xml:space="preserve">KI-Einsatz (6.9):</w:t>
      </w:r>
      <w:r>
        <w:t xml:space="preserve"> </w:t>
      </w:r>
      <w:r>
        <w:t xml:space="preserve">Die KI ist ein Hilfsmittel; der Anbieter bleibt für die Bearbeitung verantwortlich (12.4). Eingereichte Inhalte werden nur zur Einordnung und Bearbeitung verarbeitet und nicht zum Training allgemeiner Modelle verwendet. Bei personenbezogenen Daten wird vorab eine Auftragsverarbeitung nach Art. 28 DSGVO geschlossen. Der Anbieter weist den Kunden auf den KI-Einsatz hin.</w:t>
      </w:r>
    </w:p>
    <w:bookmarkEnd w:id="29"/>
    <w:bookmarkStart w:id="30" w:name="datenschutz-und-dienstleister"/>
    <w:p>
      <w:pPr>
        <w:pStyle w:val="Heading1"/>
      </w:pPr>
      <w:r>
        <w:t xml:space="preserve">7. Datenschutz und Dienstleister</w:t>
      </w:r>
    </w:p>
    <w:p>
      <w:pPr>
        <w:numPr>
          <w:ilvl w:val="0"/>
          <w:numId w:val="1003"/>
        </w:numPr>
        <w:pStyle w:val="Compact"/>
      </w:pPr>
      <w:r>
        <w:t xml:space="preserve">Vertraulichkeit über alle geschäftlichen Angelegenheiten, auch nach Vertragsende (8.1). Daten nur zu Pflegezwecken nutzen und löschen, wenn sie nicht mehr gebraucht werden (8.2).</w:t>
      </w:r>
    </w:p>
    <w:p>
      <w:pPr>
        <w:numPr>
          <w:ilvl w:val="0"/>
          <w:numId w:val="1003"/>
        </w:numPr>
        <w:pStyle w:val="Compact"/>
      </w:pPr>
      <w:r>
        <w:t xml:space="preserve">Für Hosting, Subunternehmer und KI-Dienstleister gilt ein gesonderter Vertrag zur Auftragsverarbeitung (8.4).</w:t>
      </w:r>
    </w:p>
    <w:p>
      <w:pPr>
        <w:numPr>
          <w:ilvl w:val="0"/>
          <w:numId w:val="1003"/>
        </w:numPr>
        <w:pStyle w:val="Compact"/>
      </w:pPr>
      <w:r>
        <w:t xml:space="preserve">Chatverläufe werden 90 Tage gespeichert und danach gelöscht (Leistungsschein).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Dienstleister</w:t>
            </w:r>
          </w:p>
        </w:tc>
        <w:tc>
          <w:tcPr/>
          <w:p>
            <w:pPr>
              <w:pStyle w:val="Compact"/>
              <w:jc w:val="left"/>
            </w:pPr>
            <w:r>
              <w:t xml:space="preserve">Sitz</w:t>
            </w:r>
          </w:p>
        </w:tc>
        <w:tc>
          <w:tcPr/>
          <w:p>
            <w:pPr>
              <w:pStyle w:val="Compact"/>
              <w:jc w:val="left"/>
            </w:pPr>
            <w:r>
              <w:t xml:space="preserve">Zweck</w:t>
            </w:r>
          </w:p>
        </w:tc>
        <w:tc>
          <w:tcPr/>
          <w:p>
            <w:pPr>
              <w:pStyle w:val="Compact"/>
              <w:jc w:val="left"/>
            </w:pPr>
            <w:r>
              <w:t xml:space="preserve">Auftragsverarbeitung</w:t>
            </w:r>
          </w:p>
        </w:tc>
      </w:tr>
      <w:tr>
        <w:tc>
          <w:tcPr/>
          <w:p>
            <w:pPr>
              <w:pStyle w:val="Compact"/>
              <w:jc w:val="left"/>
            </w:pPr>
            <w:r>
              <w:t xml:space="preserve">[HOSTING-DIENSTLEISTER]</w:t>
            </w:r>
          </w:p>
        </w:tc>
        <w:tc>
          <w:tcPr/>
          <w:p>
            <w:pPr>
              <w:pStyle w:val="Compact"/>
              <w:jc w:val="left"/>
            </w:pPr>
            <w:r>
              <w:t xml:space="preserve">EU</w:t>
            </w:r>
          </w:p>
        </w:tc>
        <w:tc>
          <w:tcPr/>
          <w:p>
            <w:pPr>
              <w:pStyle w:val="Compact"/>
              <w:jc w:val="left"/>
            </w:pPr>
            <w:r>
              <w:t xml:space="preserve">Hosting der Cloud-Umgebung und der Dokumentendatenbank</w:t>
            </w:r>
          </w:p>
        </w:tc>
        <w:tc>
          <w:tcPr/>
          <w:p>
            <w:pPr>
              <w:pStyle w:val="Compact"/>
              <w:jc w:val="left"/>
            </w:pPr>
            <w:r>
              <w:t xml:space="preserve">geschlossen</w:t>
            </w:r>
          </w:p>
        </w:tc>
      </w:tr>
      <w:tr>
        <w:tc>
          <w:tcPr/>
          <w:p>
            <w:pPr>
              <w:pStyle w:val="Compact"/>
              <w:jc w:val="left"/>
            </w:pPr>
            <w:r>
              <w:t xml:space="preserve">[KI-DIENSTLEISTER]</w:t>
            </w:r>
          </w:p>
        </w:tc>
        <w:tc>
          <w:tcPr/>
          <w:p>
            <w:pPr>
              <w:pStyle w:val="Compact"/>
              <w:jc w:val="left"/>
            </w:pPr>
            <w:r>
              <w:t xml:space="preserve">EU</w:t>
            </w:r>
          </w:p>
        </w:tc>
        <w:tc>
          <w:tcPr/>
          <w:p>
            <w:pPr>
              <w:pStyle w:val="Compact"/>
              <w:jc w:val="left"/>
            </w:pPr>
            <w:r>
              <w:t xml:space="preserve">Beantwortung der Nutzerfragen und Einordnung von Änderungswünschen (KI)</w:t>
            </w:r>
          </w:p>
        </w:tc>
        <w:tc>
          <w:tcPr/>
          <w:p>
            <w:pPr>
              <w:pStyle w:val="Compact"/>
              <w:jc w:val="left"/>
            </w:pPr>
            <w:r>
              <w:t xml:space="preserve">geschlossen</w:t>
            </w:r>
          </w:p>
        </w:tc>
      </w:tr>
    </w:tbl>
    <w:p>
      <w:pPr>
        <w:pStyle w:val="BodyText"/>
      </w:pPr>
      <w:r>
        <w:t xml:space="preserve">Diese Dienstleister gelten als genehmigt; eine Änderung teilt der Anbieter vorab in Textform mit (2.9).</w:t>
      </w:r>
    </w:p>
    <w:bookmarkEnd w:id="30"/>
    <w:bookmarkStart w:id="31" w:name="leistungsschein-anlage-1"/>
    <w:p>
      <w:pPr>
        <w:pStyle w:val="Heading1"/>
      </w:pPr>
      <w:r>
        <w:t xml:space="preserve">8. Leistungsschein (Anlage 1)</w:t>
      </w:r>
    </w:p>
    <w:p>
      <w:pPr>
        <w:pStyle w:val="FirstParagraph"/>
      </w:pPr>
      <w:r>
        <w:rPr>
          <w:bCs/>
          <w:b/>
        </w:rPr>
        <w:t xml:space="preserve">Software:</w:t>
      </w:r>
      <w:r>
        <w:t xml:space="preserve"> </w:t>
      </w:r>
      <w:r>
        <w:t xml:space="preserve">[SOFTWARE], mehrsprachiger Chatbot mit Dokumentensuche (RAG) für Betriebsanleitungen, Wartungshefte, Ersatzteillisten und Servicebulletins des Kunden. Antworten nur auf Grundlage der hinterlegten Dokumente, mit Fundstelle. Sprachen: Deutsch, Englisch, Spanisch, Französisch, Chinesisch. Anmeldung über das Single Sign-on des Kunden mit Rollen- und Rechtekonzept (Vertrieb, Service, Konstruktion). Anbindung an Ticketsystem und Ersatzteildatenbank des Kunden. Monatlicher Auswertungsbericht zu häufigen Fragen. Mehrere Standorte, bis ca. 600 Nutzer, bis ca. 5.000 Dokumente. Betrieb ausschließlich in der Cloud.</w:t>
      </w:r>
    </w:p>
    <w:p>
      <w:pPr>
        <w:pStyle w:val="BodyText"/>
      </w:pPr>
      <w:r>
        <w:rPr>
          <w:bCs/>
          <w:b/>
        </w:rPr>
        <w:t xml:space="preserve">Aktualisierungspflicht:</w:t>
      </w:r>
      <w:r>
        <w:t xml:space="preserve"> </w:t>
      </w:r>
      <w:r>
        <w:t xml:space="preserve">Fehlerbehebung, Updates von Software, Modellen und Bibliotheken, Pflege der Schnittstellen zu Ticketsystem und Ersatzteildatenbank, Datensicherung und Überwachung der Cloud-Umgebung.</w:t>
      </w:r>
    </w:p>
    <w:bookmarkEnd w:id="31"/>
    <w:bookmarkStart w:id="32" w:name="bewusst-weggelassen"/>
    <w:p>
      <w:pPr>
        <w:pStyle w:val="Heading1"/>
      </w:pPr>
      <w:r>
        <w:t xml:space="preserve">9. Bewusst weggelassen</w:t>
      </w:r>
    </w:p>
    <w:p>
      <w:pPr>
        <w:pStyle w:val="FirstParagraph"/>
      </w:pPr>
      <w:r>
        <w:t xml:space="preserve">Aus dem Volltext sind folgende Teile nicht übernommen, weil sie für die Bearbeitung nicht gebraucht werden: Präambel und Anschriften, Regeln zu Personal und Weisungen (2.7, 2.8), Nutzungsrechte (9), Rechte Dritter (10), Kündigung aus wichtigem Grund (13.3), Schlussbestimmungen, Gerichtsstand und Salvatorische Klausel (14), Unterschriftsblock.</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Pflegevertrag (Cloud) – Kurzfassung, anonymisiert (Kunde B)</dc:title>
  <dc:creator/>
  <cp:keywords/>
  <dcterms:created xsi:type="dcterms:W3CDTF">2026-10-17T09:13:57Z</dcterms:created>
  <dcterms:modified xsi:type="dcterms:W3CDTF">2026-10-17T09:13:57Z</dcterms:modified>
</cp:coreProperties>
</file>

<file path=docProps/custom.xml><?xml version="1.0" encoding="utf-8"?>
<Properties xmlns="http://schemas.openxmlformats.org/officeDocument/2006/custom-properties" xmlns:vt="http://schemas.openxmlformats.org/officeDocument/2006/docPropsVTypes"/>
</file>