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3jm8pa75g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Xác định các thực thể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SinhVien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MonHoc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MucTieuHocTap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h9vllz48g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Thuộc tính cơ bản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SinhVien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tenSV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MonHoc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maMon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tenMon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soTinChi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MucTieuHocTap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maMucTieu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noiDungMucTieu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xqi62vv40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Mối quan hệ giữa các thực thể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SinhVien – MonHoc</w:t>
      </w:r>
      <w:r w:rsidDel="00000000" w:rsidR="00000000" w:rsidRPr="00000000">
        <w:rPr>
          <w:rtl w:val="0"/>
        </w:rPr>
        <w:t xml:space="preserve">: 1 – N</w:t>
        <w:br w:type="textWrapping"/>
        <w:t xml:space="preserve"> (một sinh viên học nhiều môn)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MonHoc – MucTieuHocTap</w:t>
      </w:r>
      <w:r w:rsidDel="00000000" w:rsidR="00000000" w:rsidRPr="00000000">
        <w:rPr>
          <w:rtl w:val="0"/>
        </w:rPr>
        <w:t xml:space="preserve">: 1 – N</w:t>
        <w:br w:type="textWrapping"/>
        <w:t xml:space="preserve"> (một môn có nhiều mục tiêu, mỗi mục tiêu thuộc một môn)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