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48"/>
        </w:rPr>
        <w:t>Bài 5: Thiết kế hạ tầng Config Server và Eureka cho hệ thống CineGo</w:t>
      </w:r>
    </w:p>
    <w:p/>
    <w:p>
      <w:r>
        <w:t>Sinh viên: Dang Khanh An</w:t>
      </w:r>
    </w:p>
    <w:p>
      <w:r>
        <w:t>Mã lớp: IT214 - PTIT070</w:t>
      </w:r>
    </w:p>
    <w:p>
      <w:r>
        <w:t>Tên repo: SS03_HW05_IT214_DangKhanhAn_PTIT070</w:t>
      </w:r>
    </w:p>
    <w:p>
      <w:pPr>
        <w:pStyle w:val="Heading1"/>
      </w:pPr>
      <w:r>
        <w:rPr>
          <w:color w:val="000000"/>
        </w:rPr>
        <w:t>1. Bối cảnh hệ thống</w:t>
      </w:r>
    </w:p>
    <w:p>
      <w:r>
        <w:t>Hệ thống được chọn là CineGo, một hệ thống đặt vé xem phim online. Người dùng có thể xem lịch chiếu, chọn ghế, đặt vé, thanh toán và nhận thông báo vé điện tử.</w:t>
      </w:r>
    </w:p>
    <w:p>
      <w:r>
        <w:t>Hệ thống gồm 4 service nghiệp vụ chính:</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left"/>
            </w:pPr>
            <w:r/>
            <w:r>
              <w:rPr>
                <w:rFonts w:ascii="Arial" w:hAnsi="Arial"/>
                <w:b/>
                <w:sz w:val="20"/>
              </w:rPr>
              <w:t>Service</w:t>
            </w:r>
          </w:p>
        </w:tc>
        <w:tc>
          <w:tcPr>
            <w:tcW w:type="dxa" w:w="4968"/>
            <w:vAlign w:val="center"/>
            <w:shd w:fill="D9EAF7"/>
          </w:tcPr>
          <w:p>
            <w:pPr>
              <w:jc w:val="left"/>
            </w:pPr>
            <w:r/>
            <w:r>
              <w:rPr>
                <w:rFonts w:ascii="Arial" w:hAnsi="Arial"/>
                <w:b/>
                <w:sz w:val="20"/>
              </w:rPr>
              <w:t>Chức năng chính</w:t>
            </w:r>
          </w:p>
        </w:tc>
      </w:tr>
      <w:tr>
        <w:tc>
          <w:tcPr>
            <w:tcW w:type="dxa" w:w="4968"/>
            <w:vAlign w:val="center"/>
          </w:tcPr>
          <w:p>
            <w:pPr>
              <w:jc w:val="left"/>
            </w:pPr>
            <w:r/>
            <w:r>
              <w:rPr>
                <w:rFonts w:ascii="Arial" w:hAnsi="Arial"/>
                <w:b w:val="0"/>
                <w:sz w:val="20"/>
              </w:rPr>
              <w:t>`movie-service`</w:t>
            </w:r>
          </w:p>
        </w:tc>
        <w:tc>
          <w:tcPr>
            <w:tcW w:type="dxa" w:w="4968"/>
            <w:vAlign w:val="center"/>
          </w:tcPr>
          <w:p>
            <w:pPr>
              <w:jc w:val="left"/>
            </w:pPr>
            <w:r/>
            <w:r>
              <w:rPr>
                <w:rFonts w:ascii="Arial" w:hAnsi="Arial"/>
                <w:b w:val="0"/>
                <w:sz w:val="20"/>
              </w:rPr>
              <w:t>Quản lý phim, thể loại, thời lượng, trạng thái chiếu</w:t>
            </w:r>
          </w:p>
        </w:tc>
      </w:tr>
      <w:tr>
        <w:tc>
          <w:tcPr>
            <w:tcW w:type="dxa" w:w="4968"/>
            <w:vAlign w:val="center"/>
          </w:tcPr>
          <w:p>
            <w:pPr>
              <w:jc w:val="left"/>
            </w:pPr>
            <w:r/>
            <w:r>
              <w:rPr>
                <w:rFonts w:ascii="Arial" w:hAnsi="Arial"/>
                <w:b w:val="0"/>
                <w:sz w:val="20"/>
              </w:rPr>
              <w:t>`showtime-service`</w:t>
            </w:r>
          </w:p>
        </w:tc>
        <w:tc>
          <w:tcPr>
            <w:tcW w:type="dxa" w:w="4968"/>
            <w:vAlign w:val="center"/>
          </w:tcPr>
          <w:p>
            <w:pPr>
              <w:jc w:val="left"/>
            </w:pPr>
            <w:r/>
            <w:r>
              <w:rPr>
                <w:rFonts w:ascii="Arial" w:hAnsi="Arial"/>
                <w:b w:val="0"/>
                <w:sz w:val="20"/>
              </w:rPr>
              <w:t>Quản lý lịch chiếu, phòng chiếu, suất chiếu</w:t>
            </w:r>
          </w:p>
        </w:tc>
      </w:tr>
      <w:tr>
        <w:tc>
          <w:tcPr>
            <w:tcW w:type="dxa" w:w="4968"/>
            <w:vAlign w:val="center"/>
          </w:tcPr>
          <w:p>
            <w:pPr>
              <w:jc w:val="left"/>
            </w:pPr>
            <w:r/>
            <w:r>
              <w:rPr>
                <w:rFonts w:ascii="Arial" w:hAnsi="Arial"/>
                <w:b w:val="0"/>
                <w:sz w:val="20"/>
              </w:rPr>
              <w:t>`booking-service`</w:t>
            </w:r>
          </w:p>
        </w:tc>
        <w:tc>
          <w:tcPr>
            <w:tcW w:type="dxa" w:w="4968"/>
            <w:vAlign w:val="center"/>
          </w:tcPr>
          <w:p>
            <w:pPr>
              <w:jc w:val="left"/>
            </w:pPr>
            <w:r/>
            <w:r>
              <w:rPr>
                <w:rFonts w:ascii="Arial" w:hAnsi="Arial"/>
                <w:b w:val="0"/>
                <w:sz w:val="20"/>
              </w:rPr>
              <w:t>Đặt vé, giữ ghế, hủy vé</w:t>
            </w:r>
          </w:p>
        </w:tc>
      </w:tr>
      <w:tr>
        <w:tc>
          <w:tcPr>
            <w:tcW w:type="dxa" w:w="4968"/>
            <w:vAlign w:val="center"/>
          </w:tcPr>
          <w:p>
            <w:pPr>
              <w:jc w:val="left"/>
            </w:pPr>
            <w:r/>
            <w:r>
              <w:rPr>
                <w:rFonts w:ascii="Arial" w:hAnsi="Arial"/>
                <w:b w:val="0"/>
                <w:sz w:val="20"/>
              </w:rPr>
              <w:t>`payment-service`</w:t>
            </w:r>
          </w:p>
        </w:tc>
        <w:tc>
          <w:tcPr>
            <w:tcW w:type="dxa" w:w="4968"/>
            <w:vAlign w:val="center"/>
          </w:tcPr>
          <w:p>
            <w:pPr>
              <w:jc w:val="left"/>
            </w:pPr>
            <w:r/>
            <w:r>
              <w:rPr>
                <w:rFonts w:ascii="Arial" w:hAnsi="Arial"/>
                <w:b w:val="0"/>
                <w:sz w:val="20"/>
              </w:rPr>
              <w:t>Thanh toán, hoàn tiền, trạng thái giao dịch</w:t>
            </w:r>
          </w:p>
        </w:tc>
      </w:tr>
    </w:tbl>
    <w:p/>
    <w:p>
      <w:r>
        <w:t>Ngoài 4 service nghiệp vụ, hệ thống có thêm:</w:t>
      </w:r>
    </w:p>
    <w:p>
      <w:pPr>
        <w:pStyle w:val="ListBullet"/>
      </w:pPr>
      <w:r>
        <w:t>`config-server`: quản lý cấu hình tập trung.</w:t>
      </w:r>
    </w:p>
    <w:p>
      <w:pPr>
        <w:pStyle w:val="ListBullet"/>
      </w:pPr>
      <w:r>
        <w:t>`eureka-server`: cho phép các service đăng ký và tìm nhau.</w:t>
      </w:r>
    </w:p>
    <w:p>
      <w:pPr>
        <w:pStyle w:val="Heading1"/>
      </w:pPr>
      <w:r>
        <w:rPr>
          <w:color w:val="000000"/>
        </w:rPr>
        <w:t>2. Các cấu hình cần quản lý tập trung</w:t>
      </w:r>
    </w:p>
    <w:p>
      <w:pPr>
        <w:pStyle w:val="Heading2"/>
      </w:pPr>
      <w:r>
        <w:rPr>
          <w:color w:val="000000"/>
        </w:rPr>
        <w:t>2.1 movie-service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left"/>
            </w:pPr>
            <w:r/>
            <w:r>
              <w:rPr>
                <w:rFonts w:ascii="Arial" w:hAnsi="Arial"/>
                <w:b/>
                <w:sz w:val="20"/>
              </w:rPr>
              <w:t>Nhóm cấu hình</w:t>
            </w:r>
          </w:p>
        </w:tc>
        <w:tc>
          <w:tcPr>
            <w:tcW w:type="dxa" w:w="4968"/>
            <w:vAlign w:val="center"/>
            <w:shd w:fill="D9EAF7"/>
          </w:tcPr>
          <w:p>
            <w:pPr>
              <w:jc w:val="left"/>
            </w:pPr>
            <w:r/>
            <w:r>
              <w:rPr>
                <w:rFonts w:ascii="Arial" w:hAnsi="Arial"/>
                <w:b/>
                <w:sz w:val="20"/>
              </w:rPr>
              <w:t>Ví dụ</w:t>
            </w:r>
          </w:p>
        </w:tc>
      </w:tr>
      <w:tr>
        <w:tc>
          <w:tcPr>
            <w:tcW w:type="dxa" w:w="4968"/>
            <w:vAlign w:val="center"/>
          </w:tcPr>
          <w:p>
            <w:pPr>
              <w:jc w:val="left"/>
            </w:pPr>
            <w:r/>
            <w:r>
              <w:rPr>
                <w:rFonts w:ascii="Arial" w:hAnsi="Arial"/>
                <w:b w:val="0"/>
                <w:sz w:val="20"/>
              </w:rPr>
              <w:t>Datasource</w:t>
            </w:r>
          </w:p>
        </w:tc>
        <w:tc>
          <w:tcPr>
            <w:tcW w:type="dxa" w:w="4968"/>
            <w:vAlign w:val="center"/>
          </w:tcPr>
          <w:p>
            <w:pPr>
              <w:jc w:val="left"/>
            </w:pPr>
            <w:r/>
            <w:r>
              <w:rPr>
                <w:rFonts w:ascii="Arial" w:hAnsi="Arial"/>
                <w:b w:val="0"/>
                <w:sz w:val="20"/>
              </w:rPr>
              <w:t>URL database `movies_db`, username, password</w:t>
            </w:r>
          </w:p>
        </w:tc>
      </w:tr>
      <w:tr>
        <w:tc>
          <w:tcPr>
            <w:tcW w:type="dxa" w:w="4968"/>
            <w:vAlign w:val="center"/>
          </w:tcPr>
          <w:p>
            <w:pPr>
              <w:jc w:val="left"/>
            </w:pPr>
            <w:r/>
            <w:r>
              <w:rPr>
                <w:rFonts w:ascii="Arial" w:hAnsi="Arial"/>
                <w:b w:val="0"/>
                <w:sz w:val="20"/>
              </w:rPr>
              <w:t>Cache</w:t>
            </w:r>
          </w:p>
        </w:tc>
        <w:tc>
          <w:tcPr>
            <w:tcW w:type="dxa" w:w="4968"/>
            <w:vAlign w:val="center"/>
          </w:tcPr>
          <w:p>
            <w:pPr>
              <w:jc w:val="left"/>
            </w:pPr>
            <w:r/>
            <w:r>
              <w:rPr>
                <w:rFonts w:ascii="Arial" w:hAnsi="Arial"/>
                <w:b w:val="0"/>
                <w:sz w:val="20"/>
              </w:rPr>
              <w:t>TTL cache danh sách phim đang chiếu</w:t>
            </w:r>
          </w:p>
        </w:tc>
      </w:tr>
      <w:tr>
        <w:tc>
          <w:tcPr>
            <w:tcW w:type="dxa" w:w="4968"/>
            <w:vAlign w:val="center"/>
          </w:tcPr>
          <w:p>
            <w:pPr>
              <w:jc w:val="left"/>
            </w:pPr>
            <w:r/>
            <w:r>
              <w:rPr>
                <w:rFonts w:ascii="Arial" w:hAnsi="Arial"/>
                <w:b w:val="0"/>
                <w:sz w:val="20"/>
              </w:rPr>
              <w:t>Feature flag</w:t>
            </w:r>
          </w:p>
        </w:tc>
        <w:tc>
          <w:tcPr>
            <w:tcW w:type="dxa" w:w="4968"/>
            <w:vAlign w:val="center"/>
          </w:tcPr>
          <w:p>
            <w:pPr>
              <w:jc w:val="left"/>
            </w:pPr>
            <w:r/>
            <w:r>
              <w:rPr>
                <w:rFonts w:ascii="Arial" w:hAnsi="Arial"/>
                <w:b w:val="0"/>
                <w:sz w:val="20"/>
              </w:rPr>
              <w:t>Bật/tắt chức năng hiển thị phim sắp chiếu</w:t>
            </w:r>
          </w:p>
        </w:tc>
      </w:tr>
    </w:tbl>
    <w:p/>
    <w:p>
      <w:pPr>
        <w:pStyle w:val="Heading2"/>
      </w:pPr>
      <w:r>
        <w:rPr>
          <w:color w:val="000000"/>
        </w:rPr>
        <w:t>2.2 showtime-service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left"/>
            </w:pPr>
            <w:r/>
            <w:r>
              <w:rPr>
                <w:rFonts w:ascii="Arial" w:hAnsi="Arial"/>
                <w:b/>
                <w:sz w:val="20"/>
              </w:rPr>
              <w:t>Nhóm cấu hình</w:t>
            </w:r>
          </w:p>
        </w:tc>
        <w:tc>
          <w:tcPr>
            <w:tcW w:type="dxa" w:w="4968"/>
            <w:vAlign w:val="center"/>
            <w:shd w:fill="D9EAF7"/>
          </w:tcPr>
          <w:p>
            <w:pPr>
              <w:jc w:val="left"/>
            </w:pPr>
            <w:r/>
            <w:r>
              <w:rPr>
                <w:rFonts w:ascii="Arial" w:hAnsi="Arial"/>
                <w:b/>
                <w:sz w:val="20"/>
              </w:rPr>
              <w:t>Ví dụ</w:t>
            </w:r>
          </w:p>
        </w:tc>
      </w:tr>
      <w:tr>
        <w:tc>
          <w:tcPr>
            <w:tcW w:type="dxa" w:w="4968"/>
            <w:vAlign w:val="center"/>
          </w:tcPr>
          <w:p>
            <w:pPr>
              <w:jc w:val="left"/>
            </w:pPr>
            <w:r/>
            <w:r>
              <w:rPr>
                <w:rFonts w:ascii="Arial" w:hAnsi="Arial"/>
                <w:b w:val="0"/>
                <w:sz w:val="20"/>
              </w:rPr>
              <w:t>Datasource</w:t>
            </w:r>
          </w:p>
        </w:tc>
        <w:tc>
          <w:tcPr>
            <w:tcW w:type="dxa" w:w="4968"/>
            <w:vAlign w:val="center"/>
          </w:tcPr>
          <w:p>
            <w:pPr>
              <w:jc w:val="left"/>
            </w:pPr>
            <w:r/>
            <w:r>
              <w:rPr>
                <w:rFonts w:ascii="Arial" w:hAnsi="Arial"/>
                <w:b w:val="0"/>
                <w:sz w:val="20"/>
              </w:rPr>
              <w:t>URL database `showtimes_db`</w:t>
            </w:r>
          </w:p>
        </w:tc>
      </w:tr>
      <w:tr>
        <w:tc>
          <w:tcPr>
            <w:tcW w:type="dxa" w:w="4968"/>
            <w:vAlign w:val="center"/>
          </w:tcPr>
          <w:p>
            <w:pPr>
              <w:jc w:val="left"/>
            </w:pPr>
            <w:r/>
            <w:r>
              <w:rPr>
                <w:rFonts w:ascii="Arial" w:hAnsi="Arial"/>
                <w:b w:val="0"/>
                <w:sz w:val="20"/>
              </w:rPr>
              <w:t>Timeout</w:t>
            </w:r>
          </w:p>
        </w:tc>
        <w:tc>
          <w:tcPr>
            <w:tcW w:type="dxa" w:w="4968"/>
            <w:vAlign w:val="center"/>
          </w:tcPr>
          <w:p>
            <w:pPr>
              <w:jc w:val="left"/>
            </w:pPr>
            <w:r/>
            <w:r>
              <w:rPr>
                <w:rFonts w:ascii="Arial" w:hAnsi="Arial"/>
                <w:b w:val="0"/>
                <w:sz w:val="20"/>
              </w:rPr>
              <w:t>Timeout khi gọi `movie-service`</w:t>
            </w:r>
          </w:p>
        </w:tc>
      </w:tr>
      <w:tr>
        <w:tc>
          <w:tcPr>
            <w:tcW w:type="dxa" w:w="4968"/>
            <w:vAlign w:val="center"/>
          </w:tcPr>
          <w:p>
            <w:pPr>
              <w:jc w:val="left"/>
            </w:pPr>
            <w:r/>
            <w:r>
              <w:rPr>
                <w:rFonts w:ascii="Arial" w:hAnsi="Arial"/>
                <w:b w:val="0"/>
                <w:sz w:val="20"/>
              </w:rPr>
              <w:t>Business config</w:t>
            </w:r>
          </w:p>
        </w:tc>
        <w:tc>
          <w:tcPr>
            <w:tcW w:type="dxa" w:w="4968"/>
            <w:vAlign w:val="center"/>
          </w:tcPr>
          <w:p>
            <w:pPr>
              <w:jc w:val="left"/>
            </w:pPr>
            <w:r/>
            <w:r>
              <w:rPr>
                <w:rFonts w:ascii="Arial" w:hAnsi="Arial"/>
                <w:b w:val="0"/>
                <w:sz w:val="20"/>
              </w:rPr>
              <w:t>Thời gian cho phép đặt vé trước giờ chiếu</w:t>
            </w:r>
          </w:p>
        </w:tc>
      </w:tr>
    </w:tbl>
    <w:p/>
    <w:p>
      <w:pPr>
        <w:pStyle w:val="Heading2"/>
      </w:pPr>
      <w:r>
        <w:rPr>
          <w:color w:val="000000"/>
        </w:rPr>
        <w:t>2.3 booking-service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left"/>
            </w:pPr>
            <w:r/>
            <w:r>
              <w:rPr>
                <w:rFonts w:ascii="Arial" w:hAnsi="Arial"/>
                <w:b/>
                <w:sz w:val="20"/>
              </w:rPr>
              <w:t>Nhóm cấu hình</w:t>
            </w:r>
          </w:p>
        </w:tc>
        <w:tc>
          <w:tcPr>
            <w:tcW w:type="dxa" w:w="4968"/>
            <w:vAlign w:val="center"/>
            <w:shd w:fill="D9EAF7"/>
          </w:tcPr>
          <w:p>
            <w:pPr>
              <w:jc w:val="left"/>
            </w:pPr>
            <w:r/>
            <w:r>
              <w:rPr>
                <w:rFonts w:ascii="Arial" w:hAnsi="Arial"/>
                <w:b/>
                <w:sz w:val="20"/>
              </w:rPr>
              <w:t>Ví dụ</w:t>
            </w:r>
          </w:p>
        </w:tc>
      </w:tr>
      <w:tr>
        <w:tc>
          <w:tcPr>
            <w:tcW w:type="dxa" w:w="4968"/>
            <w:vAlign w:val="center"/>
          </w:tcPr>
          <w:p>
            <w:pPr>
              <w:jc w:val="left"/>
            </w:pPr>
            <w:r/>
            <w:r>
              <w:rPr>
                <w:rFonts w:ascii="Arial" w:hAnsi="Arial"/>
                <w:b w:val="0"/>
                <w:sz w:val="20"/>
              </w:rPr>
              <w:t>Datasource</w:t>
            </w:r>
          </w:p>
        </w:tc>
        <w:tc>
          <w:tcPr>
            <w:tcW w:type="dxa" w:w="4968"/>
            <w:vAlign w:val="center"/>
          </w:tcPr>
          <w:p>
            <w:pPr>
              <w:jc w:val="left"/>
            </w:pPr>
            <w:r/>
            <w:r>
              <w:rPr>
                <w:rFonts w:ascii="Arial" w:hAnsi="Arial"/>
                <w:b w:val="0"/>
                <w:sz w:val="20"/>
              </w:rPr>
              <w:t>URL database `bookings_db`</w:t>
            </w:r>
          </w:p>
        </w:tc>
      </w:tr>
      <w:tr>
        <w:tc>
          <w:tcPr>
            <w:tcW w:type="dxa" w:w="4968"/>
            <w:vAlign w:val="center"/>
          </w:tcPr>
          <w:p>
            <w:pPr>
              <w:jc w:val="left"/>
            </w:pPr>
            <w:r/>
            <w:r>
              <w:rPr>
                <w:rFonts w:ascii="Arial" w:hAnsi="Arial"/>
                <w:b w:val="0"/>
                <w:sz w:val="20"/>
              </w:rPr>
              <w:t>Timeout</w:t>
            </w:r>
          </w:p>
        </w:tc>
        <w:tc>
          <w:tcPr>
            <w:tcW w:type="dxa" w:w="4968"/>
            <w:vAlign w:val="center"/>
          </w:tcPr>
          <w:p>
            <w:pPr>
              <w:jc w:val="left"/>
            </w:pPr>
            <w:r/>
            <w:r>
              <w:rPr>
                <w:rFonts w:ascii="Arial" w:hAnsi="Arial"/>
                <w:b w:val="0"/>
                <w:sz w:val="20"/>
              </w:rPr>
              <w:t>Timeout khi gọi `showtime-service` và `payment-service`</w:t>
            </w:r>
          </w:p>
        </w:tc>
      </w:tr>
      <w:tr>
        <w:tc>
          <w:tcPr>
            <w:tcW w:type="dxa" w:w="4968"/>
            <w:vAlign w:val="center"/>
          </w:tcPr>
          <w:p>
            <w:pPr>
              <w:jc w:val="left"/>
            </w:pPr>
            <w:r/>
            <w:r>
              <w:rPr>
                <w:rFonts w:ascii="Arial" w:hAnsi="Arial"/>
                <w:b w:val="0"/>
                <w:sz w:val="20"/>
              </w:rPr>
              <w:t>Feature flag</w:t>
            </w:r>
          </w:p>
        </w:tc>
        <w:tc>
          <w:tcPr>
            <w:tcW w:type="dxa" w:w="4968"/>
            <w:vAlign w:val="center"/>
          </w:tcPr>
          <w:p>
            <w:pPr>
              <w:jc w:val="left"/>
            </w:pPr>
            <w:r/>
            <w:r>
              <w:rPr>
                <w:rFonts w:ascii="Arial" w:hAnsi="Arial"/>
                <w:b w:val="0"/>
                <w:sz w:val="20"/>
              </w:rPr>
              <w:t>Bật/tắt giữ ghế tạm thời</w:t>
            </w:r>
          </w:p>
        </w:tc>
      </w:tr>
    </w:tbl>
    <w:p/>
    <w:p>
      <w:pPr>
        <w:pStyle w:val="Heading2"/>
      </w:pPr>
      <w:r>
        <w:rPr>
          <w:color w:val="000000"/>
        </w:rPr>
        <w:t>2.4 payment-service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left"/>
            </w:pPr>
            <w:r/>
            <w:r>
              <w:rPr>
                <w:rFonts w:ascii="Arial" w:hAnsi="Arial"/>
                <w:b/>
                <w:sz w:val="20"/>
              </w:rPr>
              <w:t>Nhóm cấu hình</w:t>
            </w:r>
          </w:p>
        </w:tc>
        <w:tc>
          <w:tcPr>
            <w:tcW w:type="dxa" w:w="4968"/>
            <w:vAlign w:val="center"/>
            <w:shd w:fill="D9EAF7"/>
          </w:tcPr>
          <w:p>
            <w:pPr>
              <w:jc w:val="left"/>
            </w:pPr>
            <w:r/>
            <w:r>
              <w:rPr>
                <w:rFonts w:ascii="Arial" w:hAnsi="Arial"/>
                <w:b/>
                <w:sz w:val="20"/>
              </w:rPr>
              <w:t>Ví dụ</w:t>
            </w:r>
          </w:p>
        </w:tc>
      </w:tr>
      <w:tr>
        <w:tc>
          <w:tcPr>
            <w:tcW w:type="dxa" w:w="4968"/>
            <w:vAlign w:val="center"/>
          </w:tcPr>
          <w:p>
            <w:pPr>
              <w:jc w:val="left"/>
            </w:pPr>
            <w:r/>
            <w:r>
              <w:rPr>
                <w:rFonts w:ascii="Arial" w:hAnsi="Arial"/>
                <w:b w:val="0"/>
                <w:sz w:val="20"/>
              </w:rPr>
              <w:t>Datasource</w:t>
            </w:r>
          </w:p>
        </w:tc>
        <w:tc>
          <w:tcPr>
            <w:tcW w:type="dxa" w:w="4968"/>
            <w:vAlign w:val="center"/>
          </w:tcPr>
          <w:p>
            <w:pPr>
              <w:jc w:val="left"/>
            </w:pPr>
            <w:r/>
            <w:r>
              <w:rPr>
                <w:rFonts w:ascii="Arial" w:hAnsi="Arial"/>
                <w:b w:val="0"/>
                <w:sz w:val="20"/>
              </w:rPr>
              <w:t>URL database `payments_db`</w:t>
            </w:r>
          </w:p>
        </w:tc>
      </w:tr>
      <w:tr>
        <w:tc>
          <w:tcPr>
            <w:tcW w:type="dxa" w:w="4968"/>
            <w:vAlign w:val="center"/>
          </w:tcPr>
          <w:p>
            <w:pPr>
              <w:jc w:val="left"/>
            </w:pPr>
            <w:r/>
            <w:r>
              <w:rPr>
                <w:rFonts w:ascii="Arial" w:hAnsi="Arial"/>
                <w:b w:val="0"/>
                <w:sz w:val="20"/>
              </w:rPr>
              <w:t>Payment gateway</w:t>
            </w:r>
          </w:p>
        </w:tc>
        <w:tc>
          <w:tcPr>
            <w:tcW w:type="dxa" w:w="4968"/>
            <w:vAlign w:val="center"/>
          </w:tcPr>
          <w:p>
            <w:pPr>
              <w:jc w:val="left"/>
            </w:pPr>
            <w:r/>
            <w:r>
              <w:rPr>
                <w:rFonts w:ascii="Arial" w:hAnsi="Arial"/>
                <w:b w:val="0"/>
                <w:sz w:val="20"/>
              </w:rPr>
              <w:t>URL, merchant id, secret key</w:t>
            </w:r>
          </w:p>
        </w:tc>
      </w:tr>
      <w:tr>
        <w:tc>
          <w:tcPr>
            <w:tcW w:type="dxa" w:w="4968"/>
            <w:vAlign w:val="center"/>
          </w:tcPr>
          <w:p>
            <w:pPr>
              <w:jc w:val="left"/>
            </w:pPr>
            <w:r/>
            <w:r>
              <w:rPr>
                <w:rFonts w:ascii="Arial" w:hAnsi="Arial"/>
                <w:b w:val="0"/>
                <w:sz w:val="20"/>
              </w:rPr>
              <w:t>Retry</w:t>
            </w:r>
          </w:p>
        </w:tc>
        <w:tc>
          <w:tcPr>
            <w:tcW w:type="dxa" w:w="4968"/>
            <w:vAlign w:val="center"/>
          </w:tcPr>
          <w:p>
            <w:pPr>
              <w:jc w:val="left"/>
            </w:pPr>
            <w:r/>
            <w:r>
              <w:rPr>
                <w:rFonts w:ascii="Arial" w:hAnsi="Arial"/>
                <w:b w:val="0"/>
                <w:sz w:val="20"/>
              </w:rPr>
              <w:t>Số lần retry khi gọi cổng thanh toán</w:t>
            </w:r>
          </w:p>
        </w:tc>
      </w:tr>
    </w:tbl>
    <w:p/>
    <w:p>
      <w:pPr>
        <w:pStyle w:val="Heading1"/>
      </w:pPr>
      <w:r>
        <w:rPr>
          <w:color w:val="000000"/>
        </w:rPr>
        <w:t>3. Cấu trúc Git repository lưu cấu hình</w:t>
      </w:r>
    </w:p>
    <w:p>
      <w:r>
        <w:t>Config Server sẽ đọc cấu hình từ Git repo. Tên file cần bám theo spring.application.name và profile.</w:t>
      </w:r>
    </w:p>
    <w:p>
      <w:r>
        <w:t>Cấu trúc đề xuất:</w:t>
      </w:r>
    </w:p>
    <w:p>
      <w:pPr>
        <w:spacing w:after="160"/>
      </w:pPr>
      <w:r>
        <w:rPr>
          <w:rFonts w:ascii="Courier New" w:hAnsi="Courier New"/>
          <w:sz w:val="18"/>
        </w:rPr>
        <w:t>cinego-config-repo</w:t>
        <w:br/>
        <w:t>├── application.yml</w:t>
        <w:br/>
        <w:t>├── movie-service.yml</w:t>
        <w:br/>
        <w:t>├── movie-service-dev.yml</w:t>
        <w:br/>
        <w:t>├── movie-service-prod.yml</w:t>
        <w:br/>
        <w:t>├── showtime-service.yml</w:t>
        <w:br/>
        <w:t>├── showtime-service-dev.yml</w:t>
        <w:br/>
        <w:t>├── showtime-service-prod.yml</w:t>
        <w:br/>
        <w:t>├── booking-service.yml</w:t>
        <w:br/>
        <w:t>├── booking-service-dev.yml</w:t>
        <w:br/>
        <w:t>├── booking-service-prod.yml</w:t>
        <w:br/>
        <w:t>├── payment-service.yml</w:t>
        <w:br/>
        <w:t>├── payment-service-dev.yml</w:t>
        <w:br/>
        <w:t>└── payment-service-prod.yml</w:t>
      </w:r>
    </w:p>
    <w:p>
      <w:r>
        <w:t>Trong đó:</w:t>
      </w:r>
    </w:p>
    <w:p>
      <w:pPr>
        <w:pStyle w:val="ListBullet"/>
      </w:pPr>
      <w:r>
        <w:t>`application.yml`: cấu hình chung cho tất cả service.</w:t>
      </w:r>
    </w:p>
    <w:p>
      <w:pPr>
        <w:pStyle w:val="ListBullet"/>
      </w:pPr>
      <w:r>
        <w:t>`{service-name}.yml`: cấu hình mặc định của từng service.</w:t>
      </w:r>
    </w:p>
    <w:p>
      <w:pPr>
        <w:pStyle w:val="ListBullet"/>
      </w:pPr>
      <w:r>
        <w:t>`{service-name}-{profile}.yml`: cấu hình theo môi trường, ví dụ `dev`, `prod`.</w:t>
      </w:r>
    </w:p>
    <w:p>
      <w:pPr>
        <w:pStyle w:val="Heading1"/>
      </w:pPr>
      <w:r>
        <w:rPr>
          <w:color w:val="000000"/>
        </w:rPr>
        <w:t>4. Thiết kế Config Server</w:t>
      </w:r>
    </w:p>
    <w:p>
      <w:r>
        <w:t>config-server chạy ở port 8888. Các service khi khởi động sẽ gọi Config Server để lấy cấu hình theo tên service và profile.</w:t>
      </w:r>
    </w:p>
    <w:p>
      <w:r>
        <w:t>Ví dụ:</w:t>
      </w:r>
    </w:p>
    <w:p>
      <w:pPr>
        <w:spacing w:after="160"/>
      </w:pPr>
      <w:r>
        <w:rPr>
          <w:rFonts w:ascii="Courier New" w:hAnsi="Courier New"/>
          <w:sz w:val="18"/>
        </w:rPr>
        <w:t>GET http://config-server:8888/movie-service/dev</w:t>
        <w:br/>
        <w:t>GET http://config-server:8888/booking-service/prod</w:t>
      </w:r>
    </w:p>
    <w:p>
      <w:r>
        <w:t>Cấu hình mẫu:</w:t>
      </w:r>
    </w:p>
    <w:p>
      <w:pPr>
        <w:spacing w:after="160"/>
      </w:pPr>
      <w:r>
        <w:rPr>
          <w:rFonts w:ascii="Courier New" w:hAnsi="Courier New"/>
          <w:sz w:val="18"/>
        </w:rPr>
        <w:t>server:</w:t>
        <w:br/>
        <w:t xml:space="preserve">  port: 8888</w:t>
        <w:br/>
        <w:br/>
        <w:t>spring:</w:t>
        <w:br/>
        <w:t xml:space="preserve">  application:</w:t>
        <w:br/>
        <w:t xml:space="preserve">    name: config-server</w:t>
        <w:br/>
        <w:t xml:space="preserve">  cloud:</w:t>
        <w:br/>
        <w:t xml:space="preserve">    config:</w:t>
        <w:br/>
        <w:t xml:space="preserve">      server:</w:t>
        <w:br/>
        <w:t xml:space="preserve">        git:</w:t>
        <w:br/>
        <w:t xml:space="preserve">          uri: https://github.com/KHANHAN007/cinego-config-repo</w:t>
        <w:br/>
        <w:t xml:space="preserve">          default-label: main</w:t>
      </w:r>
    </w:p>
    <w:p>
      <w:pPr>
        <w:pStyle w:val="Heading1"/>
      </w:pPr>
      <w:r>
        <w:rPr>
          <w:color w:val="000000"/>
        </w:rPr>
        <w:t>5. Thiết kế Eureka Server</w:t>
      </w:r>
    </w:p>
    <w:p>
      <w:r>
        <w:t>eureka-server chạy ở port 8761. Đây là nơi các service đăng ký thông tin instance.</w:t>
      </w:r>
    </w:p>
    <w:p>
      <w:r>
        <w:t>Cấu hình mẫu:</w:t>
      </w:r>
    </w:p>
    <w:p>
      <w:pPr>
        <w:spacing w:after="160"/>
      </w:pPr>
      <w:r>
        <w:rPr>
          <w:rFonts w:ascii="Courier New" w:hAnsi="Courier New"/>
          <w:sz w:val="18"/>
        </w:rPr>
        <w:t>server:</w:t>
        <w:br/>
        <w:t xml:space="preserve">  port: 8761</w:t>
        <w:br/>
        <w:br/>
        <w:t>spring:</w:t>
        <w:br/>
        <w:t xml:space="preserve">  application:</w:t>
        <w:br/>
        <w:t xml:space="preserve">    name: eureka-server</w:t>
        <w:br/>
        <w:br/>
        <w:t>eureka:</w:t>
        <w:br/>
        <w:t xml:space="preserve">  client:</w:t>
        <w:br/>
        <w:t xml:space="preserve">    register-with-eureka: false</w:t>
        <w:br/>
        <w:t xml:space="preserve">    fetch-registry: false</w:t>
      </w:r>
    </w:p>
    <w:p>
      <w:r>
        <w:t>Eureka Server không cần tự đăng ký chính nó, nên register-with-eureka và fetch-registry đặt là false.</w:t>
      </w:r>
    </w:p>
    <w:p>
      <w:pPr>
        <w:pStyle w:val="Heading1"/>
      </w:pPr>
      <w:r>
        <w:rPr>
          <w:color w:val="000000"/>
        </w:rPr>
        <w:t>6. Cấu hình Eureka Client cho 4 service</w:t>
      </w:r>
    </w:p>
    <w:p>
      <w:r>
        <w:t>Mỗi service nghiệp vụ đều cần cấu hình Eureka Client:</w:t>
      </w:r>
    </w:p>
    <w:p>
      <w:pPr>
        <w:spacing w:after="160"/>
      </w:pPr>
      <w:r>
        <w:rPr>
          <w:rFonts w:ascii="Courier New" w:hAnsi="Courier New"/>
          <w:sz w:val="18"/>
        </w:rPr>
        <w:t>eureka:</w:t>
        <w:br/>
        <w:t xml:space="preserve">  instance:</w:t>
        <w:br/>
        <w:t xml:space="preserve">    instance-id: ${spring.application.name}:${random.uuid}</w:t>
        <w:br/>
        <w:t xml:space="preserve">    prefer-ip-address: true</w:t>
        <w:br/>
        <w:t xml:space="preserve">  client:</w:t>
        <w:br/>
        <w:t xml:space="preserve">    register-with-eureka: true</w:t>
        <w:br/>
        <w:t xml:space="preserve">    fetch-registry: true</w:t>
        <w:br/>
        <w:t xml:space="preserve">    service-url:</w:t>
        <w:br/>
        <w:t xml:space="preserve">      defaultZone: http://eureka-server:8761/eureka/</w:t>
      </w:r>
    </w:p>
    <w:p>
      <w:r>
        <w:t>Khi một service scale lên nhiều instance, ví dụ booking-service chạy 3 instance, cả 3 instance đều đăng ký dưới tên booking-service, nhưng có instance-id khác nhau. Service khác chỉ cần gọi theo tên:</w:t>
      </w:r>
    </w:p>
    <w:p>
      <w:pPr>
        <w:spacing w:after="160"/>
      </w:pPr>
      <w:r>
        <w:rPr>
          <w:rFonts w:ascii="Courier New" w:hAnsi="Courier New"/>
          <w:sz w:val="18"/>
        </w:rPr>
        <w:t>http://booking-service/api/bookings</w:t>
      </w:r>
    </w:p>
    <w:p>
      <w:r>
        <w:t>Load balancer sẽ chọn một instance phù hợp trong danh sách Eureka trả về.</w:t>
      </w:r>
    </w:p>
    <w:p>
      <w:pPr>
        <w:pStyle w:val="Heading1"/>
      </w:pPr>
      <w:r>
        <w:rPr>
          <w:color w:val="000000"/>
        </w:rPr>
        <w:t>7. Sơ đồ tổng thể</w:t>
      </w:r>
    </w:p>
    <w:p>
      <w:pPr>
        <w:jc w:val="center"/>
      </w:pPr>
      <w:r>
        <w:drawing>
          <wp:inline xmlns:a="http://schemas.openxmlformats.org/drawingml/2006/main" xmlns:pic="http://schemas.openxmlformats.org/drawingml/2006/picture">
            <wp:extent cx="6217920" cy="3150413"/>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9"/>
                    <a:stretch>
                      <a:fillRect/>
                    </a:stretch>
                  </pic:blipFill>
                  <pic:spPr>
                    <a:xfrm>
                      <a:off x="0" y="0"/>
                      <a:ext cx="6217920" cy="3150413"/>
                    </a:xfrm>
                    <a:prstGeom prst="rect"/>
                  </pic:spPr>
                </pic:pic>
              </a:graphicData>
            </a:graphic>
          </wp:inline>
        </w:drawing>
      </w:r>
    </w:p>
    <w:p/>
    <w:p>
      <w:pPr>
        <w:pStyle w:val="Heading1"/>
      </w:pPr>
      <w:r>
        <w:rPr>
          <w:color w:val="000000"/>
        </w:rPr>
        <w:t>8. Luồng hoạt động</w:t>
      </w:r>
    </w:p>
    <w:p>
      <w:r>
        <w:t>Khi một service khởi động:</w:t>
      </w:r>
    </w:p>
    <w:p>
      <w:pPr>
        <w:pStyle w:val="ListNumber"/>
      </w:pPr>
      <w:r>
        <w:t>Service đọc `spring.application.name`.</w:t>
      </w:r>
    </w:p>
    <w:p>
      <w:pPr>
        <w:pStyle w:val="ListNumber"/>
      </w:pPr>
      <w:r>
        <w:t>Service gọi `config-server` để lấy cấu hình phù hợp.</w:t>
      </w:r>
    </w:p>
    <w:p>
      <w:pPr>
        <w:pStyle w:val="ListNumber"/>
      </w:pPr>
      <w:r>
        <w:t>Service khởi động với cấu hình nhận được.</w:t>
      </w:r>
    </w:p>
    <w:p>
      <w:pPr>
        <w:pStyle w:val="ListNumber"/>
      </w:pPr>
      <w:r>
        <w:t>Service đăng ký instance lên `eureka-server`.</w:t>
      </w:r>
    </w:p>
    <w:p>
      <w:pPr>
        <w:pStyle w:val="ListNumber"/>
      </w:pPr>
      <w:r>
        <w:t>Khi cần gọi service khác, service tra cứu danh sách instance qua Eureka.</w:t>
      </w:r>
    </w:p>
    <w:p>
      <w:r>
        <w:t>Ví dụ luồng đặt vé:</w:t>
      </w:r>
    </w:p>
    <w:p>
      <w:pPr>
        <w:pStyle w:val="ListNumber"/>
      </w:pPr>
      <w:r>
        <w:t>`booking-service` nhận yêu cầu đặt vé.</w:t>
      </w:r>
    </w:p>
    <w:p>
      <w:pPr>
        <w:pStyle w:val="ListNumber"/>
      </w:pPr>
      <w:r>
        <w:t>`booking-service` tra cứu `showtime-service` qua Eureka để kiểm tra suất chiếu.</w:t>
      </w:r>
    </w:p>
    <w:p>
      <w:pPr>
        <w:pStyle w:val="ListNumber"/>
      </w:pPr>
      <w:r>
        <w:t>`booking-service` gọi `payment-service` để thanh toán.</w:t>
      </w:r>
    </w:p>
    <w:p>
      <w:pPr>
        <w:pStyle w:val="ListNumber"/>
      </w:pPr>
      <w:r>
        <w:t>`payment-service` trả trạng thái thanh toán.</w:t>
      </w:r>
    </w:p>
    <w:p>
      <w:pPr>
        <w:pStyle w:val="ListNumber"/>
      </w:pPr>
      <w:r>
        <w:t>`booking-service` xác nhận vé.</w:t>
      </w:r>
    </w:p>
    <w:p>
      <w:pPr>
        <w:pStyle w:val="Heading1"/>
      </w:pPr>
      <w:r>
        <w:rPr>
          <w:color w:val="000000"/>
        </w:rPr>
        <w:t>9. Kết luận</w:t>
      </w:r>
    </w:p>
    <w:p>
      <w:r>
        <w:t>Với CineGo, Config Server giúp quản lý cấu hình tập trung, tránh phải sửa cấu hình trong từng service khi đổi môi trường. Eureka Server giúp các service tìm nhau bằng tên thay vì gọi địa chỉ cứng.</w:t>
      </w:r>
    </w:p>
    <w:p>
      <w:r>
        <w:t>Thiết kế này phù hợp cho hệ thống microservice vì khi scale một service lên nhiều instance, các service khác vẫn gọi bằng service name và để Eureka cùng LoadBalancer xử lý danh sách instance.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