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Semantic Search Notes</w:t>
      </w:r>
    </w:p>
    <w:p>
      <w:r>
        <w:t>Semantic search finds documents by meaning rather than by exact keyword match. The question is converted into a query embedding using the same model that embedded the documents. This is important: both sides must use the same embedding model, otherwise the vectors are not comparable.</w:t>
      </w:r>
    </w:p>
    <w:p>
      <w:r>
        <w:t>The top_k parameter controls how many of the most relevant chunks are returned. With top_k equal to 1 only the single best chunk is returned, while top_k equal to 3 returns the three most similar chunks. Larger values give the language model more context but may add noise.</w:t>
      </w:r>
    </w:p>
    <w:p>
      <w:r>
        <w:t>A complete RAG pipeline loads a file, extracts text, cleans it, splits it into chunks, generates embeddings, stores them in a vector database, and then answers questions by retrieving the most relevant chunks. Day 4 covers the retrieval half of this pipeline using FastAPI.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