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215"/>
        <w:tblW w:w="7563" w:type="dxa"/>
        <w:tblLook w:val="04A0" w:firstRow="1" w:lastRow="0" w:firstColumn="1" w:lastColumn="0" w:noHBand="0" w:noVBand="1"/>
      </w:tblPr>
      <w:tblGrid>
        <w:gridCol w:w="1263"/>
        <w:gridCol w:w="1255"/>
        <w:gridCol w:w="981"/>
        <w:gridCol w:w="1531"/>
        <w:gridCol w:w="1682"/>
        <w:gridCol w:w="851"/>
      </w:tblGrid>
      <w:tr w:rsidR="00484A23" w14:paraId="4C37393E" w14:textId="4450E732" w:rsidTr="00D00499">
        <w:tc>
          <w:tcPr>
            <w:tcW w:w="1263" w:type="dxa"/>
          </w:tcPr>
          <w:p w14:paraId="5F3F9DDC" w14:textId="69600514" w:rsidR="00484A23" w:rsidRDefault="00484A23" w:rsidP="00484A23">
            <w:r>
              <w:t xml:space="preserve">Tool </w:t>
            </w:r>
          </w:p>
        </w:tc>
        <w:tc>
          <w:tcPr>
            <w:tcW w:w="1255" w:type="dxa"/>
          </w:tcPr>
          <w:p w14:paraId="2697EC4C" w14:textId="783330BE" w:rsidR="00484A23" w:rsidRDefault="00484A23" w:rsidP="00484A23">
            <w:r>
              <w:t>Intronic</w:t>
            </w:r>
          </w:p>
        </w:tc>
        <w:tc>
          <w:tcPr>
            <w:tcW w:w="981" w:type="dxa"/>
          </w:tcPr>
          <w:p w14:paraId="056694BC" w14:textId="06B5B7EC" w:rsidR="00484A23" w:rsidRDefault="00484A23" w:rsidP="00484A23">
            <w:proofErr w:type="spellStart"/>
            <w:r>
              <w:t>Exonic</w:t>
            </w:r>
            <w:proofErr w:type="spellEnd"/>
          </w:p>
        </w:tc>
        <w:tc>
          <w:tcPr>
            <w:tcW w:w="1531" w:type="dxa"/>
          </w:tcPr>
          <w:p w14:paraId="308728DB" w14:textId="50129BB7" w:rsidR="00484A23" w:rsidRDefault="00484A23" w:rsidP="00484A23">
            <w:r>
              <w:t>1KB upstream</w:t>
            </w:r>
          </w:p>
        </w:tc>
        <w:tc>
          <w:tcPr>
            <w:tcW w:w="1682" w:type="dxa"/>
            <w:vAlign w:val="center"/>
          </w:tcPr>
          <w:p w14:paraId="42989BBB" w14:textId="49A308F4" w:rsidR="00484A23" w:rsidRDefault="00484A23" w:rsidP="00D00499">
            <w:r>
              <w:t>10KB upstream</w:t>
            </w:r>
          </w:p>
        </w:tc>
        <w:tc>
          <w:tcPr>
            <w:tcW w:w="851" w:type="dxa"/>
          </w:tcPr>
          <w:p w14:paraId="6EC23870" w14:textId="14F97F62" w:rsidR="00484A23" w:rsidRDefault="00484A23" w:rsidP="00484A23">
            <w:r>
              <w:t>Total</w:t>
            </w:r>
          </w:p>
        </w:tc>
      </w:tr>
      <w:tr w:rsidR="00484A23" w14:paraId="7696C974" w14:textId="2BFC0146" w:rsidTr="00D00499">
        <w:tc>
          <w:tcPr>
            <w:tcW w:w="1263" w:type="dxa"/>
          </w:tcPr>
          <w:p w14:paraId="7D9BD7A3" w14:textId="50342812" w:rsidR="00484A23" w:rsidRDefault="00484A23" w:rsidP="00484A23">
            <w:r>
              <w:t>Retroseq</w:t>
            </w:r>
          </w:p>
        </w:tc>
        <w:tc>
          <w:tcPr>
            <w:tcW w:w="1255" w:type="dxa"/>
          </w:tcPr>
          <w:p w14:paraId="5EAC796E" w14:textId="26749C40" w:rsidR="00484A23" w:rsidRDefault="00484A23" w:rsidP="00484A23">
            <w:r>
              <w:t>119 (45%)</w:t>
            </w:r>
          </w:p>
        </w:tc>
        <w:tc>
          <w:tcPr>
            <w:tcW w:w="981" w:type="dxa"/>
          </w:tcPr>
          <w:p w14:paraId="6C9B8F3E" w14:textId="011EF354" w:rsidR="00484A23" w:rsidRDefault="00484A23" w:rsidP="00484A23">
            <w:r>
              <w:t>7 (3%)</w:t>
            </w:r>
          </w:p>
        </w:tc>
        <w:tc>
          <w:tcPr>
            <w:tcW w:w="1531" w:type="dxa"/>
          </w:tcPr>
          <w:p w14:paraId="48F83F07" w14:textId="59A8E636" w:rsidR="00484A23" w:rsidRDefault="00484A23" w:rsidP="00484A23">
            <w:r>
              <w:t>4 (2%)</w:t>
            </w:r>
          </w:p>
        </w:tc>
        <w:tc>
          <w:tcPr>
            <w:tcW w:w="1682" w:type="dxa"/>
            <w:vAlign w:val="center"/>
          </w:tcPr>
          <w:p w14:paraId="24FC20FB" w14:textId="45924B69" w:rsidR="00484A23" w:rsidRDefault="00ED5BFB" w:rsidP="00D00499">
            <w:r>
              <w:t>65</w:t>
            </w:r>
            <w:r w:rsidR="009C4305">
              <w:t xml:space="preserve"> (24%)</w:t>
            </w:r>
          </w:p>
        </w:tc>
        <w:tc>
          <w:tcPr>
            <w:tcW w:w="851" w:type="dxa"/>
          </w:tcPr>
          <w:p w14:paraId="7DC99326" w14:textId="739B398F" w:rsidR="00484A23" w:rsidRDefault="00484A23" w:rsidP="00484A23">
            <w:r>
              <w:t>266</w:t>
            </w:r>
          </w:p>
        </w:tc>
      </w:tr>
      <w:tr w:rsidR="00484A23" w14:paraId="7DCBEA56" w14:textId="391F05E7" w:rsidTr="00D00499">
        <w:tc>
          <w:tcPr>
            <w:tcW w:w="1263" w:type="dxa"/>
          </w:tcPr>
          <w:p w14:paraId="11BB6626" w14:textId="03441620" w:rsidR="00484A23" w:rsidRDefault="00484A23" w:rsidP="00484A23">
            <w:r>
              <w:t>Retroseq+</w:t>
            </w:r>
          </w:p>
        </w:tc>
        <w:tc>
          <w:tcPr>
            <w:tcW w:w="1255" w:type="dxa"/>
          </w:tcPr>
          <w:p w14:paraId="5D4A6EC9" w14:textId="7DA64E5E" w:rsidR="00484A23" w:rsidRDefault="00484A23" w:rsidP="00484A23">
            <w:r>
              <w:t>11 (35%)</w:t>
            </w:r>
          </w:p>
        </w:tc>
        <w:tc>
          <w:tcPr>
            <w:tcW w:w="981" w:type="dxa"/>
          </w:tcPr>
          <w:p w14:paraId="0BE094C7" w14:textId="3EAADD7C" w:rsidR="00484A23" w:rsidRDefault="00484A23" w:rsidP="00484A23">
            <w:r>
              <w:t>0</w:t>
            </w:r>
          </w:p>
        </w:tc>
        <w:tc>
          <w:tcPr>
            <w:tcW w:w="1531" w:type="dxa"/>
          </w:tcPr>
          <w:p w14:paraId="7126EFD6" w14:textId="73B9F163" w:rsidR="00484A23" w:rsidRDefault="00484A23" w:rsidP="00484A23">
            <w:r>
              <w:t>0</w:t>
            </w:r>
          </w:p>
        </w:tc>
        <w:tc>
          <w:tcPr>
            <w:tcW w:w="1682" w:type="dxa"/>
            <w:vAlign w:val="center"/>
          </w:tcPr>
          <w:p w14:paraId="04E4B269" w14:textId="4B839851" w:rsidR="00484A23" w:rsidRDefault="00ED5BFB" w:rsidP="00D00499">
            <w:r>
              <w:t>5</w:t>
            </w:r>
            <w:r w:rsidR="009C4305">
              <w:t xml:space="preserve"> (16%)</w:t>
            </w:r>
          </w:p>
        </w:tc>
        <w:tc>
          <w:tcPr>
            <w:tcW w:w="851" w:type="dxa"/>
          </w:tcPr>
          <w:p w14:paraId="76323460" w14:textId="778A04BD" w:rsidR="00484A23" w:rsidRDefault="00484A23" w:rsidP="00484A23">
            <w:r>
              <w:t>31</w:t>
            </w:r>
          </w:p>
        </w:tc>
      </w:tr>
      <w:tr w:rsidR="00484A23" w14:paraId="555B0938" w14:textId="7F102F52" w:rsidTr="00D00499">
        <w:tc>
          <w:tcPr>
            <w:tcW w:w="1263" w:type="dxa"/>
          </w:tcPr>
          <w:p w14:paraId="12E9E05A" w14:textId="079BFCF5" w:rsidR="00484A23" w:rsidRDefault="00484A23" w:rsidP="00484A23">
            <w:r>
              <w:t>Melt</w:t>
            </w:r>
          </w:p>
        </w:tc>
        <w:tc>
          <w:tcPr>
            <w:tcW w:w="1255" w:type="dxa"/>
          </w:tcPr>
          <w:p w14:paraId="3150A0F5" w14:textId="765E1626" w:rsidR="00484A23" w:rsidRDefault="00484A23" w:rsidP="00484A23">
            <w:r>
              <w:t>43 (45%)</w:t>
            </w:r>
          </w:p>
        </w:tc>
        <w:tc>
          <w:tcPr>
            <w:tcW w:w="981" w:type="dxa"/>
          </w:tcPr>
          <w:p w14:paraId="545D8E79" w14:textId="048CF15A" w:rsidR="00484A23" w:rsidRDefault="00484A23" w:rsidP="00484A23">
            <w:r>
              <w:t>1 (1%)</w:t>
            </w:r>
          </w:p>
        </w:tc>
        <w:tc>
          <w:tcPr>
            <w:tcW w:w="1531" w:type="dxa"/>
          </w:tcPr>
          <w:p w14:paraId="046C99F5" w14:textId="2C92A6BA" w:rsidR="00484A23" w:rsidRDefault="00484A23" w:rsidP="00484A23">
            <w:r>
              <w:t>3 (3%)</w:t>
            </w:r>
          </w:p>
        </w:tc>
        <w:tc>
          <w:tcPr>
            <w:tcW w:w="1682" w:type="dxa"/>
            <w:vAlign w:val="center"/>
          </w:tcPr>
          <w:p w14:paraId="2B17ACFC" w14:textId="71D6B46E" w:rsidR="00484A23" w:rsidRDefault="00ED5BFB" w:rsidP="00D00499">
            <w:r>
              <w:t>23</w:t>
            </w:r>
            <w:r w:rsidR="009C4305">
              <w:t xml:space="preserve"> (24%)</w:t>
            </w:r>
          </w:p>
        </w:tc>
        <w:tc>
          <w:tcPr>
            <w:tcW w:w="851" w:type="dxa"/>
          </w:tcPr>
          <w:p w14:paraId="2AF46516" w14:textId="549D2169" w:rsidR="00484A23" w:rsidRDefault="00484A23" w:rsidP="00484A23">
            <w:r>
              <w:t>95</w:t>
            </w:r>
          </w:p>
        </w:tc>
      </w:tr>
      <w:tr w:rsidR="00484A23" w14:paraId="30BA7F57" w14:textId="7CD6C00D" w:rsidTr="00D00499">
        <w:tc>
          <w:tcPr>
            <w:tcW w:w="1263" w:type="dxa"/>
          </w:tcPr>
          <w:p w14:paraId="207D928C" w14:textId="2E9D5190" w:rsidR="00484A23" w:rsidRDefault="00484A23" w:rsidP="00484A23">
            <w:r>
              <w:t xml:space="preserve">Steak </w:t>
            </w:r>
          </w:p>
        </w:tc>
        <w:tc>
          <w:tcPr>
            <w:tcW w:w="1255" w:type="dxa"/>
          </w:tcPr>
          <w:p w14:paraId="0C6BB93D" w14:textId="13F3FF50" w:rsidR="00484A23" w:rsidRDefault="00484A23" w:rsidP="00484A23">
            <w:r>
              <w:t>109 (29%)</w:t>
            </w:r>
          </w:p>
        </w:tc>
        <w:tc>
          <w:tcPr>
            <w:tcW w:w="981" w:type="dxa"/>
          </w:tcPr>
          <w:p w14:paraId="50BF67DB" w14:textId="54D94B7B" w:rsidR="00484A23" w:rsidRDefault="00484A23" w:rsidP="00484A23">
            <w:r>
              <w:t>11 (3%)</w:t>
            </w:r>
          </w:p>
        </w:tc>
        <w:tc>
          <w:tcPr>
            <w:tcW w:w="1531" w:type="dxa"/>
          </w:tcPr>
          <w:p w14:paraId="5AC0C7B6" w14:textId="067AC289" w:rsidR="00484A23" w:rsidRDefault="00484A23" w:rsidP="00484A23">
            <w:r>
              <w:t>4 (1%)</w:t>
            </w:r>
          </w:p>
        </w:tc>
        <w:tc>
          <w:tcPr>
            <w:tcW w:w="1682" w:type="dxa"/>
            <w:vAlign w:val="center"/>
          </w:tcPr>
          <w:p w14:paraId="225088CC" w14:textId="0104EB34" w:rsidR="00484A23" w:rsidRDefault="00D00499" w:rsidP="00D00499">
            <w:r>
              <w:t>121</w:t>
            </w:r>
            <w:r w:rsidR="009C4305">
              <w:t xml:space="preserve"> (32%)</w:t>
            </w:r>
          </w:p>
        </w:tc>
        <w:tc>
          <w:tcPr>
            <w:tcW w:w="851" w:type="dxa"/>
          </w:tcPr>
          <w:p w14:paraId="5592A25D" w14:textId="46541258" w:rsidR="00484A23" w:rsidRDefault="00484A23" w:rsidP="00484A23">
            <w:r>
              <w:t>382</w:t>
            </w:r>
          </w:p>
        </w:tc>
      </w:tr>
      <w:tr w:rsidR="00484A23" w14:paraId="69D66E46" w14:textId="756BBC7F" w:rsidTr="00D00499">
        <w:tc>
          <w:tcPr>
            <w:tcW w:w="1263" w:type="dxa"/>
          </w:tcPr>
          <w:p w14:paraId="7DB3E77F" w14:textId="45719E96" w:rsidR="00484A23" w:rsidRDefault="00484A23" w:rsidP="00484A23">
            <w:proofErr w:type="spellStart"/>
            <w:r>
              <w:t>Ervcaller</w:t>
            </w:r>
            <w:proofErr w:type="spellEnd"/>
          </w:p>
        </w:tc>
        <w:tc>
          <w:tcPr>
            <w:tcW w:w="1255" w:type="dxa"/>
          </w:tcPr>
          <w:p w14:paraId="79C4EA7F" w14:textId="1B1EDD32" w:rsidR="00484A23" w:rsidRDefault="00484A23" w:rsidP="00484A23">
            <w:r>
              <w:t>15 (44%)</w:t>
            </w:r>
          </w:p>
        </w:tc>
        <w:tc>
          <w:tcPr>
            <w:tcW w:w="981" w:type="dxa"/>
          </w:tcPr>
          <w:p w14:paraId="53B81293" w14:textId="7954E6DA" w:rsidR="00484A23" w:rsidRDefault="00484A23" w:rsidP="00484A23">
            <w:r>
              <w:t>0</w:t>
            </w:r>
          </w:p>
        </w:tc>
        <w:tc>
          <w:tcPr>
            <w:tcW w:w="1531" w:type="dxa"/>
          </w:tcPr>
          <w:p w14:paraId="22F34623" w14:textId="675D9C75" w:rsidR="00484A23" w:rsidRDefault="00484A23" w:rsidP="00484A23">
            <w:r>
              <w:t>1 (3%)</w:t>
            </w:r>
          </w:p>
        </w:tc>
        <w:tc>
          <w:tcPr>
            <w:tcW w:w="1682" w:type="dxa"/>
            <w:vAlign w:val="center"/>
          </w:tcPr>
          <w:p w14:paraId="443A9F79" w14:textId="7F706F95" w:rsidR="00484A23" w:rsidRDefault="00D00499" w:rsidP="00D00499">
            <w:r>
              <w:t>7</w:t>
            </w:r>
            <w:r w:rsidR="009C4305">
              <w:t xml:space="preserve"> (21%)</w:t>
            </w:r>
          </w:p>
        </w:tc>
        <w:tc>
          <w:tcPr>
            <w:tcW w:w="851" w:type="dxa"/>
          </w:tcPr>
          <w:p w14:paraId="412B57DC" w14:textId="069CB0E3" w:rsidR="00484A23" w:rsidRDefault="00484A23" w:rsidP="00484A23">
            <w:r>
              <w:t>34</w:t>
            </w:r>
          </w:p>
        </w:tc>
      </w:tr>
      <w:tr w:rsidR="00484A23" w14:paraId="189C5A12" w14:textId="36D6795A" w:rsidTr="00D00499">
        <w:tc>
          <w:tcPr>
            <w:tcW w:w="1263" w:type="dxa"/>
          </w:tcPr>
          <w:p w14:paraId="62517128" w14:textId="686765D9" w:rsidR="00484A23" w:rsidRDefault="00484A23" w:rsidP="00484A23">
            <w:r>
              <w:t>Mobster</w:t>
            </w:r>
          </w:p>
        </w:tc>
        <w:tc>
          <w:tcPr>
            <w:tcW w:w="1255" w:type="dxa"/>
          </w:tcPr>
          <w:p w14:paraId="696F03CA" w14:textId="4D09B7A7" w:rsidR="00484A23" w:rsidRDefault="00484A23" w:rsidP="00484A23">
            <w:r>
              <w:t>NA</w:t>
            </w:r>
          </w:p>
        </w:tc>
        <w:tc>
          <w:tcPr>
            <w:tcW w:w="981" w:type="dxa"/>
          </w:tcPr>
          <w:p w14:paraId="34AFC769" w14:textId="492927CA" w:rsidR="00484A23" w:rsidRDefault="00484A23" w:rsidP="00484A23">
            <w:r>
              <w:t>NA</w:t>
            </w:r>
          </w:p>
        </w:tc>
        <w:tc>
          <w:tcPr>
            <w:tcW w:w="1531" w:type="dxa"/>
          </w:tcPr>
          <w:p w14:paraId="44DE20C7" w14:textId="6D6E1EE8" w:rsidR="00484A23" w:rsidRDefault="00484A23" w:rsidP="00484A23">
            <w:r>
              <w:t>NA</w:t>
            </w:r>
          </w:p>
        </w:tc>
        <w:tc>
          <w:tcPr>
            <w:tcW w:w="1682" w:type="dxa"/>
            <w:vAlign w:val="center"/>
          </w:tcPr>
          <w:p w14:paraId="0A999875" w14:textId="18423263" w:rsidR="00484A23" w:rsidRDefault="009C4305" w:rsidP="00D00499">
            <w:r>
              <w:t>NA</w:t>
            </w:r>
          </w:p>
        </w:tc>
        <w:tc>
          <w:tcPr>
            <w:tcW w:w="851" w:type="dxa"/>
          </w:tcPr>
          <w:p w14:paraId="5CFA30C9" w14:textId="1804C8D7" w:rsidR="00484A23" w:rsidRDefault="00484A23" w:rsidP="00484A23">
            <w:r>
              <w:t>NA</w:t>
            </w:r>
          </w:p>
        </w:tc>
      </w:tr>
    </w:tbl>
    <w:p w14:paraId="79E3B6A3" w14:textId="55BFEA8F" w:rsidR="00F63E89" w:rsidRDefault="00F63E89"/>
    <w:p w14:paraId="444BB180" w14:textId="77777777" w:rsidR="00484A23" w:rsidRDefault="00484A23"/>
    <w:p w14:paraId="4818CFFE" w14:textId="77777777" w:rsidR="00484A23" w:rsidRDefault="00484A23"/>
    <w:p w14:paraId="675AA18F" w14:textId="77777777" w:rsidR="00484A23" w:rsidRDefault="00484A23"/>
    <w:p w14:paraId="406F8E88" w14:textId="77777777" w:rsidR="00484A23" w:rsidRDefault="00484A23"/>
    <w:p w14:paraId="3E966164" w14:textId="51F1C6E6" w:rsidR="00BA139A" w:rsidRDefault="00BA139A">
      <w:r>
        <w:t>Supplementary table 1.</w:t>
      </w:r>
    </w:p>
    <w:p w14:paraId="1C75C9B7" w14:textId="77777777" w:rsidR="001C7052" w:rsidRDefault="001C7052" w:rsidP="001C7052">
      <w:r>
        <w:t>Gene functional annotation of non-reference HERV-K insertions detected in the 50 whole genome sequencing samples.</w:t>
      </w:r>
    </w:p>
    <w:p w14:paraId="4368379A" w14:textId="360FF0B5" w:rsidR="001C7052" w:rsidRDefault="001C7052" w:rsidP="001C7052">
      <w:r>
        <w:t xml:space="preserve">The proportion of intronic HERV-Ks detected by each tool varied from 29% to 45%. Previous estimates of reference HERV-Ks (multiple subfamilies) suggest between 20% and 48% are expected to be intragenic [1,2,3,4,5]. The expected proportion of </w:t>
      </w:r>
      <w:proofErr w:type="spellStart"/>
      <w:r>
        <w:t>exonic</w:t>
      </w:r>
      <w:proofErr w:type="spellEnd"/>
      <w:r>
        <w:t xml:space="preserve"> HERV-Ks was reported to be between 0% and 5% in literature [2,3,4] which is consistent to our results. though one paper has reported </w:t>
      </w:r>
      <w:proofErr w:type="spellStart"/>
      <w:r>
        <w:t>exonic</w:t>
      </w:r>
      <w:proofErr w:type="spellEnd"/>
      <w:r>
        <w:t xml:space="preserve"> HERV-Ks (HML9) at a rate of 26% [5].</w:t>
      </w:r>
    </w:p>
    <w:p w14:paraId="4A506883" w14:textId="09C63C8A" w:rsidR="0088191A" w:rsidRDefault="0088191A" w:rsidP="00B53E73">
      <w:pPr>
        <w:pStyle w:val="NoSpacing"/>
      </w:pPr>
    </w:p>
    <w:p w14:paraId="150D3089" w14:textId="0EBA869F" w:rsidR="0088191A" w:rsidRPr="0088191A" w:rsidRDefault="0088191A" w:rsidP="0088191A">
      <w:pPr>
        <w:pStyle w:val="NoSpacing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Subramanian, R.P.,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Wildschutte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J.H., Russo, C. and Coffin, J.M., 2011. Identification, characterization, and comparative genomic distribution of the HERV-K (HML-2) group of human endogenous retroviruses.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Retrovirology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pp.1-22.</w:t>
      </w:r>
    </w:p>
    <w:p w14:paraId="765590E7" w14:textId="5B962378" w:rsidR="0088191A" w:rsidRPr="00BA139A" w:rsidRDefault="00F12104" w:rsidP="0088191A">
      <w:pPr>
        <w:pStyle w:val="NoSpacing"/>
        <w:numPr>
          <w:ilvl w:val="0"/>
          <w:numId w:val="1"/>
        </w:numPr>
      </w:pPr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Pisano, M.P., Grandi, N., Cadeddu, M., </w:t>
      </w:r>
      <w:proofErr w:type="spellStart"/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Blomberg</w:t>
      </w:r>
      <w:proofErr w:type="spellEnd"/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J. and Tramontano, E., 2019.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Comprehensive characterization of the human endogenous retrovirus HERV-K (HML-6) group: overview of structure, phylogeny, and contribution to the human genome.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(16), pp.e00110-19.</w:t>
      </w:r>
    </w:p>
    <w:p w14:paraId="29DBA53C" w14:textId="792D9074" w:rsidR="00BA139A" w:rsidRPr="00354B88" w:rsidRDefault="00BA139A" w:rsidP="0088191A">
      <w:pPr>
        <w:pStyle w:val="NoSpacing"/>
        <w:numPr>
          <w:ilvl w:val="0"/>
          <w:numId w:val="1"/>
        </w:numPr>
      </w:pP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M.,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Jia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L., Li, H.,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Y., Han, J.,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Zhai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Wang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Li, T., Li, J., Zhang, B. and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Yu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C., 2022.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Identification and characterization of the HERV-K (HML-8) group of human endogenous retroviruses in the genome.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40BAA53" w14:textId="03EE82FB" w:rsidR="00354B88" w:rsidRPr="00F12104" w:rsidRDefault="00354B88" w:rsidP="0088191A">
      <w:pPr>
        <w:pStyle w:val="NoSpacing"/>
        <w:numPr>
          <w:ilvl w:val="0"/>
          <w:numId w:val="1"/>
        </w:numPr>
      </w:pPr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Grandi, N., Pisano, M.P., </w:t>
      </w:r>
      <w:proofErr w:type="spellStart"/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Pessiu</w:t>
      </w:r>
      <w:proofErr w:type="spellEnd"/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E., Scognamiglio, S. and Tramontano, E., 2021.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HERV-K (HML7) integrations in the human genome: comprehensive characterization and comparative analysis in non-human primates.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p.439.</w:t>
      </w:r>
    </w:p>
    <w:p w14:paraId="3D923FFE" w14:textId="7287965A" w:rsidR="00F12104" w:rsidRDefault="00BA139A" w:rsidP="0088191A">
      <w:pPr>
        <w:pStyle w:val="NoSpacing"/>
        <w:numPr>
          <w:ilvl w:val="0"/>
          <w:numId w:val="1"/>
        </w:numPr>
      </w:pP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Jia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L.,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M., Yang, C., Li, H.,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Y., Han, J.,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Zhai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Wang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Li, T., Li, J. and Zhang, B., 2022.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Comprehensive identification and characterization of the HERV-K (HML-9) group in the human genome.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Retrovirology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pp.1-18.</w:t>
      </w:r>
    </w:p>
    <w:sectPr w:rsidR="00F1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491F"/>
    <w:multiLevelType w:val="hybridMultilevel"/>
    <w:tmpl w:val="6660F0E4"/>
    <w:lvl w:ilvl="0" w:tplc="F738A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03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F1"/>
    <w:rsid w:val="00070446"/>
    <w:rsid w:val="000A362F"/>
    <w:rsid w:val="000C71DC"/>
    <w:rsid w:val="000F1805"/>
    <w:rsid w:val="001C4F1E"/>
    <w:rsid w:val="001C7052"/>
    <w:rsid w:val="0024207F"/>
    <w:rsid w:val="00354B88"/>
    <w:rsid w:val="003F510B"/>
    <w:rsid w:val="0045764A"/>
    <w:rsid w:val="00484A23"/>
    <w:rsid w:val="005856C5"/>
    <w:rsid w:val="00674F39"/>
    <w:rsid w:val="006A3B14"/>
    <w:rsid w:val="006D019E"/>
    <w:rsid w:val="006D46AB"/>
    <w:rsid w:val="0088191A"/>
    <w:rsid w:val="00956741"/>
    <w:rsid w:val="009C4305"/>
    <w:rsid w:val="00AC14C4"/>
    <w:rsid w:val="00B35AA6"/>
    <w:rsid w:val="00B53E73"/>
    <w:rsid w:val="00B759F1"/>
    <w:rsid w:val="00BA139A"/>
    <w:rsid w:val="00BB1379"/>
    <w:rsid w:val="00C4021B"/>
    <w:rsid w:val="00CB26BA"/>
    <w:rsid w:val="00D00499"/>
    <w:rsid w:val="00D90AC3"/>
    <w:rsid w:val="00ED5BFB"/>
    <w:rsid w:val="00F12104"/>
    <w:rsid w:val="00F447D9"/>
    <w:rsid w:val="00F63E89"/>
    <w:rsid w:val="00F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A9E0"/>
  <w15:chartTrackingRefBased/>
  <w15:docId w15:val="{36F96B09-6FB8-4964-8ADD-179EDF7F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3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bowles</dc:creator>
  <cp:keywords/>
  <dc:description/>
  <cp:lastModifiedBy>harry bowles</cp:lastModifiedBy>
  <cp:revision>2</cp:revision>
  <dcterms:created xsi:type="dcterms:W3CDTF">2022-09-15T14:47:00Z</dcterms:created>
  <dcterms:modified xsi:type="dcterms:W3CDTF">2022-09-15T14:47:00Z</dcterms:modified>
</cp:coreProperties>
</file>