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81" w:type="dxa"/>
        <w:tblLook w:val="04A0" w:firstRow="1" w:lastRow="0" w:firstColumn="1" w:lastColumn="0" w:noHBand="0" w:noVBand="1"/>
      </w:tblPr>
      <w:tblGrid>
        <w:gridCol w:w="1132"/>
        <w:gridCol w:w="1273"/>
        <w:gridCol w:w="1134"/>
        <w:gridCol w:w="1134"/>
        <w:gridCol w:w="1985"/>
        <w:gridCol w:w="1071"/>
        <w:gridCol w:w="1293"/>
        <w:gridCol w:w="1259"/>
      </w:tblGrid>
      <w:tr w:rsidR="00737167" w14:paraId="27CD7478" w14:textId="6F4EE16F" w:rsidTr="00737167">
        <w:trPr>
          <w:trHeight w:val="646"/>
        </w:trPr>
        <w:tc>
          <w:tcPr>
            <w:tcW w:w="1132" w:type="dxa"/>
          </w:tcPr>
          <w:p w14:paraId="1D59775B" w14:textId="77777777" w:rsidR="00361C67" w:rsidRDefault="00361C67" w:rsidP="00361C67">
            <w:pPr>
              <w:pStyle w:val="NoSpacing"/>
            </w:pPr>
          </w:p>
        </w:tc>
        <w:tc>
          <w:tcPr>
            <w:tcW w:w="1273" w:type="dxa"/>
          </w:tcPr>
          <w:p w14:paraId="0C44A3E5" w14:textId="0D1FE6A4" w:rsidR="00361C67" w:rsidRDefault="00361C67" w:rsidP="00361C67">
            <w:pPr>
              <w:pStyle w:val="NoSpacing"/>
            </w:pPr>
            <w:r>
              <w:t>Total no. predictions</w:t>
            </w:r>
          </w:p>
        </w:tc>
        <w:tc>
          <w:tcPr>
            <w:tcW w:w="1134" w:type="dxa"/>
          </w:tcPr>
          <w:p w14:paraId="405046C2" w14:textId="272E0F4A" w:rsidR="00361C67" w:rsidRDefault="00361C67" w:rsidP="00361C67">
            <w:pPr>
              <w:pStyle w:val="NoSpacing"/>
            </w:pPr>
            <w:r>
              <w:t>Avg. sensitivity</w:t>
            </w:r>
          </w:p>
        </w:tc>
        <w:tc>
          <w:tcPr>
            <w:tcW w:w="1134" w:type="dxa"/>
          </w:tcPr>
          <w:p w14:paraId="62B74DA7" w14:textId="13022143" w:rsidR="00361C67" w:rsidRDefault="00361C67" w:rsidP="00361C67">
            <w:pPr>
              <w:pStyle w:val="NoSpacing"/>
            </w:pPr>
            <w:r>
              <w:t xml:space="preserve">Avg. </w:t>
            </w:r>
            <w:r w:rsidR="00737167">
              <w:t>precision</w:t>
            </w:r>
          </w:p>
        </w:tc>
        <w:tc>
          <w:tcPr>
            <w:tcW w:w="1985" w:type="dxa"/>
          </w:tcPr>
          <w:p w14:paraId="2D2ADCF5" w14:textId="1B489D31" w:rsidR="00361C67" w:rsidRDefault="00361C67" w:rsidP="00361C67">
            <w:pPr>
              <w:pStyle w:val="NoSpacing"/>
            </w:pPr>
            <w:r>
              <w:t>Long read confirmed</w:t>
            </w:r>
          </w:p>
        </w:tc>
        <w:tc>
          <w:tcPr>
            <w:tcW w:w="1071" w:type="dxa"/>
          </w:tcPr>
          <w:p w14:paraId="606B5BF3" w14:textId="1484AD1B" w:rsidR="00361C67" w:rsidRDefault="00361C67" w:rsidP="00361C67">
            <w:pPr>
              <w:pStyle w:val="NoSpacing"/>
            </w:pPr>
            <w:r>
              <w:t xml:space="preserve">CPU time </w:t>
            </w:r>
          </w:p>
        </w:tc>
        <w:tc>
          <w:tcPr>
            <w:tcW w:w="1293" w:type="dxa"/>
          </w:tcPr>
          <w:p w14:paraId="11B354EB" w14:textId="1F44BDC4" w:rsidR="00361C67" w:rsidRDefault="00361C67" w:rsidP="00361C67">
            <w:pPr>
              <w:pStyle w:val="NoSpacing"/>
            </w:pPr>
            <w:r>
              <w:t>Citations</w:t>
            </w:r>
          </w:p>
        </w:tc>
        <w:tc>
          <w:tcPr>
            <w:tcW w:w="1259" w:type="dxa"/>
          </w:tcPr>
          <w:p w14:paraId="402B4082" w14:textId="4CEC117D" w:rsidR="00361C67" w:rsidRDefault="00361C67" w:rsidP="00361C67">
            <w:pPr>
              <w:pStyle w:val="NoSpacing"/>
            </w:pPr>
            <w:r>
              <w:t>Year published</w:t>
            </w:r>
          </w:p>
        </w:tc>
      </w:tr>
      <w:tr w:rsidR="00361C67" w14:paraId="30D231CE" w14:textId="56568554" w:rsidTr="00737167">
        <w:trPr>
          <w:trHeight w:val="326"/>
        </w:trPr>
        <w:tc>
          <w:tcPr>
            <w:tcW w:w="1132" w:type="dxa"/>
            <w:shd w:val="clear" w:color="auto" w:fill="FFF2CC" w:themeFill="accent4" w:themeFillTint="33"/>
          </w:tcPr>
          <w:p w14:paraId="0FF9E2CF" w14:textId="73685F58" w:rsidR="00361C67" w:rsidRDefault="00361C67" w:rsidP="00361C67">
            <w:pPr>
              <w:pStyle w:val="NoSpacing"/>
            </w:pPr>
            <w:r>
              <w:t>Retroseq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007ED00F" w14:textId="1ED8B798" w:rsidR="00361C67" w:rsidRDefault="00573445" w:rsidP="00361C67">
            <w:pPr>
              <w:pStyle w:val="NoSpacing"/>
            </w:pPr>
            <w:r>
              <w:t>2286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C006D0C" w14:textId="784294D9" w:rsidR="00361C67" w:rsidRDefault="00737167" w:rsidP="00361C67">
            <w:pPr>
              <w:pStyle w:val="NoSpacing"/>
            </w:pPr>
            <w:r>
              <w:t>0.6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7643588" w14:textId="0E672310" w:rsidR="00361C67" w:rsidRDefault="00737167" w:rsidP="00361C67">
            <w:pPr>
              <w:pStyle w:val="NoSpacing"/>
            </w:pPr>
            <w:r>
              <w:t>0.77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A669562" w14:textId="331C934E" w:rsidR="00361C67" w:rsidRDefault="00361C67" w:rsidP="00361C67">
            <w:pPr>
              <w:pStyle w:val="NoSpacing"/>
            </w:pPr>
            <w:r>
              <w:t>23%</w:t>
            </w:r>
          </w:p>
        </w:tc>
        <w:tc>
          <w:tcPr>
            <w:tcW w:w="1071" w:type="dxa"/>
            <w:shd w:val="clear" w:color="auto" w:fill="FFF2CC" w:themeFill="accent4" w:themeFillTint="33"/>
          </w:tcPr>
          <w:p w14:paraId="0C7DB336" w14:textId="5AE27DB0" w:rsidR="00361C67" w:rsidRDefault="00361C67" w:rsidP="00361C67">
            <w:pPr>
              <w:pStyle w:val="NoSpacing"/>
            </w:pPr>
            <w:r>
              <w:t>03:43:01</w:t>
            </w:r>
          </w:p>
        </w:tc>
        <w:tc>
          <w:tcPr>
            <w:tcW w:w="1293" w:type="dxa"/>
            <w:shd w:val="clear" w:color="auto" w:fill="FFF2CC" w:themeFill="accent4" w:themeFillTint="33"/>
          </w:tcPr>
          <w:p w14:paraId="4D50D397" w14:textId="416C9E7D" w:rsidR="00361C67" w:rsidRDefault="00361C67" w:rsidP="00361C67">
            <w:pPr>
              <w:pStyle w:val="NoSpacing"/>
            </w:pPr>
            <w:r>
              <w:t>185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14:paraId="5045DA01" w14:textId="1AF171CD" w:rsidR="00361C67" w:rsidRDefault="00361C67" w:rsidP="00361C67">
            <w:pPr>
              <w:pStyle w:val="NoSpacing"/>
            </w:pPr>
            <w:r>
              <w:t>2013</w:t>
            </w:r>
          </w:p>
        </w:tc>
      </w:tr>
      <w:tr w:rsidR="00737167" w14:paraId="2435D081" w14:textId="77777777" w:rsidTr="00737167">
        <w:trPr>
          <w:trHeight w:val="326"/>
        </w:trPr>
        <w:tc>
          <w:tcPr>
            <w:tcW w:w="1132" w:type="dxa"/>
            <w:shd w:val="clear" w:color="auto" w:fill="FFF2CC" w:themeFill="accent4" w:themeFillTint="33"/>
          </w:tcPr>
          <w:p w14:paraId="6382BA76" w14:textId="3251EB6E" w:rsidR="00361C67" w:rsidRDefault="00361C67" w:rsidP="00361C67">
            <w:pPr>
              <w:pStyle w:val="NoSpacing"/>
            </w:pPr>
            <w:r>
              <w:t>Melt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293835FB" w14:textId="526FE30F" w:rsidR="00361C67" w:rsidRDefault="00573445" w:rsidP="00361C67">
            <w:pPr>
              <w:pStyle w:val="NoSpacing"/>
            </w:pPr>
            <w:r>
              <w:t>638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C7BB459" w14:textId="49DFF213" w:rsidR="00361C67" w:rsidRDefault="00737167" w:rsidP="00361C67">
            <w:pPr>
              <w:pStyle w:val="NoSpacing"/>
            </w:pPr>
            <w:r>
              <w:t>0.48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0C2B630" w14:textId="12A80CD4" w:rsidR="00361C67" w:rsidRDefault="00737167" w:rsidP="00361C67">
            <w:pPr>
              <w:pStyle w:val="NoSpacing"/>
            </w:pPr>
            <w:r>
              <w:t>0.81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8D43305" w14:textId="78ED6B5B" w:rsidR="00361C67" w:rsidRDefault="00361C67" w:rsidP="00361C67">
            <w:pPr>
              <w:pStyle w:val="NoSpacing"/>
            </w:pPr>
            <w:r>
              <w:t>13%</w:t>
            </w:r>
          </w:p>
        </w:tc>
        <w:tc>
          <w:tcPr>
            <w:tcW w:w="1071" w:type="dxa"/>
            <w:shd w:val="clear" w:color="auto" w:fill="FFF2CC" w:themeFill="accent4" w:themeFillTint="33"/>
          </w:tcPr>
          <w:p w14:paraId="6FB609A6" w14:textId="4C6AB7AB" w:rsidR="00361C67" w:rsidRDefault="00361C67" w:rsidP="00361C67">
            <w:pPr>
              <w:pStyle w:val="NoSpacing"/>
            </w:pPr>
            <w:r>
              <w:t>03:23:05</w:t>
            </w:r>
          </w:p>
        </w:tc>
        <w:tc>
          <w:tcPr>
            <w:tcW w:w="1293" w:type="dxa"/>
            <w:shd w:val="clear" w:color="auto" w:fill="FFF2CC" w:themeFill="accent4" w:themeFillTint="33"/>
          </w:tcPr>
          <w:p w14:paraId="359D2668" w14:textId="0BC1B494" w:rsidR="00361C67" w:rsidRDefault="00361C67" w:rsidP="00361C67">
            <w:pPr>
              <w:pStyle w:val="NoSpacing"/>
            </w:pPr>
            <w:r>
              <w:t>232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14:paraId="68D73C6B" w14:textId="21394E89" w:rsidR="00361C67" w:rsidRDefault="00361C67" w:rsidP="00361C67">
            <w:pPr>
              <w:pStyle w:val="NoSpacing"/>
            </w:pPr>
            <w:r>
              <w:t>2017</w:t>
            </w:r>
          </w:p>
        </w:tc>
      </w:tr>
      <w:tr w:rsidR="00361C67" w14:paraId="298723E8" w14:textId="22C9472F" w:rsidTr="00737167">
        <w:trPr>
          <w:trHeight w:val="326"/>
        </w:trPr>
        <w:tc>
          <w:tcPr>
            <w:tcW w:w="1132" w:type="dxa"/>
            <w:shd w:val="clear" w:color="auto" w:fill="D9E2F3" w:themeFill="accent1" w:themeFillTint="33"/>
          </w:tcPr>
          <w:p w14:paraId="0ACD7F89" w14:textId="005AE305" w:rsidR="00361C67" w:rsidRDefault="00361C67" w:rsidP="00361C67">
            <w:pPr>
              <w:pStyle w:val="NoSpacing"/>
            </w:pPr>
            <w:r>
              <w:t>Retroseq+</w:t>
            </w:r>
          </w:p>
        </w:tc>
        <w:tc>
          <w:tcPr>
            <w:tcW w:w="1273" w:type="dxa"/>
            <w:shd w:val="clear" w:color="auto" w:fill="D9E2F3" w:themeFill="accent1" w:themeFillTint="33"/>
          </w:tcPr>
          <w:p w14:paraId="08A25A21" w14:textId="323EAEAD" w:rsidR="00361C67" w:rsidRDefault="00573445" w:rsidP="00361C67">
            <w:pPr>
              <w:pStyle w:val="NoSpacing"/>
            </w:pPr>
            <w:r>
              <w:t>296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7684FAC" w14:textId="5C21DFD4" w:rsidR="00361C67" w:rsidRDefault="00737167" w:rsidP="00361C67">
            <w:pPr>
              <w:pStyle w:val="NoSpacing"/>
            </w:pPr>
            <w:r>
              <w:t>0.53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7C54F5A" w14:textId="047A0FA2" w:rsidR="00361C67" w:rsidRDefault="00737167" w:rsidP="00361C67">
            <w:pPr>
              <w:pStyle w:val="NoSpacing"/>
            </w:pPr>
            <w:r>
              <w:t>0.63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47820FAE" w14:textId="2A82B5FA" w:rsidR="00361C67" w:rsidRDefault="00361C67" w:rsidP="00361C67">
            <w:pPr>
              <w:pStyle w:val="NoSpacing"/>
            </w:pPr>
            <w:r>
              <w:t>78%</w:t>
            </w:r>
          </w:p>
        </w:tc>
        <w:tc>
          <w:tcPr>
            <w:tcW w:w="1071" w:type="dxa"/>
            <w:shd w:val="clear" w:color="auto" w:fill="D9E2F3" w:themeFill="accent1" w:themeFillTint="33"/>
          </w:tcPr>
          <w:p w14:paraId="63A053D6" w14:textId="2B86284E" w:rsidR="00361C67" w:rsidRDefault="00361C67" w:rsidP="00361C67">
            <w:pPr>
              <w:pStyle w:val="NoSpacing"/>
            </w:pPr>
            <w:r>
              <w:t>04:01:15</w:t>
            </w:r>
          </w:p>
        </w:tc>
        <w:tc>
          <w:tcPr>
            <w:tcW w:w="1293" w:type="dxa"/>
            <w:shd w:val="clear" w:color="auto" w:fill="D9E2F3" w:themeFill="accent1" w:themeFillTint="33"/>
          </w:tcPr>
          <w:p w14:paraId="18BD197A" w14:textId="023B1A8F" w:rsidR="00361C67" w:rsidRDefault="00361C67" w:rsidP="00361C67">
            <w:pPr>
              <w:pStyle w:val="NoSpacing"/>
            </w:pPr>
            <w:r>
              <w:t>NA</w:t>
            </w:r>
          </w:p>
        </w:tc>
        <w:tc>
          <w:tcPr>
            <w:tcW w:w="1259" w:type="dxa"/>
            <w:shd w:val="clear" w:color="auto" w:fill="D9E2F3" w:themeFill="accent1" w:themeFillTint="33"/>
          </w:tcPr>
          <w:p w14:paraId="1EBCA25B" w14:textId="26C8C68F" w:rsidR="00361C67" w:rsidRDefault="00361C67" w:rsidP="00361C67">
            <w:pPr>
              <w:pStyle w:val="NoSpacing"/>
            </w:pPr>
            <w:r>
              <w:t>NA</w:t>
            </w:r>
          </w:p>
        </w:tc>
      </w:tr>
      <w:tr w:rsidR="00361C67" w14:paraId="10262567" w14:textId="7A34C677" w:rsidTr="00737167">
        <w:trPr>
          <w:trHeight w:val="453"/>
        </w:trPr>
        <w:tc>
          <w:tcPr>
            <w:tcW w:w="1132" w:type="dxa"/>
            <w:shd w:val="clear" w:color="auto" w:fill="D9E2F3" w:themeFill="accent1" w:themeFillTint="33"/>
          </w:tcPr>
          <w:p w14:paraId="1CBF5584" w14:textId="47932EF5" w:rsidR="00361C67" w:rsidRDefault="00361C67" w:rsidP="00361C67">
            <w:pPr>
              <w:pStyle w:val="NoSpacing"/>
            </w:pPr>
            <w:r>
              <w:t>Steak</w:t>
            </w:r>
          </w:p>
        </w:tc>
        <w:tc>
          <w:tcPr>
            <w:tcW w:w="1273" w:type="dxa"/>
            <w:shd w:val="clear" w:color="auto" w:fill="D9E2F3" w:themeFill="accent1" w:themeFillTint="33"/>
          </w:tcPr>
          <w:p w14:paraId="73407B12" w14:textId="0DAA37EC" w:rsidR="00361C67" w:rsidRDefault="00573445" w:rsidP="00361C67">
            <w:pPr>
              <w:pStyle w:val="NoSpacing"/>
            </w:pPr>
            <w:r>
              <w:t>13770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BE64BE" w14:textId="7F1E99DA" w:rsidR="00361C67" w:rsidRDefault="00573445" w:rsidP="00361C67">
            <w:pPr>
              <w:pStyle w:val="NoSpacing"/>
            </w:pPr>
            <w:r>
              <w:t>0.13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22B8299" w14:textId="150B26B3" w:rsidR="00361C67" w:rsidRDefault="00737167" w:rsidP="00361C67">
            <w:pPr>
              <w:pStyle w:val="NoSpacing"/>
            </w:pPr>
            <w:r>
              <w:t>0.9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6D33133B" w14:textId="77777777" w:rsidR="00361C67" w:rsidRDefault="00361C67" w:rsidP="00361C67">
            <w:pPr>
              <w:pStyle w:val="NoSpacing"/>
            </w:pPr>
            <w:r>
              <w:t>Non-ref: 41%</w:t>
            </w:r>
          </w:p>
          <w:p w14:paraId="7A3DFC8C" w14:textId="0897CE34" w:rsidR="00361C67" w:rsidRDefault="00361C67" w:rsidP="00361C67">
            <w:pPr>
              <w:pStyle w:val="NoSpacing"/>
            </w:pPr>
            <w:r>
              <w:t>Ref + Non-ref:</w:t>
            </w:r>
            <w:r w:rsidR="00737167">
              <w:t xml:space="preserve"> 77%</w:t>
            </w:r>
          </w:p>
        </w:tc>
        <w:tc>
          <w:tcPr>
            <w:tcW w:w="1071" w:type="dxa"/>
            <w:shd w:val="clear" w:color="auto" w:fill="D9E2F3" w:themeFill="accent1" w:themeFillTint="33"/>
          </w:tcPr>
          <w:p w14:paraId="370E8650" w14:textId="2E50ADD5" w:rsidR="00361C67" w:rsidRDefault="00361C67" w:rsidP="00361C67">
            <w:pPr>
              <w:pStyle w:val="NoSpacing"/>
            </w:pPr>
            <w:r>
              <w:t>04:48:35</w:t>
            </w:r>
          </w:p>
        </w:tc>
        <w:tc>
          <w:tcPr>
            <w:tcW w:w="1293" w:type="dxa"/>
            <w:shd w:val="clear" w:color="auto" w:fill="D9E2F3" w:themeFill="accent1" w:themeFillTint="33"/>
          </w:tcPr>
          <w:p w14:paraId="434383DA" w14:textId="5CE64F32" w:rsidR="00361C67" w:rsidRDefault="00361C67" w:rsidP="00361C67">
            <w:pPr>
              <w:pStyle w:val="NoSpacing"/>
            </w:pPr>
            <w:r>
              <w:t>18</w:t>
            </w:r>
          </w:p>
        </w:tc>
        <w:tc>
          <w:tcPr>
            <w:tcW w:w="1259" w:type="dxa"/>
            <w:shd w:val="clear" w:color="auto" w:fill="D9E2F3" w:themeFill="accent1" w:themeFillTint="33"/>
          </w:tcPr>
          <w:p w14:paraId="55AECCF3" w14:textId="6DDCF6A1" w:rsidR="00361C67" w:rsidRDefault="00361C67" w:rsidP="00361C67">
            <w:pPr>
              <w:pStyle w:val="NoSpacing"/>
            </w:pPr>
            <w:r>
              <w:t>2017</w:t>
            </w:r>
          </w:p>
        </w:tc>
      </w:tr>
      <w:tr w:rsidR="00361C67" w14:paraId="792CF28D" w14:textId="2DF95AB9" w:rsidTr="00737167">
        <w:trPr>
          <w:trHeight w:val="326"/>
        </w:trPr>
        <w:tc>
          <w:tcPr>
            <w:tcW w:w="1132" w:type="dxa"/>
            <w:shd w:val="clear" w:color="auto" w:fill="D9E2F3" w:themeFill="accent1" w:themeFillTint="33"/>
          </w:tcPr>
          <w:p w14:paraId="2275A6C7" w14:textId="54104D27" w:rsidR="00361C67" w:rsidRDefault="00361C67" w:rsidP="00361C67">
            <w:pPr>
              <w:pStyle w:val="NoSpacing"/>
            </w:pPr>
            <w:proofErr w:type="spellStart"/>
            <w:r>
              <w:t>ERVcaller</w:t>
            </w:r>
            <w:proofErr w:type="spellEnd"/>
          </w:p>
        </w:tc>
        <w:tc>
          <w:tcPr>
            <w:tcW w:w="1273" w:type="dxa"/>
            <w:shd w:val="clear" w:color="auto" w:fill="D9E2F3" w:themeFill="accent1" w:themeFillTint="33"/>
          </w:tcPr>
          <w:p w14:paraId="168BE947" w14:textId="15094F3B" w:rsidR="00361C67" w:rsidRDefault="00573445" w:rsidP="00361C67">
            <w:pPr>
              <w:pStyle w:val="NoSpacing"/>
            </w:pPr>
            <w:r>
              <w:t>439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80F920" w14:textId="1CA005A4" w:rsidR="00361C67" w:rsidRDefault="00573445" w:rsidP="00361C67">
            <w:pPr>
              <w:pStyle w:val="NoSpacing"/>
            </w:pPr>
            <w:r>
              <w:t>0.77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EE1FA2C" w14:textId="2C8BA1E8" w:rsidR="00361C67" w:rsidRDefault="00737167" w:rsidP="00361C67">
            <w:pPr>
              <w:pStyle w:val="NoSpacing"/>
            </w:pPr>
            <w:r>
              <w:t>0.9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7E4730A3" w14:textId="6CC4FD7F" w:rsidR="00361C67" w:rsidRDefault="00361C67" w:rsidP="00361C67">
            <w:pPr>
              <w:pStyle w:val="NoSpacing"/>
            </w:pPr>
            <w:r>
              <w:t>16%</w:t>
            </w:r>
          </w:p>
        </w:tc>
        <w:tc>
          <w:tcPr>
            <w:tcW w:w="1071" w:type="dxa"/>
            <w:shd w:val="clear" w:color="auto" w:fill="D9E2F3" w:themeFill="accent1" w:themeFillTint="33"/>
          </w:tcPr>
          <w:p w14:paraId="0C21E86F" w14:textId="009B113C" w:rsidR="00361C67" w:rsidRDefault="00361C67" w:rsidP="00361C67">
            <w:pPr>
              <w:pStyle w:val="NoSpacing"/>
            </w:pPr>
            <w:r>
              <w:t>14:17:22</w:t>
            </w:r>
          </w:p>
        </w:tc>
        <w:tc>
          <w:tcPr>
            <w:tcW w:w="1293" w:type="dxa"/>
            <w:shd w:val="clear" w:color="auto" w:fill="D9E2F3" w:themeFill="accent1" w:themeFillTint="33"/>
          </w:tcPr>
          <w:p w14:paraId="0BDEB0AF" w14:textId="660EFE2C" w:rsidR="00361C67" w:rsidRDefault="00361C67" w:rsidP="00361C67">
            <w:pPr>
              <w:pStyle w:val="NoSpacing"/>
            </w:pPr>
            <w:r>
              <w:t>13</w:t>
            </w:r>
          </w:p>
        </w:tc>
        <w:tc>
          <w:tcPr>
            <w:tcW w:w="1259" w:type="dxa"/>
            <w:shd w:val="clear" w:color="auto" w:fill="D9E2F3" w:themeFill="accent1" w:themeFillTint="33"/>
          </w:tcPr>
          <w:p w14:paraId="521A39E2" w14:textId="5F8919C8" w:rsidR="00361C67" w:rsidRDefault="00361C67" w:rsidP="00361C67">
            <w:pPr>
              <w:pStyle w:val="NoSpacing"/>
            </w:pPr>
            <w:r>
              <w:t>2019</w:t>
            </w:r>
          </w:p>
        </w:tc>
      </w:tr>
    </w:tbl>
    <w:p w14:paraId="6E8E5433" w14:textId="2B30CB57" w:rsidR="00D52A71" w:rsidRDefault="00D52A71" w:rsidP="00361C67">
      <w:pPr>
        <w:pStyle w:val="NoSpacing"/>
      </w:pPr>
    </w:p>
    <w:p w14:paraId="09F598DB" w14:textId="1A344C3C" w:rsidR="00361C67" w:rsidRDefault="00F51360" w:rsidP="00361C67">
      <w:pPr>
        <w:pStyle w:val="NoSpacing"/>
      </w:pPr>
      <w:r>
        <w:t>Supplementary table 3,</w:t>
      </w:r>
      <w:r w:rsidR="00D773B2">
        <w:t xml:space="preserve"> aggregated results across each benchmarking test.</w:t>
      </w:r>
    </w:p>
    <w:p w14:paraId="3F4718FE" w14:textId="77777777" w:rsidR="00D773B2" w:rsidRDefault="00F51360" w:rsidP="00361C67">
      <w:pPr>
        <w:pStyle w:val="NoSpacing"/>
      </w:pPr>
      <w:r>
        <w:t xml:space="preserve">This table draws together </w:t>
      </w:r>
      <w:r w:rsidR="00D773B2">
        <w:t xml:space="preserve">key </w:t>
      </w:r>
      <w:r>
        <w:t xml:space="preserve">results of all benchmarking experiments to give an overview of tool performance. The HERV specific tools are highlighted in blue, generalist tools in orange. </w:t>
      </w:r>
    </w:p>
    <w:p w14:paraId="1F5D1E22" w14:textId="77777777" w:rsidR="00D773B2" w:rsidRDefault="00D773B2" w:rsidP="00361C67">
      <w:pPr>
        <w:pStyle w:val="NoSpacing"/>
      </w:pPr>
      <w:r>
        <w:t xml:space="preserve">Total no. predictions refers to the number of predictions given by each tool when applied to 50 short read whole genome sequences. </w:t>
      </w:r>
    </w:p>
    <w:p w14:paraId="23478AEF" w14:textId="2596A5A3" w:rsidR="00D773B2" w:rsidRDefault="00D773B2" w:rsidP="00361C67">
      <w:pPr>
        <w:pStyle w:val="NoSpacing"/>
      </w:pPr>
      <w:r>
        <w:t xml:space="preserve">Avg. sensitivity and Avg. precision are obtained by applying each tool to 4 simulated short read genome sequences with known HML6 </w:t>
      </w:r>
      <w:proofErr w:type="spellStart"/>
      <w:r>
        <w:t>proviral</w:t>
      </w:r>
      <w:proofErr w:type="spellEnd"/>
      <w:r>
        <w:t xml:space="preserve"> insertions. </w:t>
      </w:r>
    </w:p>
    <w:p w14:paraId="2B3A2B9D" w14:textId="272A2DD8" w:rsidR="00D773B2" w:rsidRDefault="00D773B2" w:rsidP="00361C67">
      <w:pPr>
        <w:pStyle w:val="NoSpacing"/>
      </w:pPr>
      <w:r>
        <w:t xml:space="preserve">The long read column shows the proportion of predictions made by each tool in short read data that were validated in associated long read data using </w:t>
      </w:r>
      <w:proofErr w:type="spellStart"/>
      <w:r>
        <w:t>repeatmasker</w:t>
      </w:r>
      <w:proofErr w:type="spellEnd"/>
      <w:r>
        <w:t xml:space="preserve">. </w:t>
      </w:r>
    </w:p>
    <w:p w14:paraId="182D90B6" w14:textId="4E190CF5" w:rsidR="00377102" w:rsidRDefault="00377102" w:rsidP="00361C67">
      <w:pPr>
        <w:pStyle w:val="NoSpacing"/>
      </w:pPr>
      <w:r>
        <w:t xml:space="preserve">CPU time is the </w:t>
      </w:r>
      <w:r w:rsidR="00E32787">
        <w:t xml:space="preserve">CPU </w:t>
      </w:r>
      <w:r>
        <w:t xml:space="preserve">hours used to run each tool on a single SR-WGS file. </w:t>
      </w:r>
    </w:p>
    <w:p w14:paraId="28FA58E8" w14:textId="62BA61D1" w:rsidR="00F51360" w:rsidRDefault="00F51360" w:rsidP="00361C67">
      <w:pPr>
        <w:pStyle w:val="NoSpacing"/>
      </w:pPr>
      <w:r>
        <w:t xml:space="preserve">The final two columns report the publication date and citation number to indicate popularity. </w:t>
      </w:r>
    </w:p>
    <w:sectPr w:rsidR="00F5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67"/>
    <w:rsid w:val="00361C67"/>
    <w:rsid w:val="00377102"/>
    <w:rsid w:val="00573445"/>
    <w:rsid w:val="00737167"/>
    <w:rsid w:val="00D52A71"/>
    <w:rsid w:val="00D773B2"/>
    <w:rsid w:val="00E32787"/>
    <w:rsid w:val="00F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B39E"/>
  <w15:chartTrackingRefBased/>
  <w15:docId w15:val="{2D635CCB-D75C-4AEF-923D-D47FE228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C67"/>
    <w:pPr>
      <w:spacing w:after="0" w:line="240" w:lineRule="auto"/>
    </w:pPr>
  </w:style>
  <w:style w:type="table" w:styleId="TableGrid">
    <w:name w:val="Table Grid"/>
    <w:basedOn w:val="TableNormal"/>
    <w:uiPriority w:val="39"/>
    <w:rsid w:val="0036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5</cp:revision>
  <dcterms:created xsi:type="dcterms:W3CDTF">2022-10-25T12:43:00Z</dcterms:created>
  <dcterms:modified xsi:type="dcterms:W3CDTF">2022-12-03T16:15:00Z</dcterms:modified>
</cp:coreProperties>
</file>