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 (EDA) Summary Report</w:t>
      </w:r>
    </w:p>
    <w:p>
      <w:pPr>
        <w:pStyle w:val="Heading2"/>
      </w:pPr>
      <w:r>
        <w:t>1. Introduction</w:t>
      </w:r>
    </w:p>
    <w:p>
      <w:r>
        <w:t>This report presents an exploratory data analysis (EDA) of Geldium Finance's customer dataset to assess data quality, identify potential delinquency risk factors, and prepare the data for predictive modeling.</w:t>
      </w:r>
    </w:p>
    <w:p>
      <w:pPr>
        <w:pStyle w:val="Heading2"/>
      </w:pPr>
      <w:r>
        <w:t>2. Dataset Overview</w:t>
      </w:r>
    </w:p>
    <w:p>
      <w:r>
        <w:t>• Number of records: 500</w:t>
        <w:br/>
        <w:t>• Number of variables: 19</w:t>
        <w:br/>
        <w:t>• Numerical variables: 9</w:t>
        <w:br/>
        <w:t>• Categorical variables: 10</w:t>
        <w:br/>
        <w:t>• Duplicate records: 0</w:t>
        <w:br/>
        <w:t>• Key variables: Age, Income, Credit Score, Credit Utilization, Missed Payments, Loan Balance, Debt-to-Income Ratio, Employment Status, Account Tenure, Credit Card Type, Location, Month_1–Month_6, Delinquent_Account.</w:t>
      </w:r>
    </w:p>
    <w:p>
      <w:pPr>
        <w:pStyle w:val="Heading2"/>
      </w:pPr>
      <w:r>
        <w:t>3. Missing Data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</w:tr>
      <w:tr>
        <w:tc>
          <w:tcPr>
            <w:tcW w:type="dxa" w:w="2880"/>
          </w:tcPr>
          <w:p>
            <w:r>
              <w:t>Income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Median Imputation</w:t>
            </w:r>
          </w:p>
        </w:tc>
      </w:tr>
      <w:tr>
        <w:tc>
          <w:tcPr>
            <w:tcW w:type="dxa" w:w="2880"/>
          </w:tcPr>
          <w:p>
            <w:r>
              <w:t>Loan_Balance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Median Imputation</w:t>
            </w:r>
          </w:p>
        </w:tc>
      </w:tr>
      <w:tr>
        <w:tc>
          <w:tcPr>
            <w:tcW w:type="dxa" w:w="2880"/>
          </w:tcPr>
          <w:p>
            <w:r>
              <w:t>Credit_Score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Median Imputation</w:t>
            </w:r>
          </w:p>
        </w:tc>
      </w:tr>
    </w:tbl>
    <w:p>
      <w:r>
        <w:t>Employment_Status values were standardized (EMP, Employed, employed → Employed; retired → Retired). After cleaning, no missing values remained.</w:t>
      </w:r>
    </w:p>
    <w:p>
      <w:pPr>
        <w:pStyle w:val="Heading2"/>
      </w:pPr>
      <w:r>
        <w:t>4. Key Findings and Risk Indicators</w:t>
      </w:r>
    </w:p>
    <w:p>
      <w:r>
        <w:t>• 84% customers were non-delinquent and 16% were delinquent.</w:t>
        <w:br/>
        <w:t>• Credit Utilization and Debt-to-Income Ratio showed slight positive relationships with delinquency.</w:t>
        <w:br/>
        <w:t>• Individual numerical variables showed weak linear correlations with delinquency.</w:t>
        <w:br/>
        <w:t>• One Credit Utilization value exceeded the expected upper limit and should be reviewed.</w:t>
      </w:r>
    </w:p>
    <w:p>
      <w:pPr>
        <w:pStyle w:val="Heading2"/>
      </w:pPr>
      <w:r>
        <w:t>5. AI &amp; GenAI Usage</w:t>
      </w:r>
    </w:p>
    <w:p>
      <w:r>
        <w:t>AI was used to summarize the dataset, suggest missing-value handling strategies, and identify potential risk indicators.</w:t>
        <w:br/>
        <w:t>Example prompts:</w:t>
        <w:br/>
        <w:t>- Summarize key patterns, outliers, and missing values.</w:t>
        <w:br/>
        <w:t>- Suggest an imputation strategy for missing income values.</w:t>
        <w:br/>
        <w:t>- Identify the top variables likely to predict delinquency.</w:t>
      </w:r>
    </w:p>
    <w:p>
      <w:pPr>
        <w:pStyle w:val="Heading2"/>
      </w:pPr>
      <w:r>
        <w:t>6. Conclusion &amp; Next Steps</w:t>
      </w:r>
    </w:p>
    <w:p>
      <w:r>
        <w:t>The dataset was cleaned and prepared for predictive modeling. Future work should include feature engineering, handling class imbalance, training machine learning models, and evaluating model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