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6"/>
        </w:rPr>
        <w:t>Global Plasma Model</w:t>
      </w:r>
    </w:p>
    <w:p>
      <w:pPr>
        <w:jc w:val="center"/>
      </w:pPr>
      <w:r>
        <w:rPr>
          <w:color w:val="505078"/>
          <w:sz w:val="28"/>
        </w:rPr>
        <w:t>0D Global Discharge Model for RF Ion Thrusters</w:t>
      </w:r>
    </w:p>
    <w:p/>
    <w:p>
      <w:pPr>
        <w:jc w:val="center"/>
      </w:pPr>
      <w:r>
        <w:rPr>
          <w:sz w:val="24"/>
        </w:rPr>
        <w:t>Technical Project Documentation</w:t>
      </w:r>
    </w:p>
    <w:p/>
    <w:p>
      <w:pPr>
        <w:jc w:val="center"/>
      </w:pPr>
      <w:r>
        <w:rPr>
          <w:sz w:val="22"/>
        </w:rPr>
        <w:t>Stand: 28. March 2026</w:t>
      </w:r>
    </w:p>
    <w:p/>
    <w:p>
      <w:pPr>
        <w:jc w:val="center"/>
      </w:pPr>
      <w:r>
        <w:rPr>
          <w:i/>
        </w:rPr>
        <w:t>Basierend auf Chabert et al., Phys. Plasmas 19, 073512 (2012)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Das Global Plasma Model ist ein stationaeres 0D-Entladungsmodell fuer induktiv gekoppelte RF-Ionentriebwerke. Es loest ein gekoppeltes System aus vier Bilanzgleichungen (Ionen, Neutrale, Elektronenenergie, Gasenergie) fuer die Zustandsgroessen Ionendichte n, Neutralgasdichte ng, Elektronentemperatur Te und Gastemperatur Tg.</w:t>
      </w:r>
    </w:p>
    <w:p>
      <w:r>
        <w:t>Das Modell unterstuetzt drei Ratenmodell-Modi (Legacy, Conservative tabulated, Full tabulated) und ist architektonisch fuer mehrere Gase vorbereitet. Xenon ist vollstaendig integriert mit tabellierten Wirkungsquerschnitten aus der Biagi/LXCat-Datenbank (MagBoltz V8.97). Krypton und Argon sind strukturell vorbereitet.</w:t>
      </w:r>
    </w:p>
    <w:p>
      <w:r>
        <w:t>Aktueller Stand: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Eigenschaft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Gasspezies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Xenon vollstaendig, Kr/Ar strukturell vorbereitet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Ratenmodelle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Legacy, Conservative tabulated, Full tabulated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Betriebsmodi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Fester Strahlstrom (I-fix) und Selbstkonsistent (SC)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Solver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Levenberg-Marquardt mit Pseudo-Transient Continuation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GUI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PyQt6 mit Echtzeit-Streaming und Live-Plots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Validierung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Chabert 2012, Dietz et al. 2021 (RIT-4)</w:t>
            </w:r>
          </w:p>
        </w:tc>
      </w:tr>
    </w:tbl>
    <w:p>
      <w:r>
        <w:br w:type="page"/>
      </w:r>
    </w:p>
    <w:p>
      <w:pPr>
        <w:pStyle w:val="Heading1"/>
      </w:pPr>
      <w:r>
        <w:t>Modellbeschreibung</w:t>
      </w:r>
    </w:p>
    <w:p>
      <w:pPr>
        <w:pStyle w:val="Heading2"/>
      </w:pPr>
      <w:r>
        <w:t>0D-Globalmodell</w:t>
      </w:r>
    </w:p>
    <w:p>
      <w:r>
        <w:t>Das Modell basiert auf dem 0D-Globalmodellansatz nach Chabert et al. (2012). Es nimmt raeumlich homogene Plasmagroessen an und bilanziert Teilchen und Energie volumetrisch. Die stationaeren Gleichgewichtsbedingungen ergeben ein nichtlineares Gleichungssystem mit vier Unbekannten.</w:t>
      </w:r>
    </w:p>
    <w:p>
      <w:pPr>
        <w:pStyle w:val="Heading2"/>
      </w:pPr>
      <w:r>
        <w:t>Zustandsgroessen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Groesse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Einheit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Typischer Bereich (Xe)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Ionendichte / Elektronendichte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m^-3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10^16 - 10^18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Neutralgasdichte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m^-3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10^18 - 10^20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Elektronentemperatur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eV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2 - 10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Gastemperatur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290 - 350</w:t>
            </w:r>
          </w:p>
        </w:tc>
      </w:tr>
    </w:tbl>
    <w:p>
      <w:pPr>
        <w:pStyle w:val="Heading2"/>
      </w:pPr>
      <w:r>
        <w:t>Grundgleichungen</w:t>
      </w:r>
    </w:p>
    <w:p>
      <w:r>
        <w:t>Das stationaere Gleichungssystem besteht aus vier Residualgleichungen:</w:t>
      </w:r>
    </w:p>
    <w:p>
      <w:r>
        <w:rPr>
          <w:b/>
        </w:rPr>
        <w:t>r1 -- Ionenbilanz:</w:t>
      </w:r>
    </w:p>
    <w:p>
      <w:pPr>
        <w:ind w:left="567"/>
      </w:pPr>
      <w:r>
        <w:rPr>
          <w:rFonts w:ascii="Consolas" w:hAnsi="Consolas"/>
          <w:sz w:val="17"/>
        </w:rPr>
        <w:t>r1 = n_eff * ng * Kiz(Te) - n * uB(Te) * Aeff(lambda_i) / V</w:t>
      </w:r>
    </w:p>
    <w:p>
      <w:r>
        <w:t>Ionenproduktion durch Elektronenstoss-Ionisation gleich Wandverlust durch Bohm-Fluss. Bestimmt primaer Te.</w:t>
      </w:r>
    </w:p>
    <w:p>
      <w:r>
        <w:rPr>
          <w:b/>
        </w:rPr>
        <w:t>r2 -- Neutralgasbilanz:</w:t>
      </w:r>
    </w:p>
    <w:p>
      <w:pPr>
        <w:ind w:left="567"/>
      </w:pPr>
      <w:r>
        <w:rPr>
          <w:rFonts w:ascii="Consolas" w:hAnsi="Consolas"/>
          <w:sz w:val="17"/>
        </w:rPr>
        <w:t>r2 = Q0/V + n*uB*Aeff1/V - n*ng*Kiz - Gamma_g*Ag/V</w:t>
      </w:r>
    </w:p>
    <w:p>
      <w:r>
        <w:t>Zufuhr plus Rekombination minus Ionisation minus Gasaustritt.</w:t>
      </w:r>
    </w:p>
    <w:p>
      <w:r>
        <w:rPr>
          <w:b/>
        </w:rPr>
        <w:t>r3 -- Elektronenenergiebilanz:</w:t>
      </w:r>
    </w:p>
    <w:p>
      <w:pPr>
        <w:ind w:left="567"/>
      </w:pPr>
      <w:r>
        <w:rPr>
          <w:rFonts w:ascii="Consolas" w:hAnsi="Consolas"/>
          <w:sz w:val="17"/>
        </w:rPr>
        <w:t>r3 = P_abs/V - P_iz - P_exc - P_el - P_wall</w:t>
      </w:r>
    </w:p>
    <w:p>
      <w:r>
        <w:t>Absorbierte RF-Leistung abzueglich Ionisations-, Anregungs-, elastischer und Wandverluste. Koppelt P_RFG an den Plasmazustand.</w:t>
      </w:r>
    </w:p>
    <w:p>
      <w:r>
        <w:rPr>
          <w:b/>
        </w:rPr>
        <w:t>r4 -- Gasenergiebilanz:</w:t>
      </w:r>
    </w:p>
    <w:p>
      <w:pPr>
        <w:ind w:left="567"/>
      </w:pPr>
      <w:r>
        <w:rPr>
          <w:rFonts w:ascii="Consolas" w:hAnsi="Consolas"/>
          <w:sz w:val="17"/>
        </w:rPr>
        <w:t>r4 = Pg_elastic + Pg_ionheat - Pg_conduction</w:t>
      </w:r>
    </w:p>
    <w:p>
      <w:r>
        <w:t>Gasheizung durch elastische Stoesse und Ionenimpuls minus Waermeleitung zur Wand.</w:t>
      </w:r>
    </w:p>
    <w:p>
      <w:pPr>
        <w:pStyle w:val="Heading2"/>
      </w:pPr>
      <w:r>
        <w:t>RF-Kopplung</w:t>
      </w:r>
    </w:p>
    <w:p>
      <w:r>
        <w:t>Die RF-Leistungsabsorption wird ueber das induktive Kopplungsmodell berechnet. Die komplexe Plasma-Dielektrizitaetskonstante epsilon_p haengt von der Plasma- und Stossfrequenz ab. Die Kollisionsfrequenz nu_m = Kel(Te) * ng ist der zentrale Kopplungsparameter. Der induktive Widerstand R_ind wird ueber Besselfunktionen (J0, J1) fuer die zylindrische Geometrie berechnet. Die ICP-Effizienz zeta = R_ind / (R_ind + R_coil) bestimmt den Anteil der Generatorleistung, der ins Plasma gelangt.</w:t>
      </w:r>
    </w:p>
    <w:p>
      <w:pPr>
        <w:pStyle w:val="Heading2"/>
      </w:pPr>
      <w:r>
        <w:t>Stationaere Loesungsmethode</w:t>
      </w:r>
    </w:p>
    <w:p>
      <w:r>
        <w:t>Das nichtlineare Gleichungssystem wird mit einem Levenberg-Marquardt (LM) Solver geloest. Fuer schwierige Startwerte wird ein Pseudo-Transient Continuation (PTC) Warmstart vorangestellt. PTC verwendet gedaempfte Pseudo-Zeitschritte mit adaptiver Schrittweite, bis die Merit-Funktion einen Schwellwert unterschreitet. Danach uebernimmt der vollstaendige LM-Algorithmus mit Finite-Differenzen-Jacobian, Gain-Ratio-basierter Daempfung und Marquardt-Skalierung.</w:t>
      </w:r>
    </w:p>
    <w:p>
      <w:pPr>
        <w:pStyle w:val="Heading2"/>
      </w:pPr>
      <w:r>
        <w:t>Fester Strahlstrom vs. Selbstkonsistenter Modus</w:t>
      </w:r>
    </w:p>
    <w:p>
      <w:r>
        <w:t>Modus 1 (Fester Strahlstrom): Der Zielstrom I_soll wird vorgegeben. Die benoetigte RF-Leistung P_RFG wird ueber eine aeussere Bisection/Regula-Falsi-Schleife bestimmt.</w:t>
      </w:r>
    </w:p>
    <w:p>
      <w:r>
        <w:t>Modus 2 (Selbstkonsistent): P_RFG wird fest vorgegeben. Der Solver liefert direkt den resultierenden Strahlstrom.</w:t>
      </w:r>
    </w:p>
    <w:p>
      <w:r>
        <w:br w:type="page"/>
      </w:r>
    </w:p>
    <w:p>
      <w:pPr>
        <w:pStyle w:val="Heading1"/>
      </w:pPr>
      <w:r>
        <w:t>Kollisions- und Ratenmodelle</w:t>
      </w:r>
    </w:p>
    <w:p>
      <w:r>
        <w:t>Drei Ratenmodell-Presets (Parameter rate_model = 0, 1, 2):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Preset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rate_model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Kiz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Kex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Kel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Legacy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Polynomial (Chabert)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Arrhenius (Chabert)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Konstante 1e-13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Conservative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Biagi tabelliert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Biagi tabelliert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Konstante 1e-13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Full tabulated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Biagi tabelliert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Biagi tabelliert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Biagi tabelliert</w:t>
            </w:r>
          </w:p>
        </w:tc>
      </w:tr>
    </w:tbl>
    <w:p>
      <w:pPr>
        <w:pStyle w:val="Heading2"/>
      </w:pPr>
      <w:r>
        <w:t>Ionisation Kiz</w:t>
      </w:r>
    </w:p>
    <w:p>
      <w:r>
        <w:t>Tabelliertes Kiz weicht weniger als 3% vom Legacy-Chabert-Polynomfit ab. Der Legacy-Fit ist fuer Kiz sehr genau.</w:t>
      </w:r>
    </w:p>
    <w:p>
      <w:pPr>
        <w:pStyle w:val="Heading2"/>
      </w:pPr>
      <w:r>
        <w:t>Anregung Kex</w:t>
      </w:r>
    </w:p>
    <w:p>
      <w:r>
        <w:t>Tabelliert: Summe ueber alle 50 Biagi-Anregungsprozesse (1S5 bis EX HIGH). 15-20% hoeher als der Legacy-Arrhenius-Fit. Moderater Te-Anstieg (+0.1-0.2 eV).</w:t>
      </w:r>
    </w:p>
    <w:p>
      <w:pPr>
        <w:pStyle w:val="Heading2"/>
      </w:pPr>
      <w:r>
        <w:t>Elastische Stoesse Kel</w:t>
      </w:r>
    </w:p>
    <w:p>
      <w:r>
        <w:t>Der Kel-Audit (2026-03-28) bestaetigt: Der Biagi Elastic Momentum Transfer Querschnitt ergibt Kel-Werte, die im Betriebsbereich (Te=2-8 eV) um Faktor 2-3 ueber der Legacy-Konstante liegen: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 [eV]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Kel_legacy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Kel_Biagi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Verhaeltnis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1.00e-13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1.64e-13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1.64x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1.00e-13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2.28e-13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2.28x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1.00e-13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2.74e-13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2.74x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1.00e-13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2.77e-13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2.77x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1.00e-13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2.63e-13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2.63x</w:t>
            </w:r>
          </w:p>
        </w:tc>
      </w:tr>
    </w:tbl>
    <w:p>
      <w:r>
        <w:t>Kel beeinflusst direkt nu_m = Kel * ng und damit die RF-Kopplung. Der Faktor 2-3 verschiebt nu_m/omega von 0.13 auf 0.30, was die Plasmaabsorption deutlich veraendert. Im selbstkonsistenten Modus steigt Te um ca. 1.2 eV (von 4.7 auf 5.9 eV bei RIT-4-Parametern).</w:t>
      </w:r>
    </w:p>
    <w:p>
      <w:r>
        <w:t>Sicherheitspruefung: Kel &lt;= 0 wird abgefangen mit Fehlermeldung und Minimalwert-Fallback.</w:t>
      </w:r>
    </w:p>
    <w:p>
      <w:r>
        <w:br w:type="page"/>
      </w:r>
    </w:p>
    <w:p>
      <w:pPr>
        <w:pStyle w:val="Heading1"/>
      </w:pPr>
      <w:r>
        <w:t>Cross-Section-Architektur</w:t>
      </w:r>
    </w:p>
    <w:p>
      <w:pPr>
        <w:pStyle w:val="Heading2"/>
      </w:pPr>
      <w:r>
        <w:t>Verzeichnisstruktur</w:t>
      </w:r>
    </w:p>
    <w:p>
      <w:pPr>
        <w:ind w:left="567"/>
      </w:pPr>
      <w:r>
        <w:rPr>
          <w:rFonts w:ascii="Consolas" w:hAnsi="Consolas"/>
          <w:sz w:val="17"/>
        </w:rPr>
        <w:t>cross_sections/</w:t>
        <w:br/>
        <w:t xml:space="preserve">  xenon/</w:t>
        <w:br/>
        <w:t xml:space="preserve">    elastic.csv           199 Datenpunkte (Momentum Transfer)</w:t>
        <w:br/>
        <w:t xml:space="preserve">    ionization.csv         54 Datenpunkte</w:t>
        <w:br/>
        <w:t xml:space="preserve">    excitation/            50 Einzelprozess-Dateien</w:t>
        <w:br/>
        <w:t xml:space="preserve">    kel_table.csv         391 Te-Punkte (0.5-20 eV)</w:t>
        <w:br/>
        <w:t xml:space="preserve">    kiz_table.csv         391 Te-Punkte</w:t>
        <w:br/>
        <w:t xml:space="preserve">    kex_table.csv         391 Te-Punkte</w:t>
        <w:br/>
        <w:t xml:space="preserve">    metadata.json</w:t>
        <w:br/>
        <w:t xml:space="preserve">  krypton/                Platzhalter</w:t>
        <w:br/>
        <w:t xml:space="preserve">  argon/                  Platzhalter</w:t>
        <w:br/>
        <w:t xml:space="preserve">  tests/</w:t>
        <w:br/>
        <w:t xml:space="preserve">    xenon_all.txt         LXCat-Quelldatei (Biagi V8.97)</w:t>
      </w:r>
    </w:p>
    <w:p>
      <w:pPr>
        <w:pStyle w:val="Heading2"/>
      </w:pPr>
      <w:r>
        <w:t>Datenquelle und Verarbeitung</w:t>
      </w:r>
    </w:p>
    <w:p>
      <w:r>
        <w:t>Biagi database via LXCat (MagBoltz V8.97). Konvertierung: convert_lxcat.py. Vorintegration: precompute_rates.py (Maxwell-Boltzmann-Integration, Trapezregel, 0.05 eV Aufloesung). C++-Interpolation: Lineare Interpolation zwischen Stuetzstellen, Randwerte bei Extrapolation.</w:t>
      </w:r>
    </w:p>
    <w:p>
      <w:pPr>
        <w:pStyle w:val="Heading2"/>
      </w:pPr>
      <w:r>
        <w:t>Pfadaufloesung</w:t>
      </w:r>
    </w:p>
    <w:p>
      <w:r>
        <w:t>Tabellen werden aus cross_sections/&lt;gas_species&gt;/ geladen. Der Parameter gas_species (Standard: xenon) setzt gleichzeitig die physikalischen Konstanten (M, Eiz, Eexc, kappa) ueber die eingebaute GAS_DB-Tabelle.</w:t>
      </w:r>
    </w:p>
    <w:p>
      <w:r>
        <w:br w:type="page"/>
      </w:r>
    </w:p>
    <w:p>
      <w:pPr>
        <w:pStyle w:val="Heading1"/>
      </w:pPr>
      <w:r>
        <w:t>Gasmodell und unterstuetzte Gase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Gas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M [kg]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Eiz [eV]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Eexc [eV]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kappa [W/(m*K)]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Cross-Sections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Xenon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2.180e-25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12.127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0.0057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Vollstaendig (Biagi)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Krypton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1.391e-25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13.999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0.0094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Platzhalter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Argon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6.634e-26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15.760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11.6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0.0177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Platzhalter</w:t>
            </w:r>
          </w:p>
        </w:tc>
      </w:tr>
    </w:tbl>
    <w:p>
      <w:r>
        <w:t>Fuer Kr/Ar muessen LXCat-Daten heruntergeladen und mit der bestehenden Pipeline (convert_lxcat.py, precompute_rates.py) verarbeitet werden. Im Legacy-Modus koennen die Gase naeherungsweise verwendet werden, wobei die Chabert-Fits auf Xenon kalibriert sind.</w:t>
      </w:r>
    </w:p>
    <w:p>
      <w:r>
        <w:br w:type="page"/>
      </w:r>
    </w:p>
    <w:p>
      <w:pPr>
        <w:pStyle w:val="Heading1"/>
      </w:pPr>
      <w:r>
        <w:t>GUI-Dokumentation</w:t>
      </w:r>
    </w:p>
    <w:p>
      <w:r>
        <w:t>PyQt6-Oberflaeche mit Echtzeit-Streaming. Der C++-Solver wird als Subprozess gestartet; RESULT-Zeilen werden direkt in Live-Plots uebernommen.</w:t>
      </w:r>
    </w:p>
    <w:p>
      <w:pPr>
        <w:pStyle w:val="Heading2"/>
      </w:pPr>
      <w:r>
        <w:t>Linke Spalte: 5 Gruppen</w:t>
      </w:r>
    </w:p>
    <w:p>
      <w:r>
        <w:rPr>
          <w:b/>
        </w:rPr>
        <w:t>1. System / Geometrie:</w:t>
      </w:r>
    </w:p>
    <w:p>
      <w:r>
        <w:t>Gas- und Ratenmodell-Auswahl, Kammergeometrie (R, L), Spule (Nw, R_ohm, f, Rc, lc), Gitter (Vgrid, sgrid), Transparenzen.</w:t>
      </w:r>
    </w:p>
    <w:p>
      <w:r>
        <w:rPr>
          <w:b/>
        </w:rPr>
        <w:t>2. Betriebsbedingungen:</w:t>
      </w:r>
    </w:p>
    <w:p>
      <w:r>
        <w:t>Betriebsmodus (Radio-Buttons), P_RFG, P_max, Q0sccm, I_soll (deaktiviert bei SC-Modus), Profil-Faktor.</w:t>
      </w:r>
    </w:p>
    <w:p>
      <w:r>
        <w:rPr>
          <w:b/>
        </w:rPr>
        <w:t>3. Modelloptionen:</w:t>
      </w:r>
    </w:p>
    <w:p>
      <w:r>
        <w:t>Read-only Zusammenfassung (Gas, Ratenmodell), automatisch synchronisiert.</w:t>
      </w:r>
    </w:p>
    <w:p>
      <w:r>
        <w:rPr>
          <w:b/>
        </w:rPr>
        <w:t>4. Sweep / Studie:</w:t>
      </w:r>
    </w:p>
    <w:p>
      <w:r>
        <w:t>Q0 Start, Schritt, Anzahl Schritte, berechnetes Q0-Ende (Read-only).</w:t>
      </w:r>
    </w:p>
    <w:p>
      <w:r>
        <w:rPr>
          <w:b/>
        </w:rPr>
        <w:t>5. Aktionen:</w:t>
      </w:r>
    </w:p>
    <w:p>
      <w:r>
        <w:t>Kompilieren, Simulation starten, Abbrechen, Defaults, Plots leeren, Output, Log-Viewer.</w:t>
      </w:r>
    </w:p>
    <w:p>
      <w:pPr>
        <w:pStyle w:val="Heading2"/>
      </w:pPr>
      <w:r>
        <w:t>Rechte Spalte: Ergebnisse</w:t>
      </w:r>
    </w:p>
    <w:p>
      <w:r>
        <w:t>Fortschrittsanzeige, 3x3 Metrik-Grid (Q0, P, P_set, I, Te, Tg, n, ng, iondeg), 6 Live-Plots (3x2), scrollbares Log-Fenster.</w:t>
      </w:r>
    </w:p>
    <w:p>
      <w:pPr>
        <w:pStyle w:val="Heading2"/>
      </w:pPr>
      <w:r>
        <w:t>Header</w:t>
      </w:r>
    </w:p>
    <w:p>
      <w:r>
        <w:t>Projekttitel mit drei Tag-Badges (Gas, Ratenmodell, Modus), automatisch synchronisiert.</w:t>
      </w:r>
    </w:p>
    <w:p>
      <w:r>
        <w:br w:type="page"/>
      </w:r>
    </w:p>
    <w:p>
      <w:pPr>
        <w:pStyle w:val="Heading1"/>
      </w:pPr>
      <w:r>
        <w:t>Numerische Verfahren und Robustheit</w:t>
      </w:r>
    </w:p>
    <w:p>
      <w:pPr>
        <w:pStyle w:val="Heading2"/>
      </w:pPr>
      <w:r>
        <w:t>LM + PTC Solver</w:t>
      </w:r>
    </w:p>
    <w:p>
      <w:r>
        <w:t>Levenberg-Marquardt mit FD-Jacobian (eps=1e-5), Gain-Ratio-Daempfung, Marquardt-Skalierung. PTC-Warmstart: gedaempfte Pseudo-Zeitschritte (Startgain 0.20, Min 1e-4), Switch bei Merit &lt; 5e-3.</w:t>
      </w:r>
    </w:p>
    <w:p>
      <w:pPr>
        <w:pStyle w:val="Heading2"/>
      </w:pPr>
      <w:r>
        <w:t>Adaptives Power-Bracketing</w:t>
      </w:r>
    </w:p>
    <w:p>
      <w:r>
        <w:t>Fuer den I-fix Modus: aeussere Bracket-Suche fuer P_RFG bei dem I(P) = I_soll. Kernproblem (geloest): Bei tabellierten Ratenmodellen liegt die Solver-Konvergenzgrenze bei ca. 60-70 W (Xenon), da der hoehere Kel zu steiler Ionisierung fuehrt. Der alte Algorithmus (fix p_hi=100 W) scheiterte systematisch.</w:t>
      </w:r>
    </w:p>
    <w:p>
      <w:r>
        <w:rPr>
          <w:b/>
        </w:rPr>
        <w:t>Neuer Algorithmus:</w:t>
      </w:r>
    </w:p>
    <w:p>
      <w:r>
        <w:t>Start p_lo=5W, p_hi=10W. Aufwaerts-Verdopplung bis Bracket oder Konvergenzgrenze. Bei Grenze: 8-stufige binaere Rueckwaertssuche zum hoechsten konvergenten Punkt. Bisection/Regula-Falsi im validen Bracket.</w:t>
      </w:r>
    </w:p>
    <w:p>
      <w:pPr>
        <w:pStyle w:val="Heading2"/>
      </w:pPr>
      <w:r>
        <w:t>Konvergenzstatus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Modus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Legacy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Conservative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Full tabulated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I-fix (30 Pkt.)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30/30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30/30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30/30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SC (30 Pkt.)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30/30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30/30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30/30</w:t>
            </w:r>
          </w:p>
        </w:tc>
      </w:tr>
    </w:tbl>
    <w:p>
      <w:r>
        <w:t>Alle Modi stabil ueber gesamten Q0-Bereich (0.27-0.85 sccm).</w:t>
      </w:r>
    </w:p>
    <w:p>
      <w:r>
        <w:br w:type="page"/>
      </w:r>
    </w:p>
    <w:p>
      <w:pPr>
        <w:pStyle w:val="Heading1"/>
      </w:pPr>
      <w:r>
        <w:t>Validierungsstand</w:t>
      </w:r>
    </w:p>
    <w:p>
      <w:pPr>
        <w:pStyle w:val="Heading2"/>
      </w:pPr>
      <w:r>
        <w:t>Chabert et al. 2012</w:t>
      </w:r>
    </w:p>
    <w:p>
      <w:r>
        <w:t>Legacy-Modus reproduziert die Paper-Ergebnisse fuer die angegebene Geometrie.</w:t>
      </w:r>
    </w:p>
    <w:p>
      <w:pPr>
        <w:pStyle w:val="Heading2"/>
      </w:pPr>
      <w:r>
        <w:t>Dietz et al. 2021 (RIT-4)</w:t>
      </w:r>
    </w:p>
    <w:p>
      <w:r>
        <w:t>Vergleich fuer RIT-4 (R=21.5mm, L=41mm). Das 0D-Modell zeigt die bekannte Tendenz, Te gegenueber 2D/3D zu unterschaetzen. Der density_profile_factor kann die mittlere Dichte korrigieren.</w:t>
      </w:r>
    </w:p>
    <w:p>
      <w:pPr>
        <w:pStyle w:val="Heading2"/>
      </w:pPr>
      <w:r>
        <w:t>Ratenmodell-Vergleich</w:t>
      </w:r>
    </w:p>
    <w:p>
      <w:r>
        <w:t>Q0=0.5 sccm, P_RFG=45 W (RIT-4, SC):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Preset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Te [eV]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n [m^-3]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ng [m^-3]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 [mA]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Legacy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4.74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3.38e+17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1.53e+19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27.8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Conservative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4.78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3.55e+17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1.49e+19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29.3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Full tabulated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5.92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3.62e+17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9.15e+18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33.8</w:t>
            </w:r>
          </w:p>
        </w:tc>
      </w:tr>
    </w:tbl>
    <w:p>
      <w:r>
        <w:t>Haupteffekt: Te steigt um 1.2 eV durch physikalisch korrekteren Kel-Wert.</w:t>
      </w:r>
    </w:p>
    <w:p>
      <w:r>
        <w:br w:type="page"/>
      </w:r>
    </w:p>
    <w:p>
      <w:pPr>
        <w:pStyle w:val="Heading1"/>
      </w:pPr>
      <w:r>
        <w:t>Empfohlene Nutzung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Anwendungsfall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Empfohlener Modus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Begruendung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Paper-Vergleich (Chabert 2012)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Legacy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Gleiche Vereinfachungen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Vergleich mit 0D-Codes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Legacy / Conservative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Vergleichbare Annahmen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Realitaetsnahe Vorhersagen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Full tabulated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Genaueste Raten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Triebwerksauslegung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Full tab + SC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Direkte Vorhersage bei P_RFG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Parameterstudien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Full tab + I-fix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Systematisch bei festem Strom</w:t>
            </w:r>
          </w:p>
        </w:tc>
      </w:tr>
    </w:tbl>
    <w:p>
      <w:r>
        <w:br w:type="page"/>
      </w:r>
    </w:p>
    <w:p>
      <w:pPr>
        <w:pStyle w:val="Heading1"/>
      </w:pPr>
      <w:r>
        <w:t>Grenzen des aktuellen Modells</w:t>
      </w:r>
    </w:p>
    <w:p>
      <w:r>
        <w:rPr>
          <w:b/>
        </w:rPr>
        <w:t>0D-Limitierungen:</w:t>
      </w:r>
    </w:p>
    <w:p>
      <w:r>
        <w:t>Homogenes Dichteprofil, kein Potenzial/Magnetfeld, keine Plasma-Wand-WW, stationaer.</w:t>
      </w:r>
    </w:p>
    <w:p>
      <w:r>
        <w:rPr>
          <w:b/>
        </w:rPr>
        <w:t>Offene Punkte:</w:t>
      </w:r>
    </w:p>
    <w:p>
      <w:r>
        <w:t>Kr/Ar ohne Wirkungsquerschnitte. Keine Doppelionisation (Xe++). Keine separate Metastabilen-Bilanz. Absolutes Te haengt stark von alpha_e_wall und Kel ab.</w:t>
      </w:r>
    </w:p>
    <w:p>
      <w:r>
        <w:rPr>
          <w:b/>
        </w:rPr>
        <w:t>Numerische Grenzen:</w:t>
      </w:r>
    </w:p>
    <w:p>
      <w:r>
        <w:t>Solver-Konvergenzgrenze bei sehr hoher Leistung (&gt;60-70 W bei Full tab, Xe). Vereinzelte near-hit Akzeptanz (&lt; 0.5 mA).</w:t>
      </w:r>
    </w:p>
    <w:p>
      <w:r>
        <w:br w:type="page"/>
      </w:r>
    </w:p>
    <w:p>
      <w:pPr>
        <w:pStyle w:val="Heading1"/>
      </w:pPr>
      <w:r>
        <w:t>Dateistruktur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Datei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Zeilen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Funktion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chabert_modified.cpp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2409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C++ Solver (Hauptprogramm)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bessel_wrapper.cpp/hpp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14/20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Bessel-Funktionen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gui.py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1065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PyQt6-GUI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style.qss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Dark-Theme Stylesheet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log_viewer.py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620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Standalone Log-Viewer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rate_coefficients.py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270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Maxwell-Integration, Legacy-Fits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convert_lxcat.py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249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LXCat-Konverter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precompute_rates.py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Lookup-Tabellen berechnen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test_solver.py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389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Test-Suite (5 Tests)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dietz_validation.py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219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RIT-4 Benchmark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config_dietz_rit4.txt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RIT-4 Konfiguration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param_study.py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Parameterstudie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rate_model_comparison.py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169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Ratenmodell-Vergleich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audit_kel.py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388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Kel-Audit</w:t>
            </w:r>
          </w:p>
        </w:tc>
      </w:tr>
    </w:tbl>
    <w:p>
      <w:r>
        <w:br w:type="page"/>
      </w:r>
    </w:p>
    <w:p>
      <w:pPr>
        <w:pStyle w:val="Heading1"/>
      </w:pPr>
      <w:r>
        <w:t>Ausblick</w:t>
      </w:r>
    </w:p>
    <w:p>
      <w:r>
        <w:t>Das Projekt ist produktiv nutzbar. Alle drei Ratenmodelle sind in beiden Betriebsmodi stabil. Die GUI ermoeglicht interaktive Parameterstudien.</w:t>
      </w:r>
    </w:p>
    <w:p>
      <w:r>
        <w:rPr>
          <w:b/>
        </w:rPr>
        <w:t>Empfohlene naechste Schritte:</w:t>
      </w:r>
    </w:p>
    <w:p>
      <w:r>
        <w:t>1. Krypton/Argon: LXCat-Daten integrieren</w:t>
        <w:br/>
        <w:t>2. Validierung gegen experimentelle Daten</w:t>
        <w:br/>
        <w:t>3. Sensitivitaetsstudie fuer alpha_e_wall und density_profile_factor</w:t>
        <w:br/>
        <w:t>4. Optional: 1D-Korrekturfaktoren fuer inhomogene Profile</w:t>
        <w:br/>
        <w:t>5. Optional: Metastable-Bilanzierung</w:t>
        <w:br/>
        <w:t>6. Export-Funktionen fuer Studienergebnisse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