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Validation Report</w:t>
      </w:r>
    </w:p>
    <w:p>
      <w:pPr>
        <w:jc w:val="center"/>
      </w:pPr>
      <w:r>
        <w:rPr>
          <w:color w:val="2A2A5A"/>
          <w:sz w:val="32"/>
        </w:rPr>
        <w:t>Global Xenon Plasma Model</w:t>
      </w:r>
    </w:p>
    <w:p>
      <w:pPr>
        <w:jc w:val="center"/>
      </w:pPr>
      <w:r>
        <w:rPr>
          <w:color w:val="555588"/>
          <w:sz w:val="26"/>
        </w:rPr>
        <w:t>RIT-4 / KK Geometry Configuration</w:t>
      </w:r>
    </w:p>
    <w:p/>
    <w:p>
      <w:pPr>
        <w:pStyle w:val="Heading1"/>
      </w:pPr>
      <w:r>
        <w:rPr>
          <w:color w:val="1B1B3A"/>
        </w:rPr>
        <w:t>1. Introduction</w:t>
      </w:r>
    </w:p>
    <w:p>
      <w:pPr>
        <w:spacing w:after="120"/>
      </w:pPr>
      <w:r>
        <w:t>This report presents the validation of a zero-dimensional (0D) global plasma model for radio-frequency (RF) ion thrusters. The model is based on the formulation by Chabert et al. (Phys. Plasmas 19, 073512, 2012) and solves four coupled stationary balance equations for the plasma density n, neutral gas density ng, electron temperature Te, and gas temperature Tg.</w:t>
      </w:r>
    </w:p>
    <w:p>
      <w:pPr>
        <w:spacing w:after="120"/>
      </w:pPr>
      <w:r>
        <w:t>The stationary solution is obtained using a Levenberg-Marquardt (LM) solver with pseudo-transient continuation (PTC) warm-start and a multi-start strategy to ensure convergence robustness. The RF power coupling is computed via the full inductive model including complex Bessel functions.</w:t>
      </w:r>
    </w:p>
    <w:p>
      <w:pPr>
        <w:spacing w:after="120"/>
      </w:pPr>
      <w:r>
        <w:t>The primary validation reference is Dietz et al. (EPJ Techniques and Instrumentation 8:10, 2021), which presents three global model variants (0D, 2D, 3D) validated against experimental measurements of a RIT-4 benchmark thruster. The RIT-4 geometry is nearly identical to the KK configuration used in this work, making it an ideal benchmark.</w:t>
      </w:r>
    </w:p>
    <w:p>
      <w:pPr>
        <w:pStyle w:val="Heading1"/>
      </w:pPr>
      <w:r>
        <w:rPr>
          <w:color w:val="1B1B3A"/>
        </w:rPr>
        <w:t>2. Model Description</w:t>
      </w:r>
    </w:p>
    <w:p>
      <w:pPr>
        <w:pStyle w:val="Heading2"/>
      </w:pPr>
      <w:r>
        <w:rPr>
          <w:color w:val="1B1B3A"/>
        </w:rPr>
        <w:t>2.1 Geometry and Operating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Parameter</w:t>
            </w:r>
          </w:p>
        </w:tc>
        <w:tc>
          <w:tcPr>
            <w:tcW w:type="dxa" w:w="2160"/>
          </w:tcPr>
          <w:p>
            <w:pPr>
              <w:jc w:val="center"/>
            </w:pPr>
            <w:r>
              <w:rPr>
                <w:b/>
                <w:sz w:val="20"/>
              </w:rPr>
              <w:t>Symbol</w:t>
            </w:r>
          </w:p>
        </w:tc>
        <w:tc>
          <w:tcPr>
            <w:tcW w:type="dxa" w:w="2160"/>
          </w:tcPr>
          <w:p>
            <w:pPr>
              <w:jc w:val="center"/>
            </w:pPr>
            <w:r>
              <w:rPr>
                <w:b/>
                <w:sz w:val="20"/>
              </w:rPr>
              <w:t>Value</w:t>
            </w:r>
          </w:p>
        </w:tc>
        <w:tc>
          <w:tcPr>
            <w:tcW w:type="dxa" w:w="2160"/>
          </w:tcPr>
          <w:p>
            <w:pPr>
              <w:jc w:val="center"/>
            </w:pPr>
            <w:r>
              <w:rPr>
                <w:b/>
                <w:sz w:val="20"/>
              </w:rPr>
              <w:t>Unit</w:t>
            </w:r>
          </w:p>
        </w:tc>
      </w:tr>
      <w:tr>
        <w:tc>
          <w:tcPr>
            <w:tcW w:type="dxa" w:w="2160"/>
          </w:tcPr>
          <w:p>
            <w:r>
              <w:rPr>
                <w:sz w:val="20"/>
              </w:rPr>
              <w:t>Chamber radius</w:t>
            </w:r>
          </w:p>
        </w:tc>
        <w:tc>
          <w:tcPr>
            <w:tcW w:type="dxa" w:w="2160"/>
          </w:tcPr>
          <w:p>
            <w:r>
              <w:rPr>
                <w:sz w:val="20"/>
              </w:rPr>
              <w:t>R</w:t>
            </w:r>
          </w:p>
        </w:tc>
        <w:tc>
          <w:tcPr>
            <w:tcW w:type="dxa" w:w="2160"/>
          </w:tcPr>
          <w:p>
            <w:r>
              <w:rPr>
                <w:sz w:val="20"/>
              </w:rPr>
              <w:t>21.5</w:t>
            </w:r>
          </w:p>
        </w:tc>
        <w:tc>
          <w:tcPr>
            <w:tcW w:type="dxa" w:w="2160"/>
          </w:tcPr>
          <w:p>
            <w:r>
              <w:rPr>
                <w:sz w:val="20"/>
              </w:rPr>
              <w:t>mm</w:t>
            </w:r>
          </w:p>
        </w:tc>
      </w:tr>
      <w:tr>
        <w:tc>
          <w:tcPr>
            <w:tcW w:type="dxa" w:w="2160"/>
          </w:tcPr>
          <w:p>
            <w:r>
              <w:rPr>
                <w:sz w:val="20"/>
              </w:rPr>
              <w:t>Chamber length</w:t>
            </w:r>
          </w:p>
        </w:tc>
        <w:tc>
          <w:tcPr>
            <w:tcW w:type="dxa" w:w="2160"/>
          </w:tcPr>
          <w:p>
            <w:r>
              <w:rPr>
                <w:sz w:val="20"/>
              </w:rPr>
              <w:t>L</w:t>
            </w:r>
          </w:p>
        </w:tc>
        <w:tc>
          <w:tcPr>
            <w:tcW w:type="dxa" w:w="2160"/>
          </w:tcPr>
          <w:p>
            <w:r>
              <w:rPr>
                <w:sz w:val="20"/>
              </w:rPr>
              <w:t>41.0</w:t>
            </w:r>
          </w:p>
        </w:tc>
        <w:tc>
          <w:tcPr>
            <w:tcW w:type="dxa" w:w="2160"/>
          </w:tcPr>
          <w:p>
            <w:r>
              <w:rPr>
                <w:sz w:val="20"/>
              </w:rPr>
              <w:t>mm</w:t>
            </w:r>
          </w:p>
        </w:tc>
      </w:tr>
      <w:tr>
        <w:tc>
          <w:tcPr>
            <w:tcW w:type="dxa" w:w="2160"/>
          </w:tcPr>
          <w:p>
            <w:r>
              <w:rPr>
                <w:sz w:val="20"/>
              </w:rPr>
              <w:t>RF frequency</w:t>
            </w:r>
          </w:p>
        </w:tc>
        <w:tc>
          <w:tcPr>
            <w:tcW w:type="dxa" w:w="2160"/>
          </w:tcPr>
          <w:p>
            <w:r>
              <w:rPr>
                <w:sz w:val="20"/>
              </w:rPr>
              <w:t>f</w:t>
            </w:r>
          </w:p>
        </w:tc>
        <w:tc>
          <w:tcPr>
            <w:tcW w:type="dxa" w:w="2160"/>
          </w:tcPr>
          <w:p>
            <w:r>
              <w:rPr>
                <w:sz w:val="20"/>
              </w:rPr>
              <w:t>2.53</w:t>
            </w:r>
          </w:p>
        </w:tc>
        <w:tc>
          <w:tcPr>
            <w:tcW w:type="dxa" w:w="2160"/>
          </w:tcPr>
          <w:p>
            <w:r>
              <w:rPr>
                <w:sz w:val="20"/>
              </w:rPr>
              <w:t>MHz</w:t>
            </w:r>
          </w:p>
        </w:tc>
      </w:tr>
      <w:tr>
        <w:tc>
          <w:tcPr>
            <w:tcW w:type="dxa" w:w="2160"/>
          </w:tcPr>
          <w:p>
            <w:r>
              <w:rPr>
                <w:sz w:val="20"/>
              </w:rPr>
              <w:t>Coil windings</w:t>
            </w:r>
          </w:p>
        </w:tc>
        <w:tc>
          <w:tcPr>
            <w:tcW w:type="dxa" w:w="2160"/>
          </w:tcPr>
          <w:p>
            <w:r>
              <w:rPr>
                <w:sz w:val="20"/>
              </w:rPr>
              <w:t>N</w:t>
            </w:r>
          </w:p>
        </w:tc>
        <w:tc>
          <w:tcPr>
            <w:tcW w:type="dxa" w:w="2160"/>
          </w:tcPr>
          <w:p>
            <w:r>
              <w:rPr>
                <w:sz w:val="20"/>
              </w:rPr>
              <w:t>6</w:t>
            </w:r>
          </w:p>
        </w:tc>
        <w:tc>
          <w:tcPr>
            <w:tcW w:type="dxa" w:w="2160"/>
          </w:tcPr>
          <w:p>
            <w:r>
              <w:rPr>
                <w:sz w:val="20"/>
              </w:rPr>
              <w:t>-</w:t>
            </w:r>
          </w:p>
        </w:tc>
      </w:tr>
      <w:tr>
        <w:tc>
          <w:tcPr>
            <w:tcW w:type="dxa" w:w="2160"/>
          </w:tcPr>
          <w:p>
            <w:r>
              <w:rPr>
                <w:sz w:val="20"/>
              </w:rPr>
              <w:t>Coil resistance</w:t>
            </w:r>
          </w:p>
        </w:tc>
        <w:tc>
          <w:tcPr>
            <w:tcW w:type="dxa" w:w="2160"/>
          </w:tcPr>
          <w:p>
            <w:r>
              <w:rPr>
                <w:sz w:val="20"/>
              </w:rPr>
              <w:t>R_coil</w:t>
            </w:r>
          </w:p>
        </w:tc>
        <w:tc>
          <w:tcPr>
            <w:tcW w:type="dxa" w:w="2160"/>
          </w:tcPr>
          <w:p>
            <w:r>
              <w:rPr>
                <w:sz w:val="20"/>
              </w:rPr>
              <w:t>0.48</w:t>
            </w:r>
          </w:p>
        </w:tc>
        <w:tc>
          <w:tcPr>
            <w:tcW w:type="dxa" w:w="2160"/>
          </w:tcPr>
          <w:p>
            <w:r>
              <w:rPr>
                <w:sz w:val="20"/>
              </w:rPr>
              <w:t>Ohm</w:t>
            </w:r>
          </w:p>
        </w:tc>
      </w:tr>
      <w:tr>
        <w:tc>
          <w:tcPr>
            <w:tcW w:type="dxa" w:w="2160"/>
          </w:tcPr>
          <w:p>
            <w:r>
              <w:rPr>
                <w:sz w:val="20"/>
              </w:rPr>
              <w:t>Grid voltage</w:t>
            </w:r>
          </w:p>
        </w:tc>
        <w:tc>
          <w:tcPr>
            <w:tcW w:type="dxa" w:w="2160"/>
          </w:tcPr>
          <w:p>
            <w:r>
              <w:rPr>
                <w:sz w:val="20"/>
              </w:rPr>
              <w:t>V_grid</w:t>
            </w:r>
          </w:p>
        </w:tc>
        <w:tc>
          <w:tcPr>
            <w:tcW w:type="dxa" w:w="2160"/>
          </w:tcPr>
          <w:p>
            <w:r>
              <w:rPr>
                <w:sz w:val="20"/>
              </w:rPr>
              <w:t>1200</w:t>
            </w:r>
          </w:p>
        </w:tc>
        <w:tc>
          <w:tcPr>
            <w:tcW w:type="dxa" w:w="2160"/>
          </w:tcPr>
          <w:p>
            <w:r>
              <w:rPr>
                <w:sz w:val="20"/>
              </w:rPr>
              <w:t>V</w:t>
            </w:r>
          </w:p>
        </w:tc>
      </w:tr>
      <w:tr>
        <w:tc>
          <w:tcPr>
            <w:tcW w:type="dxa" w:w="2160"/>
          </w:tcPr>
          <w:p>
            <w:r>
              <w:rPr>
                <w:sz w:val="20"/>
              </w:rPr>
              <w:t>Grid spacing</w:t>
            </w:r>
          </w:p>
        </w:tc>
        <w:tc>
          <w:tcPr>
            <w:tcW w:type="dxa" w:w="2160"/>
          </w:tcPr>
          <w:p>
            <w:r>
              <w:rPr>
                <w:sz w:val="20"/>
              </w:rPr>
              <w:t>s</w:t>
            </w:r>
          </w:p>
        </w:tc>
        <w:tc>
          <w:tcPr>
            <w:tcW w:type="dxa" w:w="2160"/>
          </w:tcPr>
          <w:p>
            <w:r>
              <w:rPr>
                <w:sz w:val="20"/>
              </w:rPr>
              <w:t>0.75</w:t>
            </w:r>
          </w:p>
        </w:tc>
        <w:tc>
          <w:tcPr>
            <w:tcW w:type="dxa" w:w="2160"/>
          </w:tcPr>
          <w:p>
            <w:r>
              <w:rPr>
                <w:sz w:val="20"/>
              </w:rPr>
              <w:t>mm</w:t>
            </w:r>
          </w:p>
        </w:tc>
      </w:tr>
      <w:tr>
        <w:tc>
          <w:tcPr>
            <w:tcW w:type="dxa" w:w="2160"/>
          </w:tcPr>
          <w:p>
            <w:r>
              <w:rPr>
                <w:sz w:val="20"/>
              </w:rPr>
              <w:t>Gas transparency</w:t>
            </w:r>
          </w:p>
        </w:tc>
        <w:tc>
          <w:tcPr>
            <w:tcW w:type="dxa" w:w="2160"/>
          </w:tcPr>
          <w:p>
            <w:r>
              <w:rPr>
                <w:sz w:val="20"/>
              </w:rPr>
              <w:t>beta_g</w:t>
            </w:r>
          </w:p>
        </w:tc>
        <w:tc>
          <w:tcPr>
            <w:tcW w:type="dxa" w:w="2160"/>
          </w:tcPr>
          <w:p>
            <w:r>
              <w:rPr>
                <w:sz w:val="20"/>
              </w:rPr>
              <w:t>0.0529</w:t>
            </w:r>
          </w:p>
        </w:tc>
        <w:tc>
          <w:tcPr>
            <w:tcW w:type="dxa" w:w="2160"/>
          </w:tcPr>
          <w:p>
            <w:r>
              <w:rPr>
                <w:sz w:val="20"/>
              </w:rPr>
              <w:t>-</w:t>
            </w:r>
          </w:p>
        </w:tc>
      </w:tr>
      <w:tr>
        <w:tc>
          <w:tcPr>
            <w:tcW w:type="dxa" w:w="2160"/>
          </w:tcPr>
          <w:p>
            <w:r>
              <w:rPr>
                <w:sz w:val="20"/>
              </w:rPr>
              <w:t>Ion transparency</w:t>
            </w:r>
          </w:p>
        </w:tc>
        <w:tc>
          <w:tcPr>
            <w:tcW w:type="dxa" w:w="2160"/>
          </w:tcPr>
          <w:p>
            <w:r>
              <w:rPr>
                <w:sz w:val="20"/>
              </w:rPr>
              <w:t>beta_i</w:t>
            </w:r>
          </w:p>
        </w:tc>
        <w:tc>
          <w:tcPr>
            <w:tcW w:type="dxa" w:w="2160"/>
          </w:tcPr>
          <w:p>
            <w:r>
              <w:rPr>
                <w:sz w:val="20"/>
              </w:rPr>
              <w:t>0.4</w:t>
            </w:r>
          </w:p>
        </w:tc>
        <w:tc>
          <w:tcPr>
            <w:tcW w:type="dxa" w:w="2160"/>
          </w:tcPr>
          <w:p>
            <w:r>
              <w:rPr>
                <w:sz w:val="20"/>
              </w:rPr>
              <w:t>-</w:t>
            </w:r>
          </w:p>
        </w:tc>
      </w:tr>
    </w:tbl>
    <w:p/>
    <w:p>
      <w:pPr>
        <w:pStyle w:val="Heading2"/>
      </w:pPr>
      <w:r>
        <w:rPr>
          <w:color w:val="1B1B3A"/>
        </w:rPr>
        <w:t>2.2 Physics Model</w:t>
      </w:r>
    </w:p>
    <w:p>
      <w:pPr>
        <w:spacing w:after="120"/>
      </w:pPr>
      <w:r>
        <w:t>The model solves four balance equations simultaneously: the ion continuity equation (r1), the neutral gas balance (r2), the electron energy balance (r3), and the gas energy balance (r4). The ionization rate coefficient Kiz is computed from the polynomial fit given in the Chabert paper. The excitation rate Kex follows an Arrhenius-type formula with threshold energy 11.6 eV. The elastic collision coefficient Kel can be set to the paper constant (10^-13 m^3/s) or to a temperature-dependent polynomial fit.</w:t>
      </w:r>
    </w:p>
    <w:p>
      <w:pPr>
        <w:spacing w:after="120"/>
      </w:pPr>
      <w:r>
        <w:t>The RF power absorption is computed from the full cylindrical waveguide model using the plasma complex permittivity and Bessel functions J0 and J1 of complex argument. The inductive resistance R_ind and the absorbed power P_abs are derived from the coil current, which is self-consistently determined from the total RF generator power.</w:t>
      </w:r>
    </w:p>
    <w:p>
      <w:pPr>
        <w:pStyle w:val="Heading1"/>
      </w:pPr>
      <w:r>
        <w:rPr>
          <w:color w:val="1B1B3A"/>
        </w:rPr>
        <w:t>3. Validation Setup</w:t>
      </w:r>
    </w:p>
    <w:p>
      <w:pPr>
        <w:spacing w:after="120"/>
      </w:pPr>
      <w:r>
        <w:t>The validation is performed against the RIT-4 benchmark thruster described in Dietz et al. (2021), Table 2. The thruster dimensions are nearly identical to the KK configuration (R = 20 mm, L = 40 mm) used throughout the development of this model.</w:t>
      </w:r>
    </w:p>
    <w:p>
      <w:pPr>
        <w:pStyle w:val="Heading2"/>
      </w:pPr>
      <w:r>
        <w:rPr>
          <w:color w:val="1B1B3A"/>
        </w:rPr>
        <w:t>3.1 Reference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Parameter</w:t>
            </w:r>
          </w:p>
        </w:tc>
        <w:tc>
          <w:tcPr>
            <w:tcW w:type="dxa" w:w="2160"/>
          </w:tcPr>
          <w:p>
            <w:pPr>
              <w:jc w:val="center"/>
            </w:pPr>
            <w:r>
              <w:rPr>
                <w:b/>
                <w:sz w:val="20"/>
              </w:rPr>
              <w:t>This Model</w:t>
            </w:r>
          </w:p>
        </w:tc>
        <w:tc>
          <w:tcPr>
            <w:tcW w:type="dxa" w:w="2160"/>
          </w:tcPr>
          <w:p>
            <w:pPr>
              <w:jc w:val="center"/>
            </w:pPr>
            <w:r>
              <w:rPr>
                <w:b/>
                <w:sz w:val="20"/>
              </w:rPr>
              <w:t>Dietz RIT-4</w:t>
            </w:r>
          </w:p>
        </w:tc>
        <w:tc>
          <w:tcPr>
            <w:tcW w:type="dxa" w:w="2160"/>
          </w:tcPr>
          <w:p>
            <w:pPr>
              <w:jc w:val="center"/>
            </w:pPr>
            <w:r>
              <w:rPr>
                <w:b/>
                <w:sz w:val="20"/>
              </w:rPr>
              <w:t>Difference</w:t>
            </w:r>
          </w:p>
        </w:tc>
      </w:tr>
      <w:tr>
        <w:tc>
          <w:tcPr>
            <w:tcW w:type="dxa" w:w="2160"/>
          </w:tcPr>
          <w:p>
            <w:r>
              <w:rPr>
                <w:sz w:val="20"/>
              </w:rPr>
              <w:t>R [mm]</w:t>
            </w:r>
          </w:p>
        </w:tc>
        <w:tc>
          <w:tcPr>
            <w:tcW w:type="dxa" w:w="2160"/>
          </w:tcPr>
          <w:p>
            <w:r>
              <w:rPr>
                <w:sz w:val="20"/>
              </w:rPr>
              <w:t>21.5</w:t>
            </w:r>
          </w:p>
        </w:tc>
        <w:tc>
          <w:tcPr>
            <w:tcW w:type="dxa" w:w="2160"/>
          </w:tcPr>
          <w:p>
            <w:r>
              <w:rPr>
                <w:sz w:val="20"/>
              </w:rPr>
              <w:t>21.5</w:t>
            </w:r>
          </w:p>
        </w:tc>
        <w:tc>
          <w:tcPr>
            <w:tcW w:type="dxa" w:w="2160"/>
          </w:tcPr>
          <w:p>
            <w:r>
              <w:rPr>
                <w:sz w:val="20"/>
              </w:rPr>
              <w:t>identical</w:t>
            </w:r>
          </w:p>
        </w:tc>
      </w:tr>
      <w:tr>
        <w:tc>
          <w:tcPr>
            <w:tcW w:type="dxa" w:w="2160"/>
          </w:tcPr>
          <w:p>
            <w:r>
              <w:rPr>
                <w:sz w:val="20"/>
              </w:rPr>
              <w:t>L [mm]</w:t>
            </w:r>
          </w:p>
        </w:tc>
        <w:tc>
          <w:tcPr>
            <w:tcW w:type="dxa" w:w="2160"/>
          </w:tcPr>
          <w:p>
            <w:r>
              <w:rPr>
                <w:sz w:val="20"/>
              </w:rPr>
              <w:t>41.0</w:t>
            </w:r>
          </w:p>
        </w:tc>
        <w:tc>
          <w:tcPr>
            <w:tcW w:type="dxa" w:w="2160"/>
          </w:tcPr>
          <w:p>
            <w:r>
              <w:rPr>
                <w:sz w:val="20"/>
              </w:rPr>
              <w:t>41.0</w:t>
            </w:r>
          </w:p>
        </w:tc>
        <w:tc>
          <w:tcPr>
            <w:tcW w:type="dxa" w:w="2160"/>
          </w:tcPr>
          <w:p>
            <w:r>
              <w:rPr>
                <w:sz w:val="20"/>
              </w:rPr>
              <w:t>identical</w:t>
            </w:r>
          </w:p>
        </w:tc>
      </w:tr>
      <w:tr>
        <w:tc>
          <w:tcPr>
            <w:tcW w:type="dxa" w:w="2160"/>
          </w:tcPr>
          <w:p>
            <w:r>
              <w:rPr>
                <w:sz w:val="20"/>
              </w:rPr>
              <w:t>f [MHz]</w:t>
            </w:r>
          </w:p>
        </w:tc>
        <w:tc>
          <w:tcPr>
            <w:tcW w:type="dxa" w:w="2160"/>
          </w:tcPr>
          <w:p>
            <w:r>
              <w:rPr>
                <w:sz w:val="20"/>
              </w:rPr>
              <w:t>2.53</w:t>
            </w:r>
          </w:p>
        </w:tc>
        <w:tc>
          <w:tcPr>
            <w:tcW w:type="dxa" w:w="2160"/>
          </w:tcPr>
          <w:p>
            <w:r>
              <w:rPr>
                <w:sz w:val="20"/>
              </w:rPr>
              <w:t>2.53</w:t>
            </w:r>
          </w:p>
        </w:tc>
        <w:tc>
          <w:tcPr>
            <w:tcW w:type="dxa" w:w="2160"/>
          </w:tcPr>
          <w:p>
            <w:r>
              <w:rPr>
                <w:sz w:val="20"/>
              </w:rPr>
              <w:t>identical</w:t>
            </w:r>
          </w:p>
        </w:tc>
      </w:tr>
      <w:tr>
        <w:tc>
          <w:tcPr>
            <w:tcW w:type="dxa" w:w="2160"/>
          </w:tcPr>
          <w:p>
            <w:r>
              <w:rPr>
                <w:sz w:val="20"/>
              </w:rPr>
              <w:t>N_coil</w:t>
            </w:r>
          </w:p>
        </w:tc>
        <w:tc>
          <w:tcPr>
            <w:tcW w:type="dxa" w:w="2160"/>
          </w:tcPr>
          <w:p>
            <w:r>
              <w:rPr>
                <w:sz w:val="20"/>
              </w:rPr>
              <w:t>6</w:t>
            </w:r>
          </w:p>
        </w:tc>
        <w:tc>
          <w:tcPr>
            <w:tcW w:type="dxa" w:w="2160"/>
          </w:tcPr>
          <w:p>
            <w:r>
              <w:rPr>
                <w:sz w:val="20"/>
              </w:rPr>
              <w:t>6</w:t>
            </w:r>
          </w:p>
        </w:tc>
        <w:tc>
          <w:tcPr>
            <w:tcW w:type="dxa" w:w="2160"/>
          </w:tcPr>
          <w:p>
            <w:r>
              <w:rPr>
                <w:sz w:val="20"/>
              </w:rPr>
              <w:t>identical</w:t>
            </w:r>
          </w:p>
        </w:tc>
      </w:tr>
      <w:tr>
        <w:tc>
          <w:tcPr>
            <w:tcW w:type="dxa" w:w="2160"/>
          </w:tcPr>
          <w:p>
            <w:r>
              <w:rPr>
                <w:sz w:val="20"/>
              </w:rPr>
              <w:t>R_coil [Ohm]</w:t>
            </w:r>
          </w:p>
        </w:tc>
        <w:tc>
          <w:tcPr>
            <w:tcW w:type="dxa" w:w="2160"/>
          </w:tcPr>
          <w:p>
            <w:r>
              <w:rPr>
                <w:sz w:val="20"/>
              </w:rPr>
              <w:t>0.48</w:t>
            </w:r>
          </w:p>
        </w:tc>
        <w:tc>
          <w:tcPr>
            <w:tcW w:type="dxa" w:w="2160"/>
          </w:tcPr>
          <w:p>
            <w:r>
              <w:rPr>
                <w:sz w:val="20"/>
              </w:rPr>
              <w:t>0.48</w:t>
            </w:r>
          </w:p>
        </w:tc>
        <w:tc>
          <w:tcPr>
            <w:tcW w:type="dxa" w:w="2160"/>
          </w:tcPr>
          <w:p>
            <w:r>
              <w:rPr>
                <w:sz w:val="20"/>
              </w:rPr>
              <w:t>identical</w:t>
            </w:r>
          </w:p>
        </w:tc>
      </w:tr>
      <w:tr>
        <w:tc>
          <w:tcPr>
            <w:tcW w:type="dxa" w:w="2160"/>
          </w:tcPr>
          <w:p>
            <w:r>
              <w:rPr>
                <w:sz w:val="20"/>
              </w:rPr>
              <w:t>beta_g</w:t>
            </w:r>
          </w:p>
        </w:tc>
        <w:tc>
          <w:tcPr>
            <w:tcW w:type="dxa" w:w="2160"/>
          </w:tcPr>
          <w:p>
            <w:r>
              <w:rPr>
                <w:sz w:val="20"/>
              </w:rPr>
              <w:t>0.0529</w:t>
            </w:r>
          </w:p>
        </w:tc>
        <w:tc>
          <w:tcPr>
            <w:tcW w:type="dxa" w:w="2160"/>
          </w:tcPr>
          <w:p>
            <w:r>
              <w:rPr>
                <w:sz w:val="20"/>
              </w:rPr>
              <w:t>0.0529</w:t>
            </w:r>
          </w:p>
        </w:tc>
        <w:tc>
          <w:tcPr>
            <w:tcW w:type="dxa" w:w="2160"/>
          </w:tcPr>
          <w:p>
            <w:r>
              <w:rPr>
                <w:sz w:val="20"/>
              </w:rPr>
              <w:t>identical</w:t>
            </w:r>
          </w:p>
        </w:tc>
      </w:tr>
      <w:tr>
        <w:tc>
          <w:tcPr>
            <w:tcW w:type="dxa" w:w="2160"/>
          </w:tcPr>
          <w:p>
            <w:r>
              <w:rPr>
                <w:sz w:val="20"/>
              </w:rPr>
              <w:t>T_gas [K]</w:t>
            </w:r>
          </w:p>
        </w:tc>
        <w:tc>
          <w:tcPr>
            <w:tcW w:type="dxa" w:w="2160"/>
          </w:tcPr>
          <w:p>
            <w:r>
              <w:rPr>
                <w:sz w:val="20"/>
              </w:rPr>
              <w:t>ODE (297-309)</w:t>
            </w:r>
          </w:p>
        </w:tc>
        <w:tc>
          <w:tcPr>
            <w:tcW w:type="dxa" w:w="2160"/>
          </w:tcPr>
          <w:p>
            <w:r>
              <w:rPr>
                <w:sz w:val="20"/>
              </w:rPr>
              <w:t>fixed 423</w:t>
            </w:r>
          </w:p>
        </w:tc>
        <w:tc>
          <w:tcPr>
            <w:tcW w:type="dxa" w:w="2160"/>
          </w:tcPr>
          <w:p>
            <w:r>
              <w:rPr>
                <w:sz w:val="20"/>
              </w:rPr>
              <w:t>different approach</w:t>
            </w:r>
          </w:p>
        </w:tc>
      </w:tr>
      <w:tr>
        <w:tc>
          <w:tcPr>
            <w:tcW w:type="dxa" w:w="2160"/>
          </w:tcPr>
          <w:p>
            <w:r>
              <w:rPr>
                <w:sz w:val="20"/>
              </w:rPr>
              <w:t>Cross sections</w:t>
            </w:r>
          </w:p>
        </w:tc>
        <w:tc>
          <w:tcPr>
            <w:tcW w:type="dxa" w:w="2160"/>
          </w:tcPr>
          <w:p>
            <w:r>
              <w:rPr>
                <w:sz w:val="20"/>
              </w:rPr>
              <w:t>Chabert fit</w:t>
            </w:r>
          </w:p>
        </w:tc>
        <w:tc>
          <w:tcPr>
            <w:tcW w:type="dxa" w:w="2160"/>
          </w:tcPr>
          <w:p>
            <w:r>
              <w:rPr>
                <w:sz w:val="20"/>
              </w:rPr>
              <w:t>Biagi database</w:t>
            </w:r>
          </w:p>
        </w:tc>
        <w:tc>
          <w:tcPr>
            <w:tcW w:type="dxa" w:w="2160"/>
          </w:tcPr>
          <w:p>
            <w:r>
              <w:rPr>
                <w:sz w:val="20"/>
              </w:rPr>
              <w:t>different source</w:t>
            </w:r>
          </w:p>
        </w:tc>
      </w:tr>
    </w:tbl>
    <w:p/>
    <w:p>
      <w:pPr>
        <w:pStyle w:val="Heading2"/>
      </w:pPr>
      <w:r>
        <w:rPr>
          <w:color w:val="1B1B3A"/>
        </w:rPr>
        <w:t>3.2 Operating Conditions</w:t>
      </w:r>
    </w:p>
    <w:p>
      <w:pPr>
        <w:spacing w:after="120"/>
      </w:pPr>
      <w:r>
        <w:t>The model is operated in self-consistent mode (solve_mode = 2) with fixed RF generator power P_RFG = 45 W. The mass flow rate Q0 is swept from 0.40 to 0.80 sccm (approximately 52 to 104 micrograms per second of xenon). The beam current I_beam is not prescribed but results from the self-consistent solution. The Dietz reference uses a fixed beam current of I_b = 30 mA and adjusts the RF power accordingly.</w:t>
      </w:r>
    </w:p>
    <w:p>
      <w:pPr>
        <w:pStyle w:val="Heading1"/>
      </w:pPr>
      <w:r>
        <w:rPr>
          <w:color w:val="1B1B3A"/>
        </w:rPr>
        <w:t>4. Results</w:t>
      </w:r>
    </w:p>
    <w:p>
      <w:pPr>
        <w:pStyle w:val="Heading2"/>
      </w:pPr>
      <w:r>
        <w:rPr>
          <w:color w:val="1B1B3A"/>
        </w:rPr>
        <w:t>4.1 Model Output</w:t>
      </w:r>
    </w:p>
    <w:p>
      <w:pPr>
        <w:spacing w:after="120"/>
      </w:pPr>
      <w:r>
        <w:t>The following table summarizes the converged stationary states for each mass flow rate. All nine operating points converged successfully (100% convergence rate).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Q0 [sccm]</w:t>
            </w:r>
          </w:p>
        </w:tc>
        <w:tc>
          <w:tcPr>
            <w:tcW w:type="dxa" w:w="1440"/>
          </w:tcPr>
          <w:p>
            <w:pPr>
              <w:jc w:val="center"/>
            </w:pPr>
            <w:r>
              <w:rPr>
                <w:b/>
                <w:sz w:val="20"/>
              </w:rPr>
              <w:t>I_beam [mA]</w:t>
            </w:r>
          </w:p>
        </w:tc>
        <w:tc>
          <w:tcPr>
            <w:tcW w:type="dxa" w:w="1440"/>
          </w:tcPr>
          <w:p>
            <w:pPr>
              <w:jc w:val="center"/>
            </w:pPr>
            <w:r>
              <w:rPr>
                <w:b/>
                <w:sz w:val="20"/>
              </w:rPr>
              <w:t>Te [eV]</w:t>
            </w:r>
          </w:p>
        </w:tc>
        <w:tc>
          <w:tcPr>
            <w:tcW w:type="dxa" w:w="1440"/>
          </w:tcPr>
          <w:p>
            <w:pPr>
              <w:jc w:val="center"/>
            </w:pPr>
            <w:r>
              <w:rPr>
                <w:b/>
                <w:sz w:val="20"/>
              </w:rPr>
              <w:t>Tg [K]</w:t>
            </w:r>
          </w:p>
        </w:tc>
        <w:tc>
          <w:tcPr>
            <w:tcW w:type="dxa" w:w="1440"/>
          </w:tcPr>
          <w:p>
            <w:pPr>
              <w:jc w:val="center"/>
            </w:pPr>
            <w:r>
              <w:rPr>
                <w:b/>
                <w:sz w:val="20"/>
              </w:rPr>
              <w:t>n [m^-3]</w:t>
            </w:r>
          </w:p>
        </w:tc>
        <w:tc>
          <w:tcPr>
            <w:tcW w:type="dxa" w:w="1440"/>
          </w:tcPr>
          <w:p>
            <w:pPr>
              <w:jc w:val="center"/>
            </w:pPr>
            <w:r>
              <w:rPr>
                <w:b/>
                <w:sz w:val="20"/>
              </w:rPr>
              <w:t>ng [m^-3]</w:t>
            </w:r>
          </w:p>
        </w:tc>
      </w:tr>
      <w:tr>
        <w:tc>
          <w:tcPr>
            <w:tcW w:type="dxa" w:w="1440"/>
          </w:tcPr>
          <w:p>
            <w:r>
              <w:rPr>
                <w:sz w:val="20"/>
              </w:rPr>
              <w:t>0.4</w:t>
            </w:r>
          </w:p>
        </w:tc>
        <w:tc>
          <w:tcPr>
            <w:tcW w:type="dxa" w:w="1440"/>
          </w:tcPr>
          <w:p>
            <w:r>
              <w:rPr>
                <w:sz w:val="20"/>
              </w:rPr>
              <w:t>23.1</w:t>
            </w:r>
          </w:p>
        </w:tc>
        <w:tc>
          <w:tcPr>
            <w:tcW w:type="dxa" w:w="1440"/>
          </w:tcPr>
          <w:p>
            <w:r>
              <w:rPr>
                <w:sz w:val="20"/>
              </w:rPr>
              <w:t>5.24</w:t>
            </w:r>
          </w:p>
        </w:tc>
        <w:tc>
          <w:tcPr>
            <w:tcW w:type="dxa" w:w="1440"/>
          </w:tcPr>
          <w:p>
            <w:r>
              <w:rPr>
                <w:sz w:val="20"/>
              </w:rPr>
              <w:t>297.0</w:t>
            </w:r>
          </w:p>
        </w:tc>
        <w:tc>
          <w:tcPr>
            <w:tcW w:type="dxa" w:w="1440"/>
          </w:tcPr>
          <w:p>
            <w:r>
              <w:rPr>
                <w:sz w:val="20"/>
              </w:rPr>
              <w:t>2.65e+17</w:t>
            </w:r>
          </w:p>
        </w:tc>
        <w:tc>
          <w:tcPr>
            <w:tcW w:type="dxa" w:w="1440"/>
          </w:tcPr>
          <w:p>
            <w:r>
              <w:rPr>
                <w:sz w:val="20"/>
              </w:rPr>
              <w:t>1.20e+19</w:t>
            </w:r>
          </w:p>
        </w:tc>
      </w:tr>
      <w:tr>
        <w:tc>
          <w:tcPr>
            <w:tcW w:type="dxa" w:w="1440"/>
          </w:tcPr>
          <w:p>
            <w:r>
              <w:rPr>
                <w:sz w:val="20"/>
              </w:rPr>
              <w:t>0.45</w:t>
            </w:r>
          </w:p>
        </w:tc>
        <w:tc>
          <w:tcPr>
            <w:tcW w:type="dxa" w:w="1440"/>
          </w:tcPr>
          <w:p>
            <w:r>
              <w:rPr>
                <w:sz w:val="20"/>
              </w:rPr>
              <w:t>25.6</w:t>
            </w:r>
          </w:p>
        </w:tc>
        <w:tc>
          <w:tcPr>
            <w:tcW w:type="dxa" w:w="1440"/>
          </w:tcPr>
          <w:p>
            <w:r>
              <w:rPr>
                <w:sz w:val="20"/>
              </w:rPr>
              <w:t>4.96</w:t>
            </w:r>
          </w:p>
        </w:tc>
        <w:tc>
          <w:tcPr>
            <w:tcW w:type="dxa" w:w="1440"/>
          </w:tcPr>
          <w:p>
            <w:r>
              <w:rPr>
                <w:sz w:val="20"/>
              </w:rPr>
              <w:t>298.0</w:t>
            </w:r>
          </w:p>
        </w:tc>
        <w:tc>
          <w:tcPr>
            <w:tcW w:type="dxa" w:w="1440"/>
          </w:tcPr>
          <w:p>
            <w:r>
              <w:rPr>
                <w:sz w:val="20"/>
              </w:rPr>
              <w:t>3.04e+17</w:t>
            </w:r>
          </w:p>
        </w:tc>
        <w:tc>
          <w:tcPr>
            <w:tcW w:type="dxa" w:w="1440"/>
          </w:tcPr>
          <w:p>
            <w:r>
              <w:rPr>
                <w:sz w:val="20"/>
              </w:rPr>
              <w:t>1.36e+19</w:t>
            </w:r>
          </w:p>
        </w:tc>
      </w:tr>
      <w:tr>
        <w:tc>
          <w:tcPr>
            <w:tcW w:type="dxa" w:w="1440"/>
          </w:tcPr>
          <w:p>
            <w:r>
              <w:rPr>
                <w:sz w:val="20"/>
              </w:rPr>
              <w:t>0.5</w:t>
            </w:r>
          </w:p>
        </w:tc>
        <w:tc>
          <w:tcPr>
            <w:tcW w:type="dxa" w:w="1440"/>
          </w:tcPr>
          <w:p>
            <w:r>
              <w:rPr>
                <w:sz w:val="20"/>
              </w:rPr>
              <w:t>27.8</w:t>
            </w:r>
          </w:p>
        </w:tc>
        <w:tc>
          <w:tcPr>
            <w:tcW w:type="dxa" w:w="1440"/>
          </w:tcPr>
          <w:p>
            <w:r>
              <w:rPr>
                <w:sz w:val="20"/>
              </w:rPr>
              <w:t>4.74</w:t>
            </w:r>
          </w:p>
        </w:tc>
        <w:tc>
          <w:tcPr>
            <w:tcW w:type="dxa" w:w="1440"/>
          </w:tcPr>
          <w:p>
            <w:r>
              <w:rPr>
                <w:sz w:val="20"/>
              </w:rPr>
              <w:t>299.0</w:t>
            </w:r>
          </w:p>
        </w:tc>
        <w:tc>
          <w:tcPr>
            <w:tcW w:type="dxa" w:w="1440"/>
          </w:tcPr>
          <w:p>
            <w:r>
              <w:rPr>
                <w:sz w:val="20"/>
              </w:rPr>
              <w:t>3.38e+17</w:t>
            </w:r>
          </w:p>
        </w:tc>
        <w:tc>
          <w:tcPr>
            <w:tcW w:type="dxa" w:w="1440"/>
          </w:tcPr>
          <w:p>
            <w:r>
              <w:rPr>
                <w:sz w:val="20"/>
              </w:rPr>
              <w:t>1.53e+19</w:t>
            </w:r>
          </w:p>
        </w:tc>
      </w:tr>
      <w:tr>
        <w:tc>
          <w:tcPr>
            <w:tcW w:type="dxa" w:w="1440"/>
          </w:tcPr>
          <w:p>
            <w:r>
              <w:rPr>
                <w:sz w:val="20"/>
              </w:rPr>
              <w:t>0.55</w:t>
            </w:r>
          </w:p>
        </w:tc>
        <w:tc>
          <w:tcPr>
            <w:tcW w:type="dxa" w:w="1440"/>
          </w:tcPr>
          <w:p>
            <w:r>
              <w:rPr>
                <w:sz w:val="20"/>
              </w:rPr>
              <w:t>30.1</w:t>
            </w:r>
          </w:p>
        </w:tc>
        <w:tc>
          <w:tcPr>
            <w:tcW w:type="dxa" w:w="1440"/>
          </w:tcPr>
          <w:p>
            <w:r>
              <w:rPr>
                <w:sz w:val="20"/>
              </w:rPr>
              <w:t>4.51</w:t>
            </w:r>
          </w:p>
        </w:tc>
        <w:tc>
          <w:tcPr>
            <w:tcW w:type="dxa" w:w="1440"/>
          </w:tcPr>
          <w:p>
            <w:r>
              <w:rPr>
                <w:sz w:val="20"/>
              </w:rPr>
              <w:t>300.3</w:t>
            </w:r>
          </w:p>
        </w:tc>
        <w:tc>
          <w:tcPr>
            <w:tcW w:type="dxa" w:w="1440"/>
          </w:tcPr>
          <w:p>
            <w:r>
              <w:rPr>
                <w:sz w:val="20"/>
              </w:rPr>
              <w:t>3.79e+17</w:t>
            </w:r>
          </w:p>
        </w:tc>
        <w:tc>
          <w:tcPr>
            <w:tcW w:type="dxa" w:w="1440"/>
          </w:tcPr>
          <w:p>
            <w:r>
              <w:rPr>
                <w:sz w:val="20"/>
              </w:rPr>
              <w:t>1.74e+19</w:t>
            </w:r>
          </w:p>
        </w:tc>
      </w:tr>
      <w:tr>
        <w:tc>
          <w:tcPr>
            <w:tcW w:type="dxa" w:w="1440"/>
          </w:tcPr>
          <w:p>
            <w:r>
              <w:rPr>
                <w:sz w:val="20"/>
              </w:rPr>
              <w:t>0.6</w:t>
            </w:r>
          </w:p>
        </w:tc>
        <w:tc>
          <w:tcPr>
            <w:tcW w:type="dxa" w:w="1440"/>
          </w:tcPr>
          <w:p>
            <w:r>
              <w:rPr>
                <w:sz w:val="20"/>
              </w:rPr>
              <w:t>32.6</w:t>
            </w:r>
          </w:p>
        </w:tc>
        <w:tc>
          <w:tcPr>
            <w:tcW w:type="dxa" w:w="1440"/>
          </w:tcPr>
          <w:p>
            <w:r>
              <w:rPr>
                <w:sz w:val="20"/>
              </w:rPr>
              <w:t>4.28</w:t>
            </w:r>
          </w:p>
        </w:tc>
        <w:tc>
          <w:tcPr>
            <w:tcW w:type="dxa" w:w="1440"/>
          </w:tcPr>
          <w:p>
            <w:r>
              <w:rPr>
                <w:sz w:val="20"/>
              </w:rPr>
              <w:t>301.9</w:t>
            </w:r>
          </w:p>
        </w:tc>
        <w:tc>
          <w:tcPr>
            <w:tcW w:type="dxa" w:w="1440"/>
          </w:tcPr>
          <w:p>
            <w:r>
              <w:rPr>
                <w:sz w:val="20"/>
              </w:rPr>
              <w:t>4.24e+17</w:t>
            </w:r>
          </w:p>
        </w:tc>
        <w:tc>
          <w:tcPr>
            <w:tcW w:type="dxa" w:w="1440"/>
          </w:tcPr>
          <w:p>
            <w:r>
              <w:rPr>
                <w:sz w:val="20"/>
              </w:rPr>
              <w:t>2.01e+19</w:t>
            </w:r>
          </w:p>
        </w:tc>
      </w:tr>
      <w:tr>
        <w:tc>
          <w:tcPr>
            <w:tcW w:type="dxa" w:w="1440"/>
          </w:tcPr>
          <w:p>
            <w:r>
              <w:rPr>
                <w:sz w:val="20"/>
              </w:rPr>
              <w:t>0.65</w:t>
            </w:r>
          </w:p>
        </w:tc>
        <w:tc>
          <w:tcPr>
            <w:tcW w:type="dxa" w:w="1440"/>
          </w:tcPr>
          <w:p>
            <w:r>
              <w:rPr>
                <w:sz w:val="20"/>
              </w:rPr>
              <w:t>34.2</w:t>
            </w:r>
          </w:p>
        </w:tc>
        <w:tc>
          <w:tcPr>
            <w:tcW w:type="dxa" w:w="1440"/>
          </w:tcPr>
          <w:p>
            <w:r>
              <w:rPr>
                <w:sz w:val="20"/>
              </w:rPr>
              <w:t>4.14</w:t>
            </w:r>
          </w:p>
        </w:tc>
        <w:tc>
          <w:tcPr>
            <w:tcW w:type="dxa" w:w="1440"/>
          </w:tcPr>
          <w:p>
            <w:r>
              <w:rPr>
                <w:sz w:val="20"/>
              </w:rPr>
              <w:t>303.3</w:t>
            </w:r>
          </w:p>
        </w:tc>
        <w:tc>
          <w:tcPr>
            <w:tcW w:type="dxa" w:w="1440"/>
          </w:tcPr>
          <w:p>
            <w:r>
              <w:rPr>
                <w:sz w:val="20"/>
              </w:rPr>
              <w:t>4.55e+17</w:t>
            </w:r>
          </w:p>
        </w:tc>
        <w:tc>
          <w:tcPr>
            <w:tcW w:type="dxa" w:w="1440"/>
          </w:tcPr>
          <w:p>
            <w:r>
              <w:rPr>
                <w:sz w:val="20"/>
              </w:rPr>
              <w:t>2.22e+19</w:t>
            </w:r>
          </w:p>
        </w:tc>
      </w:tr>
      <w:tr>
        <w:tc>
          <w:tcPr>
            <w:tcW w:type="dxa" w:w="1440"/>
          </w:tcPr>
          <w:p>
            <w:r>
              <w:rPr>
                <w:sz w:val="20"/>
              </w:rPr>
              <w:t>0.7</w:t>
            </w:r>
          </w:p>
        </w:tc>
        <w:tc>
          <w:tcPr>
            <w:tcW w:type="dxa" w:w="1440"/>
          </w:tcPr>
          <w:p>
            <w:r>
              <w:rPr>
                <w:sz w:val="20"/>
              </w:rPr>
              <w:t>36.7</w:t>
            </w:r>
          </w:p>
        </w:tc>
        <w:tc>
          <w:tcPr>
            <w:tcW w:type="dxa" w:w="1440"/>
          </w:tcPr>
          <w:p>
            <w:r>
              <w:rPr>
                <w:sz w:val="20"/>
              </w:rPr>
              <w:t>3.92</w:t>
            </w:r>
          </w:p>
        </w:tc>
        <w:tc>
          <w:tcPr>
            <w:tcW w:type="dxa" w:w="1440"/>
          </w:tcPr>
          <w:p>
            <w:r>
              <w:rPr>
                <w:sz w:val="20"/>
              </w:rPr>
              <w:t>305.7</w:t>
            </w:r>
          </w:p>
        </w:tc>
        <w:tc>
          <w:tcPr>
            <w:tcW w:type="dxa" w:w="1440"/>
          </w:tcPr>
          <w:p>
            <w:r>
              <w:rPr>
                <w:sz w:val="20"/>
              </w:rPr>
              <w:t>5.07e+17</w:t>
            </w:r>
          </w:p>
        </w:tc>
        <w:tc>
          <w:tcPr>
            <w:tcW w:type="dxa" w:w="1440"/>
          </w:tcPr>
          <w:p>
            <w:r>
              <w:rPr>
                <w:sz w:val="20"/>
              </w:rPr>
              <w:t>2.59e+19</w:t>
            </w:r>
          </w:p>
        </w:tc>
      </w:tr>
      <w:tr>
        <w:tc>
          <w:tcPr>
            <w:tcW w:type="dxa" w:w="1440"/>
          </w:tcPr>
          <w:p>
            <w:r>
              <w:rPr>
                <w:sz w:val="20"/>
              </w:rPr>
              <w:t>0.75</w:t>
            </w:r>
          </w:p>
        </w:tc>
        <w:tc>
          <w:tcPr>
            <w:tcW w:type="dxa" w:w="1440"/>
          </w:tcPr>
          <w:p>
            <w:r>
              <w:rPr>
                <w:sz w:val="20"/>
              </w:rPr>
              <w:t>38.2</w:t>
            </w:r>
          </w:p>
        </w:tc>
        <w:tc>
          <w:tcPr>
            <w:tcW w:type="dxa" w:w="1440"/>
          </w:tcPr>
          <w:p>
            <w:r>
              <w:rPr>
                <w:sz w:val="20"/>
              </w:rPr>
              <w:t>3.79</w:t>
            </w:r>
          </w:p>
        </w:tc>
        <w:tc>
          <w:tcPr>
            <w:tcW w:type="dxa" w:w="1440"/>
          </w:tcPr>
          <w:p>
            <w:r>
              <w:rPr>
                <w:sz w:val="20"/>
              </w:rPr>
              <w:t>307.6</w:t>
            </w:r>
          </w:p>
        </w:tc>
        <w:tc>
          <w:tcPr>
            <w:tcW w:type="dxa" w:w="1440"/>
          </w:tcPr>
          <w:p>
            <w:r>
              <w:rPr>
                <w:sz w:val="20"/>
              </w:rPr>
              <w:t>5.41e+17</w:t>
            </w:r>
          </w:p>
        </w:tc>
        <w:tc>
          <w:tcPr>
            <w:tcW w:type="dxa" w:w="1440"/>
          </w:tcPr>
          <w:p>
            <w:r>
              <w:rPr>
                <w:sz w:val="20"/>
              </w:rPr>
              <w:t>2.87e+19</w:t>
            </w:r>
          </w:p>
        </w:tc>
      </w:tr>
      <w:tr>
        <w:tc>
          <w:tcPr>
            <w:tcW w:type="dxa" w:w="1440"/>
          </w:tcPr>
          <w:p>
            <w:r>
              <w:rPr>
                <w:sz w:val="20"/>
              </w:rPr>
              <w:t>0.8</w:t>
            </w:r>
          </w:p>
        </w:tc>
        <w:tc>
          <w:tcPr>
            <w:tcW w:type="dxa" w:w="1440"/>
          </w:tcPr>
          <w:p>
            <w:r>
              <w:rPr>
                <w:sz w:val="20"/>
              </w:rPr>
              <w:t>39.2</w:t>
            </w:r>
          </w:p>
        </w:tc>
        <w:tc>
          <w:tcPr>
            <w:tcW w:type="dxa" w:w="1440"/>
          </w:tcPr>
          <w:p>
            <w:r>
              <w:rPr>
                <w:sz w:val="20"/>
              </w:rPr>
              <w:t>3.70</w:t>
            </w:r>
          </w:p>
        </w:tc>
        <w:tc>
          <w:tcPr>
            <w:tcW w:type="dxa" w:w="1440"/>
          </w:tcPr>
          <w:p>
            <w:r>
              <w:rPr>
                <w:sz w:val="20"/>
              </w:rPr>
              <w:t>309.2</w:t>
            </w:r>
          </w:p>
        </w:tc>
        <w:tc>
          <w:tcPr>
            <w:tcW w:type="dxa" w:w="1440"/>
          </w:tcPr>
          <w:p>
            <w:r>
              <w:rPr>
                <w:sz w:val="20"/>
              </w:rPr>
              <w:t>5.67e+17</w:t>
            </w:r>
          </w:p>
        </w:tc>
        <w:tc>
          <w:tcPr>
            <w:tcW w:type="dxa" w:w="1440"/>
          </w:tcPr>
          <w:p>
            <w:r>
              <w:rPr>
                <w:sz w:val="20"/>
              </w:rPr>
              <w:t>3.11e+19</w:t>
            </w:r>
          </w:p>
        </w:tc>
      </w:tr>
    </w:tbl>
    <w:p/>
    <w:p>
      <w:pPr>
        <w:pStyle w:val="Heading2"/>
      </w:pPr>
      <w:r>
        <w:rPr>
          <w:color w:val="1B1B3A"/>
        </w:rPr>
        <w:t>4.2 Comparison with Dietz 0D Model</w:t>
      </w:r>
    </w:p>
    <w:p>
      <w:pPr>
        <w:spacing w:after="120"/>
      </w:pPr>
      <w:r>
        <w:t>The electron temperature computed by the present model ranges from 3.70 eV at Q0 = 0.80 sccm to 5.24 eV at Q0 = 0.40 sccm. The Dietz 0D model reports Te values of approximately 3.0 to 5.5 eV over a comparable mass flow range (Fig. 12b). The agreement is within 0.2 to 0.4 eV, with the residual difference attributable to the use of different cross-section databases (Chabert polynomial fit vs. Biagi database).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Q0 [sccm]</w:t>
            </w:r>
          </w:p>
        </w:tc>
        <w:tc>
          <w:tcPr>
            <w:tcW w:type="dxa" w:w="1728"/>
          </w:tcPr>
          <w:p>
            <w:pPr>
              <w:jc w:val="center"/>
            </w:pPr>
            <w:r>
              <w:rPr>
                <w:b/>
                <w:sz w:val="20"/>
              </w:rPr>
              <w:t>Te (this model)</w:t>
            </w:r>
          </w:p>
        </w:tc>
        <w:tc>
          <w:tcPr>
            <w:tcW w:type="dxa" w:w="1728"/>
          </w:tcPr>
          <w:p>
            <w:pPr>
              <w:jc w:val="center"/>
            </w:pPr>
            <w:r>
              <w:rPr>
                <w:b/>
                <w:sz w:val="20"/>
              </w:rPr>
              <w:t>Te (Dietz 0D)</w:t>
            </w:r>
          </w:p>
        </w:tc>
        <w:tc>
          <w:tcPr>
            <w:tcW w:type="dxa" w:w="1728"/>
          </w:tcPr>
          <w:p>
            <w:pPr>
              <w:jc w:val="center"/>
            </w:pPr>
            <w:r>
              <w:rPr>
                <w:b/>
                <w:sz w:val="20"/>
              </w:rPr>
              <w:t>Te (Dietz 2D/3D)</w:t>
            </w:r>
          </w:p>
        </w:tc>
        <w:tc>
          <w:tcPr>
            <w:tcW w:type="dxa" w:w="1728"/>
          </w:tcPr>
          <w:p>
            <w:pPr>
              <w:jc w:val="center"/>
            </w:pPr>
            <w:r>
              <w:rPr>
                <w:b/>
                <w:sz w:val="20"/>
              </w:rPr>
              <w:t>Assessment</w:t>
            </w:r>
          </w:p>
        </w:tc>
      </w:tr>
      <w:tr>
        <w:tc>
          <w:tcPr>
            <w:tcW w:type="dxa" w:w="1728"/>
          </w:tcPr>
          <w:p>
            <w:r>
              <w:rPr>
                <w:sz w:val="20"/>
              </w:rPr>
              <w:t>0.40</w:t>
            </w:r>
          </w:p>
        </w:tc>
        <w:tc>
          <w:tcPr>
            <w:tcW w:type="dxa" w:w="1728"/>
          </w:tcPr>
          <w:p>
            <w:r>
              <w:rPr>
                <w:sz w:val="20"/>
              </w:rPr>
              <w:t>5.24</w:t>
            </w:r>
          </w:p>
        </w:tc>
        <w:tc>
          <w:tcPr>
            <w:tcW w:type="dxa" w:w="1728"/>
          </w:tcPr>
          <w:p>
            <w:r>
              <w:rPr>
                <w:sz w:val="20"/>
              </w:rPr>
              <w:t>~5.5</w:t>
            </w:r>
          </w:p>
        </w:tc>
        <w:tc>
          <w:tcPr>
            <w:tcW w:type="dxa" w:w="1728"/>
          </w:tcPr>
          <w:p>
            <w:r>
              <w:rPr>
                <w:sz w:val="20"/>
              </w:rPr>
              <w:t>~5.5</w:t>
            </w:r>
          </w:p>
        </w:tc>
        <w:tc>
          <w:tcPr>
            <w:tcW w:type="dxa" w:w="1728"/>
          </w:tcPr>
          <w:p>
            <w:r>
              <w:rPr>
                <w:sz w:val="20"/>
              </w:rPr>
              <w:t>excellent</w:t>
            </w:r>
          </w:p>
        </w:tc>
      </w:tr>
      <w:tr>
        <w:tc>
          <w:tcPr>
            <w:tcW w:type="dxa" w:w="1728"/>
          </w:tcPr>
          <w:p>
            <w:r>
              <w:rPr>
                <w:sz w:val="20"/>
              </w:rPr>
              <w:t>0.50</w:t>
            </w:r>
          </w:p>
        </w:tc>
        <w:tc>
          <w:tcPr>
            <w:tcW w:type="dxa" w:w="1728"/>
          </w:tcPr>
          <w:p>
            <w:r>
              <w:rPr>
                <w:sz w:val="20"/>
              </w:rPr>
              <w:t>4.74</w:t>
            </w:r>
          </w:p>
        </w:tc>
        <w:tc>
          <w:tcPr>
            <w:tcW w:type="dxa" w:w="1728"/>
          </w:tcPr>
          <w:p>
            <w:r>
              <w:rPr>
                <w:sz w:val="20"/>
              </w:rPr>
              <w:t>~4.9</w:t>
            </w:r>
          </w:p>
        </w:tc>
        <w:tc>
          <w:tcPr>
            <w:tcW w:type="dxa" w:w="1728"/>
          </w:tcPr>
          <w:p>
            <w:r>
              <w:rPr>
                <w:sz w:val="20"/>
              </w:rPr>
              <w:t>~5.0</w:t>
            </w:r>
          </w:p>
        </w:tc>
        <w:tc>
          <w:tcPr>
            <w:tcW w:type="dxa" w:w="1728"/>
          </w:tcPr>
          <w:p>
            <w:r>
              <w:rPr>
                <w:sz w:val="20"/>
              </w:rPr>
              <w:t>good (near 0D)</w:t>
            </w:r>
          </w:p>
        </w:tc>
      </w:tr>
      <w:tr>
        <w:tc>
          <w:tcPr>
            <w:tcW w:type="dxa" w:w="1728"/>
          </w:tcPr>
          <w:p>
            <w:r>
              <w:rPr>
                <w:sz w:val="20"/>
              </w:rPr>
              <w:t>0.60</w:t>
            </w:r>
          </w:p>
        </w:tc>
        <w:tc>
          <w:tcPr>
            <w:tcW w:type="dxa" w:w="1728"/>
          </w:tcPr>
          <w:p>
            <w:r>
              <w:rPr>
                <w:sz w:val="20"/>
              </w:rPr>
              <w:t>4.28</w:t>
            </w:r>
          </w:p>
        </w:tc>
        <w:tc>
          <w:tcPr>
            <w:tcW w:type="dxa" w:w="1728"/>
          </w:tcPr>
          <w:p>
            <w:r>
              <w:rPr>
                <w:sz w:val="20"/>
              </w:rPr>
              <w:t>~4.3</w:t>
            </w:r>
          </w:p>
        </w:tc>
        <w:tc>
          <w:tcPr>
            <w:tcW w:type="dxa" w:w="1728"/>
          </w:tcPr>
          <w:p>
            <w:r>
              <w:rPr>
                <w:sz w:val="20"/>
              </w:rPr>
              <w:t>~4.5</w:t>
            </w:r>
          </w:p>
        </w:tc>
        <w:tc>
          <w:tcPr>
            <w:tcW w:type="dxa" w:w="1728"/>
          </w:tcPr>
          <w:p>
            <w:r>
              <w:rPr>
                <w:sz w:val="20"/>
              </w:rPr>
              <w:t>excellent (near 0D)</w:t>
            </w:r>
          </w:p>
        </w:tc>
      </w:tr>
      <w:tr>
        <w:tc>
          <w:tcPr>
            <w:tcW w:type="dxa" w:w="1728"/>
          </w:tcPr>
          <w:p>
            <w:r>
              <w:rPr>
                <w:sz w:val="20"/>
              </w:rPr>
              <w:t>0.70</w:t>
            </w:r>
          </w:p>
        </w:tc>
        <w:tc>
          <w:tcPr>
            <w:tcW w:type="dxa" w:w="1728"/>
          </w:tcPr>
          <w:p>
            <w:r>
              <w:rPr>
                <w:sz w:val="20"/>
              </w:rPr>
              <w:t>3.92</w:t>
            </w:r>
          </w:p>
        </w:tc>
        <w:tc>
          <w:tcPr>
            <w:tcW w:type="dxa" w:w="1728"/>
          </w:tcPr>
          <w:p>
            <w:r>
              <w:rPr>
                <w:sz w:val="20"/>
              </w:rPr>
              <w:t>~3.5</w:t>
            </w:r>
          </w:p>
        </w:tc>
        <w:tc>
          <w:tcPr>
            <w:tcW w:type="dxa" w:w="1728"/>
          </w:tcPr>
          <w:p>
            <w:r>
              <w:rPr>
                <w:sz w:val="20"/>
              </w:rPr>
              <w:t>~3.5</w:t>
            </w:r>
          </w:p>
        </w:tc>
        <w:tc>
          <w:tcPr>
            <w:tcW w:type="dxa" w:w="1728"/>
          </w:tcPr>
          <w:p>
            <w:r>
              <w:rPr>
                <w:sz w:val="20"/>
              </w:rPr>
              <w:t>good (+0.4 eV)</w:t>
            </w:r>
          </w:p>
        </w:tc>
      </w:tr>
      <w:tr>
        <w:tc>
          <w:tcPr>
            <w:tcW w:type="dxa" w:w="1728"/>
          </w:tcPr>
          <w:p>
            <w:r>
              <w:rPr>
                <w:sz w:val="20"/>
              </w:rPr>
              <w:t>0.80</w:t>
            </w:r>
          </w:p>
        </w:tc>
        <w:tc>
          <w:tcPr>
            <w:tcW w:type="dxa" w:w="1728"/>
          </w:tcPr>
          <w:p>
            <w:r>
              <w:rPr>
                <w:sz w:val="20"/>
              </w:rPr>
              <w:t>3.70</w:t>
            </w:r>
          </w:p>
        </w:tc>
        <w:tc>
          <w:tcPr>
            <w:tcW w:type="dxa" w:w="1728"/>
          </w:tcPr>
          <w:p>
            <w:r>
              <w:rPr>
                <w:sz w:val="20"/>
              </w:rPr>
              <w:t>-</w:t>
            </w:r>
          </w:p>
        </w:tc>
        <w:tc>
          <w:tcPr>
            <w:tcW w:type="dxa" w:w="1728"/>
          </w:tcPr>
          <w:p>
            <w:r>
              <w:rPr>
                <w:sz w:val="20"/>
              </w:rPr>
              <w:t>-</w:t>
            </w:r>
          </w:p>
        </w:tc>
        <w:tc>
          <w:tcPr>
            <w:tcW w:type="dxa" w:w="1728"/>
          </w:tcPr>
          <w:p>
            <w:r>
              <w:rPr>
                <w:sz w:val="20"/>
              </w:rPr>
              <w:t>consistent trend</w:t>
            </w:r>
          </w:p>
        </w:tc>
      </w:tr>
    </w:tbl>
    <w:p/>
    <w:p>
      <w:pPr>
        <w:spacing w:after="120"/>
      </w:pPr>
      <w:r>
        <w:t>The neutral gas density ng shows very good agreement (&lt; 15% deviation) across the entire flow range. The electron density n is systematically lower by approximately a factor of 0.6, which is explained by the different operating mode: fixed P_RFG in our model vs. fixed I_beam in the Dietz reference.</w:t>
      </w:r>
    </w:p>
    <w:p>
      <w:pPr>
        <w:pStyle w:val="Heading2"/>
      </w:pPr>
      <w:r>
        <w:rPr>
          <w:color w:val="1B1B3A"/>
        </w:rPr>
        <w:t>4.3 Comparison with Dietz 2D/3D Models</w:t>
      </w:r>
    </w:p>
    <w:p>
      <w:pPr>
        <w:spacing w:after="120"/>
      </w:pPr>
      <w:r>
        <w:t>A notable finding is that our 0D model produces Te values that are remarkably close to the Dietz 2D and 3D results for this geometry. This contrasts with the larger Chabert chamber geometry (R = 60 mm, L = 100 mm), where the 0D model systematically underestimates Te by 1 to 2 eV compared to higher-dimensional models.</w:t>
      </w:r>
    </w:p>
    <w:p>
      <w:pPr>
        <w:spacing w:after="120"/>
      </w:pPr>
      <w:r>
        <w:t>The explanation is geometric: for small chambers, the surface-to-volume ratio Aeff/V is inherently larger, which increases the wall-loss terms in the particle balance and pushes Te upward. This reduces the gap between the homogeneous density assumption of the 0D model and the actual density profile, because wall losses dominate over volume processes in compact geometries.</w:t>
      </w:r>
    </w:p>
    <w:p>
      <w:pPr>
        <w:pStyle w:val="Heading1"/>
      </w:pPr>
      <w:r>
        <w:rPr>
          <w:color w:val="1B1B3A"/>
        </w:rPr>
        <w:t>5. Physical Interpretation</w:t>
      </w:r>
    </w:p>
    <w:p>
      <w:pPr>
        <w:spacing w:after="120"/>
      </w:pPr>
      <w:r>
        <w:t>The electron temperature in this type of global model is primarily determined by the ionization balance (r1): ng * Kiz(Te) = uB(Te) * Aeff(ng) / V. Since Kiz depends exponentially on Te while uB scales as the square root, Te is tightly constrained by the neutral gas density and the effective loss area.</w:t>
      </w:r>
    </w:p>
    <w:p>
      <w:pPr>
        <w:spacing w:after="120"/>
      </w:pPr>
      <w:r>
        <w:t>The dominant geometric lever is the ratio Aeff/V. Small chambers (R ~ 20 mm) have a significantly higher Aeff/V than large chambers (R ~ 60 mm), which requires higher Te to sustain the ionization balance. This explains both the geometry-dependent Te variation and the reduced 0D-to-2D/3D discrepancy for compact thrusters.</w:t>
      </w:r>
    </w:p>
    <w:p>
      <w:pPr>
        <w:spacing w:after="120"/>
      </w:pPr>
      <w:r>
        <w:t>The well-known limitation of 0D models, namely the overestimation of mean electron density due to the homogeneous profile assumption (Dietz et al., Section 4, p. 25), manifests differently depending on geometry. For small chambers where wall losses dominate, the profile correction has a smaller impact on Te, leading to better absolute agreement between 0D and higher-dimensional models.</w:t>
      </w:r>
    </w:p>
    <w:p>
      <w:pPr>
        <w:pStyle w:val="Heading1"/>
      </w:pPr>
      <w:r>
        <w:rPr>
          <w:color w:val="1B1B3A"/>
        </w:rPr>
        <w:t>6. Model Assessment</w:t>
      </w:r>
    </w:p>
    <w:p>
      <w:pPr>
        <w:spacing w:after="120"/>
      </w:pPr>
      <w:r>
        <w:t>The following table summarizes the assessment of each output quantity: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Quantity</w:t>
            </w:r>
          </w:p>
        </w:tc>
        <w:tc>
          <w:tcPr>
            <w:tcW w:type="dxa" w:w="2880"/>
          </w:tcPr>
          <w:p>
            <w:pPr>
              <w:jc w:val="center"/>
            </w:pPr>
            <w:r>
              <w:rPr>
                <w:b/>
                <w:sz w:val="20"/>
              </w:rPr>
              <w:t>Rating</w:t>
            </w:r>
          </w:p>
        </w:tc>
        <w:tc>
          <w:tcPr>
            <w:tcW w:type="dxa" w:w="2880"/>
          </w:tcPr>
          <w:p>
            <w:pPr>
              <w:jc w:val="center"/>
            </w:pPr>
            <w:r>
              <w:rPr>
                <w:b/>
                <w:sz w:val="20"/>
              </w:rPr>
              <w:t>Comment</w:t>
            </w:r>
          </w:p>
        </w:tc>
      </w:tr>
      <w:tr>
        <w:tc>
          <w:tcPr>
            <w:tcW w:type="dxa" w:w="2880"/>
          </w:tcPr>
          <w:p>
            <w:r>
              <w:rPr>
                <w:sz w:val="20"/>
              </w:rPr>
              <w:t>Te trend (vs. Q0)</w:t>
            </w:r>
          </w:p>
        </w:tc>
        <w:tc>
          <w:tcPr>
            <w:tcW w:type="dxa" w:w="2880"/>
          </w:tcPr>
          <w:p>
            <w:r>
              <w:rPr>
                <w:sz w:val="20"/>
              </w:rPr>
              <w:t>Excellent</w:t>
            </w:r>
          </w:p>
        </w:tc>
        <w:tc>
          <w:tcPr>
            <w:tcW w:type="dxa" w:w="2880"/>
          </w:tcPr>
          <w:p>
            <w:r>
              <w:rPr>
                <w:sz w:val="20"/>
              </w:rPr>
              <w:t>Correct direction and magnitude</w:t>
            </w:r>
          </w:p>
        </w:tc>
      </w:tr>
      <w:tr>
        <w:tc>
          <w:tcPr>
            <w:tcW w:type="dxa" w:w="2880"/>
          </w:tcPr>
          <w:p>
            <w:r>
              <w:rPr>
                <w:sz w:val="20"/>
              </w:rPr>
              <w:t>Te absolute</w:t>
            </w:r>
          </w:p>
        </w:tc>
        <w:tc>
          <w:tcPr>
            <w:tcW w:type="dxa" w:w="2880"/>
          </w:tcPr>
          <w:p>
            <w:r>
              <w:rPr>
                <w:sz w:val="20"/>
              </w:rPr>
              <w:t>Good</w:t>
            </w:r>
          </w:p>
        </w:tc>
        <w:tc>
          <w:tcPr>
            <w:tcW w:type="dxa" w:w="2880"/>
          </w:tcPr>
          <w:p>
            <w:r>
              <w:rPr>
                <w:sz w:val="20"/>
              </w:rPr>
              <w:t>Within +/-0.4 eV of Dietz 0D</w:t>
            </w:r>
          </w:p>
        </w:tc>
      </w:tr>
      <w:tr>
        <w:tc>
          <w:tcPr>
            <w:tcW w:type="dxa" w:w="2880"/>
          </w:tcPr>
          <w:p>
            <w:r>
              <w:rPr>
                <w:sz w:val="20"/>
              </w:rPr>
              <w:t>ng</w:t>
            </w:r>
          </w:p>
        </w:tc>
        <w:tc>
          <w:tcPr>
            <w:tcW w:type="dxa" w:w="2880"/>
          </w:tcPr>
          <w:p>
            <w:r>
              <w:rPr>
                <w:sz w:val="20"/>
              </w:rPr>
              <w:t>Very good</w:t>
            </w:r>
          </w:p>
        </w:tc>
        <w:tc>
          <w:tcPr>
            <w:tcW w:type="dxa" w:w="2880"/>
          </w:tcPr>
          <w:p>
            <w:r>
              <w:rPr>
                <w:sz w:val="20"/>
              </w:rPr>
              <w:t>&lt; 15% deviation</w:t>
            </w:r>
          </w:p>
        </w:tc>
      </w:tr>
      <w:tr>
        <w:tc>
          <w:tcPr>
            <w:tcW w:type="dxa" w:w="2880"/>
          </w:tcPr>
          <w:p>
            <w:r>
              <w:rPr>
                <w:sz w:val="20"/>
              </w:rPr>
              <w:t>n</w:t>
            </w:r>
          </w:p>
        </w:tc>
        <w:tc>
          <w:tcPr>
            <w:tcW w:type="dxa" w:w="2880"/>
          </w:tcPr>
          <w:p>
            <w:r>
              <w:rPr>
                <w:sz w:val="20"/>
              </w:rPr>
              <w:t>Moderate</w:t>
            </w:r>
          </w:p>
        </w:tc>
        <w:tc>
          <w:tcPr>
            <w:tcW w:type="dxa" w:w="2880"/>
          </w:tcPr>
          <w:p>
            <w:r>
              <w:rPr>
                <w:sz w:val="20"/>
              </w:rPr>
              <w:t>Factor ~0.6 (operating mode difference)</w:t>
            </w:r>
          </w:p>
        </w:tc>
      </w:tr>
      <w:tr>
        <w:tc>
          <w:tcPr>
            <w:tcW w:type="dxa" w:w="2880"/>
          </w:tcPr>
          <w:p>
            <w:r>
              <w:rPr>
                <w:sz w:val="20"/>
              </w:rPr>
              <w:t>Tg</w:t>
            </w:r>
          </w:p>
        </w:tc>
        <w:tc>
          <w:tcPr>
            <w:tcW w:type="dxa" w:w="2880"/>
          </w:tcPr>
          <w:p>
            <w:r>
              <w:rPr>
                <w:sz w:val="20"/>
              </w:rPr>
              <w:t>Not comparable</w:t>
            </w:r>
          </w:p>
        </w:tc>
        <w:tc>
          <w:tcPr>
            <w:tcW w:type="dxa" w:w="2880"/>
          </w:tcPr>
          <w:p>
            <w:r>
              <w:rPr>
                <w:sz w:val="20"/>
              </w:rPr>
              <w:t>ODE-based vs. fixed 423 K in Dietz</w:t>
            </w:r>
          </w:p>
        </w:tc>
      </w:tr>
      <w:tr>
        <w:tc>
          <w:tcPr>
            <w:tcW w:type="dxa" w:w="2880"/>
          </w:tcPr>
          <w:p>
            <w:r>
              <w:rPr>
                <w:sz w:val="20"/>
              </w:rPr>
              <w:t>Convergence</w:t>
            </w:r>
          </w:p>
        </w:tc>
        <w:tc>
          <w:tcPr>
            <w:tcW w:type="dxa" w:w="2880"/>
          </w:tcPr>
          <w:p>
            <w:r>
              <w:rPr>
                <w:sz w:val="20"/>
              </w:rPr>
              <w:t>Excellent</w:t>
            </w:r>
          </w:p>
        </w:tc>
        <w:tc>
          <w:tcPr>
            <w:tcW w:type="dxa" w:w="2880"/>
          </w:tcPr>
          <w:p>
            <w:r>
              <w:rPr>
                <w:sz w:val="20"/>
              </w:rPr>
              <w:t>100% over full Q0 range</w:t>
            </w:r>
          </w:p>
        </w:tc>
      </w:tr>
      <w:tr>
        <w:tc>
          <w:tcPr>
            <w:tcW w:type="dxa" w:w="2880"/>
          </w:tcPr>
          <w:p>
            <w:r>
              <w:rPr>
                <w:sz w:val="20"/>
              </w:rPr>
              <w:t>Trends</w:t>
            </w:r>
          </w:p>
        </w:tc>
        <w:tc>
          <w:tcPr>
            <w:tcW w:type="dxa" w:w="2880"/>
          </w:tcPr>
          <w:p>
            <w:r>
              <w:rPr>
                <w:sz w:val="20"/>
              </w:rPr>
              <w:t>Excellent</w:t>
            </w:r>
          </w:p>
        </w:tc>
        <w:tc>
          <w:tcPr>
            <w:tcW w:type="dxa" w:w="2880"/>
          </w:tcPr>
          <w:p>
            <w:r>
              <w:rPr>
                <w:sz w:val="20"/>
              </w:rPr>
              <w:t>All physical trends reproduced</w:t>
            </w:r>
          </w:p>
        </w:tc>
      </w:tr>
    </w:tbl>
    <w:p/>
    <w:p>
      <w:pPr>
        <w:pStyle w:val="Heading1"/>
      </w:pPr>
      <w:r>
        <w:rPr>
          <w:color w:val="1B1B3A"/>
        </w:rPr>
        <w:t>7. Conclusion</w:t>
      </w:r>
    </w:p>
    <w:p>
      <w:pPr>
        <w:spacing w:after="120"/>
      </w:pPr>
      <w:r>
        <w:t>The 0D global plasma model produces quantitatively reliable results for the RIT-4 / KK thruster geometry. The electron temperature, neutral gas density, and all qualitative trends are in good agreement with the experimentally validated Dietz et al. (2021) reference.</w:t>
      </w:r>
    </w:p>
    <w:p>
      <w:pPr>
        <w:spacing w:after="120"/>
      </w:pPr>
      <w:r>
        <w:t>The Te discrepancy previously observed against the Chabert (2012) large-chamber geometry has been resolved: it was not a model defect but a geometry-specific effect. For the compact RIT-4/KK class of thrusters, the 0D model delivers Te values within 0.4 eV of both the Dietz 0D and the higher-dimensional 2D/3D models.</w:t>
      </w:r>
    </w:p>
    <w:p>
      <w:pPr>
        <w:spacing w:after="120"/>
      </w:pPr>
      <w:r>
        <w:t>The model is suitable for parametric design studies, sensitivity analyses, and operating-mode comparisons in the RIT-4/KK geometry class. For absolute electron density predictions, the operating mode (fixed P_RFG vs. fixed I_beam) must be matched to the reference conditions.</w:t>
      </w:r>
    </w:p>
    <w:p>
      <w:pPr>
        <w:pStyle w:val="Heading1"/>
      </w:pPr>
      <w:r>
        <w:rPr>
          <w:color w:val="1B1B3A"/>
        </w:rPr>
        <w:t>8. Recommended Usage</w:t>
      </w:r>
    </w:p>
    <w:p>
      <w:pPr>
        <w:pStyle w:val="Heading2"/>
      </w:pPr>
      <w:r>
        <w:rPr>
          <w:color w:val="1B1B3A"/>
        </w:rPr>
        <w:t>Reliable for:</w:t>
      </w:r>
    </w:p>
    <w:p>
      <w:pPr>
        <w:pStyle w:val="ListBullet"/>
      </w:pPr>
      <w:r>
        <w:t>Parametric studies varying geometry, mass flow, and RF power</w:t>
      </w:r>
    </w:p>
    <w:p>
      <w:pPr>
        <w:pStyle w:val="ListBullet"/>
      </w:pPr>
      <w:r>
        <w:t>Sensitivity analyses of collision coefficients and model parameters</w:t>
      </w:r>
    </w:p>
    <w:p>
      <w:pPr>
        <w:pStyle w:val="ListBullet"/>
      </w:pPr>
      <w:r>
        <w:t>Trend predictions for Te, ng, and beam current vs. operating conditions</w:t>
      </w:r>
    </w:p>
    <w:p>
      <w:pPr>
        <w:pStyle w:val="ListBullet"/>
      </w:pPr>
      <w:r>
        <w:t>Comparison of operating modes (fixed current vs. self-consistent)</w:t>
      </w:r>
    </w:p>
    <w:p>
      <w:pPr>
        <w:pStyle w:val="Heading2"/>
      </w:pPr>
      <w:r>
        <w:rPr>
          <w:color w:val="1B1B3A"/>
        </w:rPr>
        <w:t>Use with caution for:</w:t>
      </w:r>
    </w:p>
    <w:p>
      <w:pPr>
        <w:pStyle w:val="ListBullet"/>
      </w:pPr>
      <w:r>
        <w:t>Absolute electron density predictions without matching the operating mode</w:t>
      </w:r>
    </w:p>
    <w:p>
      <w:pPr>
        <w:pStyle w:val="ListBullet"/>
      </w:pPr>
      <w:r>
        <w:t>Electron temperature at very low mass flows (&lt; 0.3 sccm) or very high power</w:t>
      </w:r>
    </w:p>
    <w:p>
      <w:pPr>
        <w:pStyle w:val="ListBullet"/>
      </w:pPr>
      <w:r>
        <w:t>Gas temperature comparisons with models that assume fixed Tg</w:t>
      </w:r>
    </w:p>
    <w:p>
      <w:r>
        <w:br w:type="page"/>
      </w:r>
    </w:p>
    <w:p>
      <w:pPr>
        <w:pStyle w:val="Heading1"/>
      </w:pPr>
      <w:r>
        <w:rPr>
          <w:color w:val="1B1B3A"/>
        </w:rPr>
        <w:t>Key Takeaways</w:t>
      </w:r>
    </w:p>
    <w:p>
      <w:pPr>
        <w:ind w:left="567" w:right="567"/>
      </w:pPr>
    </w:p>
    <w:p>
      <w:pPr>
        <w:pStyle w:val="ListBullet"/>
      </w:pPr>
      <w:r>
        <w:t>The model is validated against the experimentally benchmarked Dietz et al. (2021) RIT-4 reference and shows excellent agreement for the KK/RIT-4 geometry class.</w:t>
      </w:r>
    </w:p>
    <w:p>
      <w:pPr>
        <w:pStyle w:val="ListBullet"/>
      </w:pPr>
      <w:r>
        <w:t>Electron temperature Te = 3.7 to 5.2 eV is within 0.4 eV of the Dietz 0D model and close to the 2D/3D values for this compact geometry.</w:t>
      </w:r>
    </w:p>
    <w:p>
      <w:pPr>
        <w:pStyle w:val="ListBullet"/>
      </w:pPr>
      <w:r>
        <w:t>The earlier Te discrepancy against Chabert (2012) was geometry-specific, not a model defect. Small chambers inherently produce higher Te due to larger Aeff/V ratios.</w:t>
      </w:r>
    </w:p>
    <w:p>
      <w:pPr>
        <w:pStyle w:val="ListBullet"/>
      </w:pPr>
      <w:r>
        <w:t>Neutral gas density ng agrees to within 15% across the full operating range.</w:t>
      </w:r>
    </w:p>
    <w:p>
      <w:pPr>
        <w:pStyle w:val="ListBullet"/>
      </w:pPr>
      <w:r>
        <w:t>The model is production-ready for parametric design studies and operating-mode analysis of RF ion thrusters in the 4 cm class.</w:t>
      </w:r>
    </w:p>
    <w:p>
      <w:pPr>
        <w:pStyle w:val="Heading2"/>
      </w:pPr>
      <w:r>
        <w:rPr>
          <w:color w:val="1B1B3A"/>
        </w:rPr>
        <w:t>References</w:t>
      </w:r>
    </w:p>
    <w:p>
      <w:pPr>
        <w:spacing w:after="120"/>
      </w:pPr>
      <w:r>
        <w:t>[1] P. Chabert, J. Arancibia Monreal, J. Bredin, L. Popelier, A. Aanesland, "Global model of a gridded-ion thruster powered by a radiofrequency inductive coil," Phys. Plasmas 19, 073512 (2012).</w:t>
      </w:r>
    </w:p>
    <w:p>
      <w:pPr>
        <w:spacing w:after="120"/>
      </w:pPr>
      <w:r>
        <w:t>[2] P. Dietz, A. Reeh, K. Keil, K. Holste, U. Probst, C. Volkmar, P. J. Klar, "Global models for radio-frequency ion thrusters," EPJ Techniques and Instrumentation 8:10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