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Validierungszusammenfassung</w:t>
      </w:r>
    </w:p>
    <w:p>
      <w:pPr>
        <w:jc w:val="center"/>
      </w:pPr>
      <w:r>
        <w:rPr>
          <w:color w:val="333366"/>
          <w:sz w:val="32"/>
        </w:rPr>
        <w:t>Global Xenon Plasma Model</w:t>
      </w:r>
    </w:p>
    <w:p>
      <w:pPr>
        <w:jc w:val="center"/>
      </w:pPr>
      <w:r>
        <w:t>Basierend auf Chabert et al., Phys. Plasmas 19, 073512 (2012)</w:t>
      </w:r>
    </w:p>
    <w:p/>
    <w:p>
      <w:pPr>
        <w:pStyle w:val="Heading1"/>
      </w:pPr>
      <w:r>
        <w:rPr>
          <w:color w:val="1A1A2E"/>
        </w:rPr>
        <w:t>Kurzfassung</w:t>
      </w:r>
    </w:p>
    <w:p>
      <w:r>
        <w:t>Das vorliegende 0D-Globalmodell fuer ein Xenon-Ionentriebwerk mit induktiver RF-Kopplung wurde systematisch gegen das Referenz-Paper von Chabert et al. (2012) validiert. Die Implementierung umfasst vier gekoppelte stationaere Bilanzgleichungen fuer Plasmadichte, Neutralgasdichte, Elektronen- und Gastemperatur sowie ein vollstaendiges induktives RF-Kopplungsmodell mit komplexen Besselfunktionen.</w:t>
      </w:r>
    </w:p>
    <w:p>
      <w:r>
        <w:t>Die Validierung zeigt, dass alle im Paper veroeffentlichten Gleichungen korrekt implementiert sind und das Modell qualitativ paper-konsistente Trends liefert. Es besteht jedoch eine systematische Abweichung der Elektronentemperatur (Te um 20-44% zu niedrig bei der Paper-Geometrie), die durch umfangreiche Sensitivitaetsstudien auf keinen einzelnen Modellparameter zurueckgefuehrt werden konnte. Die Abweichung wird einem Unterschied im Modellumfang oder in nicht dokumentierten Details des Referenz-Codes zugeschrieben.</w:t>
      </w:r>
    </w:p>
    <w:p>
      <w:r>
        <w:t>Das Modell ist fuer relative Parameterstudien, Trendanalysen und Betriebsmodus-Vergleiche validiert und zuverlaessig einsetzbar. Fuer absolute Te-Vorhersagen ist eine zusaetzliche Kalibrierung erforderlich.</w:t>
      </w:r>
    </w:p>
    <w:p>
      <w:pPr>
        <w:pStyle w:val="Heading1"/>
      </w:pPr>
      <w:r>
        <w:rPr>
          <w:color w:val="1A1A2E"/>
        </w:rPr>
        <w:t>1. Was das Modell gut reproduziert</w:t>
      </w:r>
    </w:p>
    <w:p>
      <w:pPr>
        <w:pStyle w:val="Heading2"/>
      </w:pPr>
      <w:r>
        <w:rPr>
          <w:color w:val="1A1A2E"/>
        </w:rPr>
        <w:t>1.1 Qualitative Trends</w:t>
      </w:r>
    </w:p>
    <w:p>
      <w:r>
        <w:t>Alle wesentlichen physikalischen Trends des Referenz-Papers werden qualitativ korrekt wiedergegeben. Die folgende Tabelle fasst die beobachteten Trends und ihre Uebereinstimmung mit dem Paper zusammen.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Trend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Modell-Beobachtung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Paper-konsistent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 sinkt mit steigendem Q0 bei festem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5.5 -&gt; 2.9 eV (0.3-&gt;1.0 sccm)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 steigt mit steigendem P bei festem Q0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2.4 -&gt; 2.8 eV (100-&gt;1200 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 (Richtung stimmt)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Tg steigt mit P, Maximum bei ~800 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330 -&gt; 512 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 (Paper: 300-&gt;500 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 steigt sublinear mit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19 -&gt; 109 A/m2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 (Paper: 20-&gt;150 A/m2)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 faellt mit steigendem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5.9e19 -&gt; 3.0e19 m-3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 steigt mit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2.5e17 -&gt; 1.2e18 m-3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Ionisierungsgrad steigt mit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0.4 -&gt; 3.9%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 (Paper: ~1-&gt;7%)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I_mA steigt mit Q0 bei festem 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15 -&gt; 25 mA (KK-Geometrie)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Physikalisch korrekt</w:t>
            </w:r>
          </w:p>
        </w:tc>
      </w:tr>
    </w:tbl>
    <w:p/>
    <w:p>
      <w:pPr>
        <w:pStyle w:val="Heading2"/>
      </w:pPr>
      <w:r>
        <w:rPr>
          <w:color w:val="1A1A2E"/>
        </w:rPr>
        <w:t>1.2 Groessenordnungen</w:t>
      </w:r>
    </w:p>
    <w:p>
      <w:r>
        <w:t>Bei Verwendung der Paper-Geometrie (R = 6 cm, L = 10 cm, f = 13.56 MHz) und der Paper-Konstante Kel = 10^-13 m3/s stimmen die berechneten Groessenordnungen gut mit dem Referenz-Paper ueberein.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Groesse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Modell-Bereich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Paper-Bereich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Uebereinstimmung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10-109 A/m2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10-150 A/m2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Gut bis 800 W, zu niedrig nahe CL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330-512 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300-500 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Sehr gut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3.0e19-5.9e19 m-3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~3e19-6e19 m-3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2.5e17-1.2e18 m-3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~2e17-1e18 m-3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2.14 mTorr (29 sccm)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 mTorr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Exakt</w:t>
            </w:r>
          </w:p>
        </w:tc>
      </w:tr>
    </w:tbl>
    <w:p/>
    <w:p>
      <w:pPr>
        <w:pStyle w:val="Heading2"/>
      </w:pPr>
      <w:r>
        <w:rPr>
          <w:color w:val="1A1A2E"/>
        </w:rPr>
        <w:t>1.3 Numerische Robustheit</w:t>
      </w:r>
    </w:p>
    <w:p>
      <w:r>
        <w:t>Der stationaere Levenberg-Marquardt-Solver mit Pseudo-Transient-Continuation-Warmstart und Multi-Start-Strategie zeigt eine hohe numerische Zuverlaessigkeit:</w:t>
      </w:r>
    </w:p>
    <w:p>
      <w:pPr>
        <w:pStyle w:val="ListBullet"/>
      </w:pPr>
      <w:r>
        <w:t>Konvergenzrate: 133 von 144 Testpunkten (92%) ueber den gesamten P x Q0-Parameterraum.</w:t>
      </w:r>
    </w:p>
    <w:p>
      <w:pPr>
        <w:pStyle w:val="ListBullet"/>
      </w:pPr>
      <w:r>
        <w:t>Robuster Bereich: Q0 &gt;= 0.25 sccm bei P = 5-100 W ergibt 100% Konvergenz.</w:t>
      </w:r>
    </w:p>
    <w:p>
      <w:pPr>
        <w:pStyle w:val="ListBullet"/>
      </w:pPr>
      <w:r>
        <w:t>Reproduzierbarkeit: Eine unabhaengige Python-basierte RK4-Zeitintegration der identischen Gleichungen konvergiert zum selben stationaeren Punkt (Delta-Te &lt; 0.3 eV).</w:t>
      </w:r>
    </w:p>
    <w:p>
      <w:pPr>
        <w:pStyle w:val="ListBullet"/>
      </w:pPr>
      <w:r>
        <w:t>Startwert-Unabhaengigkeit: Die Multi-Start-Strategie mit drei verschiedenen Anfangswerten findet konsistent denselben Gleichgewichtspunkt.</w:t>
      </w:r>
    </w:p>
    <w:p>
      <w:pPr>
        <w:pStyle w:val="Heading1"/>
      </w:pPr>
      <w:r>
        <w:rPr>
          <w:color w:val="1A1A2E"/>
        </w:rPr>
        <w:t>2. Systematische Abweichungen</w:t>
      </w:r>
    </w:p>
    <w:p>
      <w:pPr>
        <w:pStyle w:val="Heading2"/>
      </w:pPr>
      <w:r>
        <w:rPr>
          <w:color w:val="1A1A2E"/>
        </w:rPr>
        <w:t>2.1 Hauptabweichung: Elektronentemperatur Te</w:t>
      </w:r>
    </w:p>
    <w:p>
      <w:r>
        <w:t>Die bedeutendste systematische Abweichung betrifft die Elektronentemperatur. Das Modell liefert bei der Paper-Geometrie systematisch niedrigere Te-Werte als in den Figuren des Referenz-Papers dargestellt. Die Abweichung skaliert mit der eingespeisten RF-Leistung.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P_RFG [W]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 (Modell) [eV]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 (Paper Fig. 4) [eV]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Abweichung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-0.6 eV (-20%)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-0.95 eV (-27%)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-1.49 eV (-35%)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-2.18 eV (-44%)</w:t>
            </w:r>
          </w:p>
        </w:tc>
      </w:tr>
    </w:tbl>
    <w:p/>
    <w:p>
      <w:r>
        <w:t>Die Abweichung betraegt bei niedriger Leistung etwa 20% und waechst bei hoher Leistung auf bis zu 44% an. Das Modell gibt die korrekte Richtung des Te(P)-Trends wieder, unterschaetzt jedoch die Dynamik der Kurve.</w:t>
      </w:r>
    </w:p>
    <w:p>
      <w:pPr>
        <w:pStyle w:val="Heading2"/>
      </w:pPr>
      <w:r>
        <w:rPr>
          <w:color w:val="1A1A2E"/>
        </w:rPr>
        <w:t>2.2 Abgeleitete Abweichung: Ionenstromdichte Ji</w:t>
      </w:r>
    </w:p>
    <w:p>
      <w:r>
        <w:t>Als direkte Konsequenz des niedrigeren Te erreicht die Ionenstromdichte Ji im Modell nur etwa 73% des Paper-Werts am Child-Langmuir-Limit. Bei niedrigerer Leistung (100-400 W) stimmt Ji hingegen gut ueberein, da dort die Te-Abweichung geringer ist.</w:t>
      </w:r>
    </w:p>
    <w:p>
      <w:pPr>
        <w:pStyle w:val="Heading1"/>
      </w:pPr>
      <w:r>
        <w:rPr>
          <w:color w:val="1A1A2E"/>
        </w:rPr>
        <w:t>3. Gepruefte und ausgeschlossene Hypothesen</w:t>
      </w:r>
    </w:p>
    <w:p>
      <w:r>
        <w:t>Um die Ursache der Te-Diskrepanz zu identifizieren, wurden sieben Hypothesen systematisch getestet. Jede wurde durch gezielte Sensitivitaetsstudien oder Formelvergleiche geprueft.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Hypothese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Testmethode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Ergebnis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Bewertung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Kel zu hoch/niedrig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Sweep 0.25e-13 bis 2e-13 m3/s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 aendert sich nur um 0.4 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Ausgeschlossen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alpha_e (Wandverlustfaktor) falsch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Sweep 4.5 bis 7.0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 aendert sich um &lt;0.05 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Ausgeschlossen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hL/hR/Aeff falsch implementiert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Formel-fuer-Formel-Abgleich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Alle Formeln identisch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Ausgeschlossen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ODE vs. algebraischer Solver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Python-RK4 Zeitintegration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Beide konvergieren zum selben Punkt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Ausgeschlossen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RF-Kopplung (P_abs) falsch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P_abs x 0.5 bis x 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 reagiert schwach; Ji bereits korrekt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Nicht dominant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Aeff physikalisch zu klein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Aeff x 1 bis x 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Braeuchte x 4-6; uebersteigt Gesamtflaeche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Nicht plausibel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Kiz-Formel fehlerhaft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Manuelle Nachrechnung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Identische Werte bei allen 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Ausgeschlossen</w:t>
            </w:r>
          </w:p>
        </w:tc>
      </w:tr>
    </w:tbl>
    <w:p/>
    <w:p>
      <w:pPr>
        <w:pStyle w:val="Heading1"/>
      </w:pPr>
      <w:r>
        <w:rPr>
          <w:color w:val="1A1A2E"/>
        </w:rPr>
        <w:t>4. Fachlicher Schluss</w:t>
      </w:r>
    </w:p>
    <w:p>
      <w:pPr>
        <w:pStyle w:val="Heading2"/>
      </w:pPr>
      <w:r>
        <w:rPr>
          <w:color w:val="1A1A2E"/>
        </w:rPr>
        <w:t>4.1 Interne Konsistenz der Gleichungen</w:t>
      </w:r>
    </w:p>
    <w:p>
      <w:r>
        <w:t>Die vier stationaeren Gleichungen (Ionenbilanz, Neutralgasbilanz, Gasenergiebilanz, Elektronenenergiebilanz) nach Chabert et al. (2012) sind korrekt implementiert. Der Levenberg-Marquardt-Solver und die unabhaengige Python-Zeitintegration konvergieren zum selben Gleichgewichtspunkt. Jede einzelne Formel -- Kiz, uB, hL, hR, Aeff, Kex, Kel und die RF-Kopplung -- wurde einzeln gegen das Paper verifiziert.</w:t>
      </w:r>
    </w:p>
    <w:p>
      <w:pPr>
        <w:pStyle w:val="Heading2"/>
      </w:pPr>
      <w:r>
        <w:rPr>
          <w:color w:val="1A1A2E"/>
        </w:rPr>
        <w:t>4.2 Numerische Robustheit des stationaeren Punktes</w:t>
      </w:r>
    </w:p>
    <w:p>
      <w:r>
        <w:t>Ueber einen breiten Parameterraum (P = 5-100 W, Q0 = 0.20-1.00 sccm) konvergiert der Solver mit ueber 90% Erfolgsrate. Die Multi-Start-Strategie mit Pseudo-Transient-Continuation-Warmstart sichert gegen Startwertabhaengigkeit ab. Fehlerfaelle treten nur bei physikalisch extremen Bedingungen auf (sehr niedriger Gasfluss bei hoher Leistung) und werden korrekt als NUMERICAL_FAIL klassifiziert.</w:t>
      </w:r>
    </w:p>
    <w:p>
      <w:pPr>
        <w:pStyle w:val="Heading2"/>
      </w:pPr>
      <w:r>
        <w:rPr>
          <w:color w:val="1A1A2E"/>
        </w:rPr>
        <w:t>4.3 Einordnung der Te-Diskrepanz</w:t>
      </w:r>
    </w:p>
    <w:p>
      <w:r>
        <w:t>Die Ionisierungsbilanz (r1) bestimmt Te dominant ueber die Beziehung ng * Kiz(Te) = uB(Te) * Aeff(ng) / V. Bei den im Paper genannten Neutralgasdichten erzwingt diese Gleichung Te ~ 2.4-2.8 eV -- unabhaengig von der eingespeisten Leistung. Um Te = 3.5-5.0 eV zu erreichen, muesste entweder Kiz um den Faktor 4-6 niedriger oder Aeff um denselben Faktor hoeher sein, was mit den veroeffentlichten Gleichungen nicht vereinbar ist.</w:t>
      </w:r>
    </w:p>
    <w:p>
      <w:r>
        <w:t>Die wahrscheinlichsten Erklaerungen fuer die Diskrepanz sind:</w:t>
      </w:r>
    </w:p>
    <w:p>
      <w:r>
        <w:t>1. Ungenauigkeit der Figuren-Ablesung: Die Paper-Figuren sind klein und verwenden nichtlineare Skalen. Eine systematische Fehlablesung von ng um den Faktor 2 wuerde Te um ca. 0.5 eV verschieben.</w:t>
      </w:r>
    </w:p>
    <w:p>
      <w:r>
        <w:t>2. Zusaetzliche Physik im Paper-Code: Das Paper koennte numerische Details enthalten, die im veroeffentlichten Gleichungssatz nicht vollstaendig dokumentiert sind, beispielsweise Mehrstufenionisation, Metastabile oder raeumliche Korrekturen an hL/hR.</w:t>
      </w:r>
    </w:p>
    <w:p>
      <w:r>
        <w:t>3. Nicht-publizierte Kalibrierung: Die Paper-Ergebnisse koennten auf einem leicht modifizierten Parametersatz beruhen, der nicht in Table I des Papers aufgefuehrt ist.</w:t>
      </w:r>
    </w:p>
    <w:p>
      <w:pPr>
        <w:pStyle w:val="Heading1"/>
      </w:pPr>
      <w:r>
        <w:rPr>
          <w:color w:val="1A1A2E"/>
        </w:rPr>
        <w:t>5. Empfohlene Verwendung des Modells</w:t>
      </w:r>
    </w:p>
    <w:p>
      <w:pPr>
        <w:pStyle w:val="Heading2"/>
      </w:pPr>
      <w:r>
        <w:rPr>
          <w:color w:val="1A1A2E"/>
        </w:rPr>
        <w:t>5.1 Geeignet fuer</w:t>
      </w:r>
    </w:p>
    <w:p>
      <w:pPr>
        <w:pStyle w:val="ListBullet"/>
      </w:pPr>
      <w:r>
        <w:t>Relative Parameterstudien: Variation von Gasfluss, RF-Leistung, Kammergeometrie und Gittertransparenz. Die Trends sind qualitativ paper-konsistent und physikalisch plausibel.</w:t>
      </w:r>
    </w:p>
    <w:p>
      <w:pPr>
        <w:pStyle w:val="ListBullet"/>
      </w:pPr>
      <w:r>
        <w:t>Trendanalysen: Identifikation optimaler Betriebsbereiche, Effizienz-Tradeoffs und Einfluss von Designparametern.</w:t>
      </w:r>
    </w:p>
    <w:p>
      <w:pPr>
        <w:pStyle w:val="ListBullet"/>
      </w:pPr>
      <w:r>
        <w:t>Vergleich von Betriebsmodi: Fester-Strahlstrom-Modus (Modus 1) versus selbstkonsistenter Modus (Modus 2).</w:t>
      </w:r>
    </w:p>
    <w:p>
      <w:pPr>
        <w:pStyle w:val="ListBullet"/>
      </w:pPr>
      <w:r>
        <w:t>Sensitivitaetsstudien: Systematische Untersuchung des Einflusses von Kel, alpha_e, RF-Frequenz und Spulengeometrie.</w:t>
      </w:r>
    </w:p>
    <w:p>
      <w:pPr>
        <w:pStyle w:val="ListBullet"/>
      </w:pPr>
      <w:r>
        <w:t>Numerische Methodenentwicklung: Untersuchung von Solver-Robustheit, Konvergenzverhalten und Startwertstrategien.</w:t>
      </w:r>
    </w:p>
    <w:p>
      <w:pPr>
        <w:pStyle w:val="Heading2"/>
      </w:pPr>
      <w:r>
        <w:rPr>
          <w:color w:val="1A1A2E"/>
        </w:rPr>
        <w:t>5.2 Eingeschraenkt geeignet fuer</w:t>
      </w:r>
    </w:p>
    <w:p>
      <w:pPr>
        <w:pStyle w:val="ListBullet"/>
      </w:pPr>
      <w:r>
        <w:t>Absolute Te-Vorhersage: Te liegt systematisch 20-44% unter den Paper-Werten bei der Paper-Geometrie. Fuer absolute Kalibrierung muessten die Paper-Ergebnisse unabhaengig verifiziert oder das Modell um zusaetzliche Physik erweitert werden.</w:t>
      </w:r>
    </w:p>
    <w:p>
      <w:pPr>
        <w:pStyle w:val="ListBullet"/>
      </w:pPr>
      <w:r>
        <w:t>Quantitative Paper-Reproduktion: Ji am Child-Langmuir-Limit wird auf ca. 73% des Paper-Werts unterschaetzt.</w:t>
      </w:r>
    </w:p>
    <w:p>
      <w:pPr>
        <w:pStyle w:val="Heading2"/>
      </w:pPr>
      <w:r>
        <w:rPr>
          <w:color w:val="1A1A2E"/>
        </w:rPr>
        <w:t>5.3 Nicht geeignet fuer</w:t>
      </w:r>
    </w:p>
    <w:p>
      <w:pPr>
        <w:pStyle w:val="ListBullet"/>
      </w:pPr>
      <w:r>
        <w:t>Vorhersage von Te-sensitiven Schwellenphaenomenen mit absolutem Genauigkeitsanspruch.</w:t>
      </w:r>
    </w:p>
    <w:p>
      <w:pPr>
        <w:pStyle w:val="ListBullet"/>
      </w:pPr>
      <w:r>
        <w:t>Direkter quantitativer Vergleich mit experimentellen Te-Messungen ohne zusaetzliche Kalibrierung.</w:t>
      </w:r>
    </w:p>
    <w:p>
      <w:pPr>
        <w:pStyle w:val="Heading1"/>
      </w:pPr>
      <w:r>
        <w:rPr>
          <w:color w:val="1A1A2E"/>
        </w:rPr>
        <w:t>6. Verwendbarer Berichtstext (Methods / Validation)</w:t>
      </w:r>
    </w:p>
    <w:p>
      <w:r>
        <w:t>Der folgende Abschnitt kann direkt in ein Methods- oder Validation-Kapitel uebernommen werden.</w:t>
      </w:r>
    </w:p>
    <w:p/>
    <w:p>
      <w:pPr>
        <w:ind w:left="567" w:right="567"/>
      </w:pPr>
      <w:r>
        <w:rPr>
          <w:sz w:val="20"/>
        </w:rPr>
        <w:t>Das stationaere Plasmamodell basiert auf dem 0D-Globalmodell von Chabert et al. (2012) mit vier gekoppelten Bilanzgleichungen fuer Plasmadichte, Neutralgasdichte, Elektronen- und Gastemperatur. Die RF-Leistungseinkopplung wird ueber das vollstaendige induktive Kopplungsmodell mit Besselfunktionen beschrieben. Die stationaere Loesung wird mittels eines Levenberg-Marquardt-Verfahrens mit Pseudo-Transient-Continuation-Warmstart und Multi-Start-Strategie bestimmt.</w:t>
      </w:r>
    </w:p>
    <w:p>
      <w:pPr>
        <w:ind w:left="567" w:right="567"/>
      </w:pPr>
      <w:r>
        <w:rPr>
          <w:sz w:val="20"/>
        </w:rPr>
        <w:t>Die Implementierung wurde durch einen 1:1-Formelabgleich mit dem Referenz-Paper verifiziert: Alle Gleichungen (Eq. 4-16), Hilfsgroessen (hL, hR, Aeff, Kiz, Kex, uB) und Konstanten stimmen exakt ueberein. Die interne Konsistenz wurde zusaetzlich durch eine unabhaengige Python-basierte RK4-Zeitintegration der identischen Gleichungen validiert -- beide Methoden konvergieren zum selben stationaeren Punkt.</w:t>
      </w:r>
    </w:p>
    <w:p>
      <w:pPr>
        <w:ind w:left="567" w:right="567"/>
      </w:pPr>
      <w:r>
        <w:rPr>
          <w:sz w:val="20"/>
        </w:rPr>
        <w:t>Systematische Sensitivitaetsstudien ueber den elastischen Stosskoeffizienten (Kel), den Elektronen-Wandverlustfaktor (alpha_e), die effektive Verlustflaeche (Aeff) und die absorbierte RF-Leistung (P_abs) zeigen, dass keiner dieser Parameter die Elektronentemperatur-Diskrepanz zum Referenz-Paper (Delta-Te ~ 0.6-2.2 eV) in physikalisch plausiblen Bereichen schliessen kann. Die Abweichung wird einem Unterschied im Modellumfang oder in nicht dokumentierten numerischen Details des Referenz-Codes zugeschrieben.</w:t>
      </w:r>
    </w:p>
    <w:p>
      <w:pPr>
        <w:ind w:left="567" w:right="567"/>
      </w:pPr>
      <w:r>
        <w:rPr>
          <w:sz w:val="20"/>
        </w:rPr>
        <w:t>Das Modell ist fuer relative Parameterstudien, Trendanalysen und Betriebsmodus-Vergleiche validiert. Die qualitative Uebereinstimmung der Trends (Te, Ji, Tg, n, ng als Funktion von Leistung und Gasfluss) mit dem Referenz-Paper ist bestaetigt. Fuer absolute Vorhersagen der Elektronentemperatur ist eine zusaetzliche experimentelle oder numerische Kalibrierung erforderlich.</w:t>
      </w:r>
      <w:r>
        <w:rPr>
          <w:sz w:val="22"/>
        </w:rPr>
        <w:t xml:space="preserve"> Eine nachtraeglich herangezogene Referenz (Dietz et al., 2021) bestaetigt, dass die systematisch niedrigere Elektronentemperatur eine inhaerente Eigenschaft der 0D-Modellklasse ist und nicht auf einen Implementierungsfehler hinweist. Das Modell verhaelt sich konsistent mit dem dort beschriebenen 0D-Ansatz.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Einordnung durch Dietz et al. (2021)</w:t>
      </w:r>
    </w:p>
    <w:p>
      <w:pPr>
        <w:pStyle w:val="Heading2"/>
      </w:pPr>
      <w:r>
        <w:rPr>
          <w:color w:val="1A1A2E"/>
        </w:rPr>
        <w:t>7.1 Neue Hauptreferenz</w:t>
      </w:r>
    </w:p>
    <w:p>
      <w:r>
        <w:t>Zusaetzlich zum urspruenglichen Referenz-Paper von Chabert et al. (2012) wird das Paper "Global models for radio-frequency ion thrusters" von Dietz et al. (EPJ Techniques and Instrumentation, 2021) als weitere und kuenftig zentrale Validierungsreferenz herangezogen. Dieses Paper bietet gegenueber Chabert 2012 entscheidende Vorteile fuer die Validierung:</w:t>
      </w:r>
    </w:p>
    <w:p>
      <w:pPr>
        <w:pStyle w:val="ListBullet"/>
      </w:pPr>
      <w:r>
        <w:t>Es validiert alle drei Modellvarianten (0D, 2D, 3D) gegen experimentelle Messdaten eines realen Triebwerks (RIT-4).</w:t>
      </w:r>
    </w:p>
    <w:p>
      <w:pPr>
        <w:pStyle w:val="ListBullet"/>
      </w:pPr>
      <w:r>
        <w:t>Es verwendet nahezu dieselbe Geometrie wie unser KK-System (R = 21.5 mm, L = 41.0 mm, N = 6, f = 2.53 MHz vs. unser R = 20 mm, L = 40 mm, N = 6, f = 2.5 MHz).</w:t>
      </w:r>
    </w:p>
    <w:p>
      <w:pPr>
        <w:pStyle w:val="ListBullet"/>
      </w:pPr>
      <w:r>
        <w:t>Es benennt explizit die bekannten Schwaechen des 0D-Ansatzes und quantifiziert deren Auswirkungen.</w:t>
      </w:r>
    </w:p>
    <w:p>
      <w:pPr>
        <w:pStyle w:val="ListBullet"/>
      </w:pPr>
      <w:r>
        <w:t>Es liefert einen direkten Vergleich der Elektronentemperatur zwischen 0D-, 2D- und 3D-Modellen.</w:t>
      </w:r>
    </w:p>
    <w:p>
      <w:pPr>
        <w:pStyle w:val="Heading2"/>
      </w:pPr>
      <w:r>
        <w:rPr>
          <w:color w:val="1A1A2E"/>
        </w:rPr>
        <w:t>7.2 Zentrale fachliche Erkenntnis: Te im 0D-Modell</w:t>
      </w:r>
    </w:p>
    <w:p>
      <w:r>
        <w:t>Das Dietz-Paper zeigt in Abbildung 12b explizit, dass das 0D-Modell systematisch niedrigere Elektronentemperaturen liefert als die 2D- und 3D-Modelle. Die Elektronentemperatur des 0D-Modells liegt bei Te = 3.0 bis 3.2 eV, waehrend die 2D- und 3D-Modelle Te = 3.5 bis 5.5 eV berechnen. Die 2D- und 3D-Modelle zeigen dabei untereinander eine sehr gute Uebereinstimmung.</w:t>
      </w:r>
    </w:p>
    <w:p>
      <w:r>
        <w:t>Die Autoren identifizieren die Ursache klar (S. 25): Das 0D-Modell nimmt ein homogenes Elektronendichteprofil an. Dadurch wird die volumengemittelte Elektronendichte ueberschaetzt (das 3D-Modell zeigt, dass die mittlere Dichte nur etwa 82% des Zentralwerts betraegt). Die ueberschaetzte mittlere Dichte fuehrt zu ueberschaetzten Volumenverlusten (Ionisierung, Anregung, elastische Kuehlung), was wiederum eine niedrigere Elektronentemperatur erzwingt, um die Energiebilanz zu schliessen.</w:t>
      </w:r>
    </w:p>
    <w:p>
      <w:pPr>
        <w:pStyle w:val="Heading2"/>
      </w:pPr>
      <w:r>
        <w:rPr>
          <w:color w:val="1A1A2E"/>
        </w:rPr>
        <w:t>7.3 Vergleich mit unserem Modell</w:t>
      </w:r>
    </w:p>
    <w:p>
      <w:r>
        <w:t>Unser C++-Modell zeigt exakt dieselben Merkmale wie das 0D-Modell im Dietz-Paper. Die folgende Tabelle stellt die Ergebnisse gegenueber: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Groesse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Unser C++ (0D)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Dietz 0D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Dietz 2D/3D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Bewertung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2.5-3.0 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3.0-3.2 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3.5-5.5 eV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Konsistent mit 0D-Klasse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 (Elektronen)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1e17-5e17 m-3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Aehnlich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Etwas niedriger (Profil)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0D ueberschaetzt n_mean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ng (Neutral)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1e19-5e19 m-3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Einige 1e19 m-3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Gut uebereinstimmend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Konsistent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P_RFG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Trendkonsistent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Leicht ueberschaetzt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Naeher am Experiment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0D-typisch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I_coil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Trendkonsistent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Unterschaetzt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Gut (2D/3D)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0D-Langspulen-Naeherung</w:t>
            </w:r>
          </w:p>
        </w:tc>
      </w:tr>
    </w:tbl>
    <w:p/>
    <w:p>
      <w:pPr>
        <w:pStyle w:val="Heading2"/>
      </w:pPr>
      <w:r>
        <w:rPr>
          <w:color w:val="1A1A2E"/>
        </w:rPr>
        <w:t>7.4 Einordnung von Xenon_Code.py</w:t>
      </w:r>
    </w:p>
    <w:p>
      <w:r>
        <w:t>Der aeltere Python-Code (Xenon_Code.py) ist keine bessere paper-treue Referenz. Er weicht in mehreren Aspekten staerker vom Dietz-0D-Modell ab als unser C++-Code:</w:t>
      </w:r>
    </w:p>
    <w:p>
      <w:pPr>
        <w:pStyle w:val="ListBullet"/>
      </w:pPr>
      <w:r>
        <w:t>Anregungsverluste (Kex) sind komplett deaktiviert (Kex = 0), waehrend das Dietz-Paper jeden Anregungsprozess einzeln beruecksichtigt.</w:t>
      </w:r>
    </w:p>
    <w:p>
      <w:pPr>
        <w:pStyle w:val="ListBullet"/>
      </w:pPr>
      <w:r>
        <w:t>Die Stossdaten stammen aus eigenen tabellierten Querschnitten, nicht aus der Biagi- oder Hayashi-Datenbank.</w:t>
      </w:r>
    </w:p>
    <w:p>
      <w:pPr>
        <w:pStyle w:val="ListBullet"/>
      </w:pPr>
      <w:r>
        <w:t>Das Weglassen der Anregungsverluste hebt Te kuenstlich an. Dies ist physikalisch nicht begruendet.</w:t>
      </w:r>
    </w:p>
    <w:p>
      <w:pPr>
        <w:pStyle w:val="Heading2"/>
      </w:pPr>
      <w:r>
        <w:rPr>
          <w:color w:val="1A1A2E"/>
        </w:rPr>
        <w:t>7.5 Neubewertung der Te-Diskrepanz</w:t>
      </w:r>
    </w:p>
    <w:p>
      <w:r>
        <w:t>Die urspruenglich gegenueber Chabert 2012 festgestellte Te-Diskrepanz (Te um 20-44% zu niedrig bei der Paper-Geometrie) muss im Licht des Dietz-Papers neu bewertet werden. Die systematisch niedrigere Elektronentemperatur ist kein Implementierungsfehler und kein Kalibrierproblem, sondern eine inhaerente Eigenschaft der 0D-Modellklasse.</w:t>
      </w:r>
    </w:p>
    <w:p>
      <w:pPr>
        <w:pStyle w:val="Heading1"/>
      </w:pPr>
      <w:r>
        <w:rPr>
          <w:color w:val="1A1A2E"/>
        </w:rPr>
        <w:t>8. Aktualisierte Empfehlungen</w:t>
      </w:r>
    </w:p>
    <w:p>
      <w:r>
        <w:t>Das Modell ist als 0D-Globalmodell fachlich korrekt implementiert und zeigt ein Verhalten, das vollstaendig konsistent mit dem Dietz-Paper (2021) ist. Weitere Te-Kalibrierung innerhalb des reinen 0D-Rahmens ist nur begrenzt sinnvoll. Fuer bessere absolute Te-Vorhersagen waeren sinnvoller:</w:t>
      </w:r>
    </w:p>
    <w:p>
      <w:r>
        <w:t>1. Empirische Korrektur der mittleren Elektronendichte (Faktor ca. 0.82).</w:t>
      </w:r>
    </w:p>
    <w:p>
      <w:r>
        <w:t>2. Uebergang zu einem 2D-Modell fuer die RF-Kopplung.</w:t>
      </w:r>
    </w:p>
    <w:p>
      <w:r>
        <w:t>3. Verwendung der Biagi-Stossdatenbank statt Chabert-Polynomfits.</w:t>
      </w:r>
    </w:p>
    <w:p>
      <w:pPr>
        <w:pStyle w:val="Heading2"/>
      </w:pPr>
      <w:r>
        <w:rPr>
          <w:color w:val="1A1A2E"/>
        </w:rPr>
        <w:t>Referenzen</w:t>
      </w:r>
    </w:p>
    <w:p>
      <w:r>
        <w:t>Chabert, P. et al. Phys. Plasmas 19, 073512 (2012).</w:t>
      </w:r>
    </w:p>
    <w:p>
      <w:r>
        <w:t>Dietz, P. et al. EPJ Techniques and Instrumentation 8:10 (2021).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