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Microsoft YaHei" w:hAnsi="Microsoft YaHei" w:eastAsia="Microsoft YaHei"/>
          <w:b/>
        </w:rPr>
        <w:t>挑战杯应用成果技术交付材料</w:t>
      </w:r>
    </w:p>
    <w:p>
      <w:pPr>
        <w:jc w:val="center"/>
      </w:pPr>
      <w:r>
        <w:rPr>
          <w:rFonts w:ascii="Microsoft YaHei" w:hAnsi="Microsoft YaHei" w:eastAsia="Microsoft YaHei"/>
          <w:b/>
        </w:rPr>
        <w:t>跌倒风险预测系统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技术核心部分交接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供研究报告正文、方法部分和结果边界引用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依据：更新日志 8/28-29 与 0829；Git 提交 7d6646c、b451b04、9b04383、bb9196a；交付材料 V1.2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项目</w:t>
            </w:r>
          </w:p>
        </w:tc>
        <w:tc>
          <w:tcPr>
            <w:tcW w:type="dxa" w:w="4513"/>
          </w:tcPr>
          <w:p>
            <w:r>
              <w:t>内容</w:t>
            </w:r>
          </w:p>
        </w:tc>
      </w:tr>
      <w:tr>
        <w:tc>
          <w:tcPr>
            <w:tcW w:type="dxa" w:w="4513"/>
            <w:vAlign w:val="center"/>
          </w:tcPr>
          <w:p>
            <w:r>
              <w:t>材料用途</w:t>
            </w:r>
          </w:p>
        </w:tc>
        <w:tc>
          <w:tcPr>
            <w:tcW w:type="dxa" w:w="4513"/>
            <w:vAlign w:val="center"/>
          </w:tcPr>
          <w:p>
            <w:r>
              <w:t>从系统设计和功能测试材料中提取可并入研究报告的技术核心</w:t>
            </w:r>
          </w:p>
        </w:tc>
      </w:tr>
      <w:tr>
        <w:tc>
          <w:tcPr>
            <w:tcW w:type="dxa" w:w="4513"/>
            <w:vAlign w:val="center"/>
          </w:tcPr>
          <w:p>
            <w:r>
              <w:t>推荐读者</w:t>
            </w:r>
          </w:p>
        </w:tc>
        <w:tc>
          <w:tcPr>
            <w:tcW w:type="dxa" w:w="4513"/>
            <w:vAlign w:val="center"/>
          </w:tcPr>
          <w:p>
            <w:r>
              <w:t>研究报告撰写人、技术复核人、后续开发人员</w:t>
            </w:r>
          </w:p>
        </w:tc>
      </w:tr>
      <w:tr>
        <w:tc>
          <w:tcPr>
            <w:tcW w:type="dxa" w:w="4513"/>
            <w:vAlign w:val="center"/>
          </w:tcPr>
          <w:p>
            <w:r>
              <w:t>证据原则</w:t>
            </w:r>
          </w:p>
        </w:tc>
        <w:tc>
          <w:tcPr>
            <w:tcW w:type="dxa" w:w="4513"/>
            <w:vAlign w:val="center"/>
          </w:tcPr>
          <w:p>
            <w:r>
              <w:t>代码存在不等于真实运行通过；烟测不等于准确率；工程指数不等于概率</w:t>
            </w:r>
          </w:p>
        </w:tc>
      </w:tr>
    </w:tbl>
    <w:p>
      <w:pPr>
        <w:pStyle w:val="1"/>
      </w:pPr>
      <w:r>
        <w:rPr>
          <w:rFonts w:ascii="Microsoft YaHei" w:hAnsi="Microsoft YaHei" w:eastAsia="Microsoft YaHei"/>
          <w:b w:val="0"/>
        </w:rPr>
        <w:t>1 交接定位与写作边界</w:t>
      </w:r>
    </w:p>
    <w:p>
      <w:pPr/>
      <w:r>
        <w:rPr>
          <w:rFonts w:ascii="Microsoft YaHei" w:hAnsi="Microsoft YaHei" w:eastAsia="Microsoft YaHei"/>
          <w:b w:val="0"/>
        </w:rPr>
        <w:t>本材料将成果拆成“可直接写入研究报告的技术事实”和“必须保留的证据边界”两部分。研究报告可以描述系统架构、特征、风险规则、接口和已完成的工程验证，但不得把通用 COCO 权重写成项目跌倒模型，不得把 30 帧烟测或工程分数写成准确率、临床有效性或校准概率。音频是已接入但仍依赖外部资源和真实场景验证的辅助分支，不纳入当前核心提前预警指标。</w:t>
      </w:r>
    </w:p>
    <w:p>
      <w:pPr>
        <w:pStyle w:val="1"/>
      </w:pPr>
      <w:r>
        <w:rPr>
          <w:rFonts w:ascii="Microsoft YaHei" w:hAnsi="Microsoft YaHei" w:eastAsia="Microsoft YaHei"/>
          <w:b w:val="0"/>
        </w:rPr>
        <w:t>2 系统架构与实时数据流</w:t>
      </w:r>
    </w:p>
    <w:p>
      <w:pPr/>
      <w:r>
        <w:rPr>
          <w:rFonts w:ascii="Microsoft YaHei" w:hAnsi="Microsoft YaHei" w:eastAsia="Microsoft YaHei"/>
          <w:b w:val="0"/>
        </w:rPr>
        <w:t>系统主链从视频流读取帧，经 YOLO26n-Pose 同时得到人体框、关键点和质量状态；主人物由跨帧 IoU、面积和置信度规则稳定选择，其余人体框可叠加显示。YOLO26n 环境检测器把 person 与环境目标分离，环境模型每 3 个处理帧运行一次，结果缓存有效期为 1 秒。有效姿态帧进入步态特征、个体化基线和短期/长期偏离检测；环境目标、照明、障碍、轨迹和交互 provider 同时生成可解释分项，最终以 0–100 工程风险指数融合并通过风险接口和 WebSocket 推送。开发者工具支持本地视频先暂存、再确认开始分析，运行中确认会替换旧监控；上传仅返回不透明 upload_id/source_name，临时文件按受控目录、TTL、取消/失败/自然结束/停止/服务关闭清理，服务器绝对路径不出现在 API 或状态中。分析画面依据首帧真实像素尺寸在 3:4–16:9 内自适应，使用 object-fit: contain 保留视频、人体框、骨架、环境框和轨迹；右侧栏显示综合环境风险与交互风险的一位小数工程分，不可用显示 --。</w:t>
      </w:r>
    </w:p>
    <w:p>
      <w:pPr/>
      <w:r>
        <w:rPr>
          <w:rFonts w:ascii="Microsoft YaHei" w:hAnsi="Microsoft YaHei" w:eastAsia="Microsoft YaHei"/>
          <w:b w:val="0"/>
        </w:rPr>
        <w:t>音频线程可以独立采集麦克风、RTSP/RTMP 或本地文件，使用 PANNs Cnn14 输出 AudioSet 事件并参与辅助告警；音频不可用时，视觉/环境主链继续运行并记录不可用状态。</w:t>
      </w:r>
    </w:p>
    <w:p>
      <w:pPr>
        <w:pStyle w:val="1"/>
      </w:pPr>
      <w:r>
        <w:rPr>
          <w:rFonts w:ascii="Microsoft YaHei" w:hAnsi="Microsoft YaHei" w:eastAsia="Microsoft YaHei"/>
          <w:b w:val="0"/>
        </w:rPr>
        <w:t>3 核心算法与工程规则</w:t>
      </w:r>
    </w:p>
    <w:p>
      <w:pPr/>
      <w:r>
        <w:rPr>
          <w:rFonts w:ascii="Microsoft YaHei" w:hAnsi="Microsoft YaHei" w:eastAsia="Microsoft YaHei"/>
          <w:b w:val="0"/>
        </w:rPr>
        <w:t>步态特征包括行走节拍频率、步幅相对幅度、躯干稳定指数和活动密度。系统按 person_id 采集有效特征形成个人基线；短期偏离使用 5 分钟滑动窗口和马氏距离，长期趋势使用 14 天窗口和特征趋势斜率。基线未就绪时不把异常动作继续写入基线。</w:t>
      </w:r>
    </w:p>
    <w:p>
      <w:pPr/>
      <w:r>
        <w:rPr>
          <w:rFonts w:ascii="Microsoft YaHei" w:hAnsi="Microsoft YaHei" w:eastAsia="Microsoft YaHei"/>
          <w:b w:val="0"/>
        </w:rPr>
        <w:t>环境风险以人物框底边中心作为脚部代理点，综合目标类别权重、置信度、归一化图像距离和脚部通道关系；照明、障碍、因果轨迹和路径交互作为独立 provider。各 provider 的风险指数统一到 0–100 工程尺度，状态可为 LOW、MEDIUM、HIGH 或 UNKNOWN。环境型风险升级连续确认 3 次，降级连续确认 5 次；高危提醒默认 60 秒冷却，原因变化通过 WebSocket 推送。Wet Floor 没有可靠权重时明确输出 UNKNOWN。</w:t>
      </w:r>
    </w:p>
    <w:p>
      <w:pPr>
        <w:pStyle w:val="1"/>
      </w:pPr>
      <w:r>
        <w:rPr>
          <w:rFonts w:ascii="Microsoft YaHei" w:hAnsi="Microsoft YaHei" w:eastAsia="Microsoft YaHei"/>
          <w:b w:val="0"/>
        </w:rPr>
        <w:t>4 接口、数据和页面对应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层面</w:t>
            </w:r>
          </w:p>
        </w:tc>
        <w:tc>
          <w:tcPr>
            <w:tcW w:type="dxa" w:w="3009"/>
          </w:tcPr>
          <w:p>
            <w:r>
              <w:t>核心内容</w:t>
            </w:r>
          </w:p>
        </w:tc>
        <w:tc>
          <w:tcPr>
            <w:tcW w:type="dxa" w:w="3009"/>
          </w:tcPr>
          <w:p>
            <w:r>
              <w:t>研究报告可引用点</w:t>
            </w:r>
          </w:p>
        </w:tc>
      </w:tr>
      <w:tr>
        <w:tc>
          <w:tcPr>
            <w:tcW w:type="dxa" w:w="3009"/>
            <w:vAlign w:val="center"/>
          </w:tcPr>
          <w:p>
            <w:r>
              <w:t>模型</w:t>
            </w:r>
          </w:p>
        </w:tc>
        <w:tc>
          <w:tcPr>
            <w:tcW w:type="dxa" w:w="3009"/>
            <w:vAlign w:val="center"/>
          </w:tcPr>
          <w:p>
            <w:r>
              <w:t>YOLO26n-Pose（pose）与 YOLO26n（detect），均为 COCO 通用预训练</w:t>
            </w:r>
          </w:p>
        </w:tc>
        <w:tc>
          <w:tcPr>
            <w:tcW w:type="dxa" w:w="3009"/>
            <w:vAlign w:val="center"/>
          </w:tcPr>
          <w:p>
            <w:r>
              <w:t>说明姿态和环境目标提取来源，不写成项目最终风险模型</w:t>
            </w:r>
          </w:p>
        </w:tc>
      </w:tr>
      <w:tr>
        <w:tc>
          <w:tcPr>
            <w:tcW w:type="dxa" w:w="3009"/>
            <w:vAlign w:val="center"/>
          </w:tcPr>
          <w:p>
            <w:r>
              <w:t>服务</w:t>
            </w:r>
          </w:p>
        </w:tc>
        <w:tc>
          <w:tcPr>
            <w:tcW w:type="dxa" w:w="3009"/>
            <w:vAlign w:val="center"/>
          </w:tcPr>
          <w:p>
            <w:r>
              <w:t>FastAPI REST、/ws/alerts（告警与 risk_update）、/ws/video、SQLite</w:t>
            </w:r>
          </w:p>
        </w:tc>
        <w:tc>
          <w:tcPr>
            <w:tcW w:type="dxa" w:w="3009"/>
            <w:vAlign w:val="center"/>
          </w:tcPr>
          <w:p>
            <w:r>
              <w:t>说明实时推送、历史风险和告警持久化</w:t>
            </w:r>
          </w:p>
        </w:tc>
      </w:tr>
      <w:tr>
        <w:tc>
          <w:tcPr>
            <w:tcW w:type="dxa" w:w="3009"/>
            <w:vAlign w:val="center"/>
          </w:tcPr>
          <w:p>
            <w:r>
              <w:t>风险接口</w:t>
            </w:r>
          </w:p>
        </w:tc>
        <w:tc>
          <w:tcPr>
            <w:tcW w:type="dxa" w:w="3009"/>
            <w:vAlign w:val="center"/>
          </w:tcPr>
          <w:p>
            <w:r>
              <w:t>`/api/v1/risk/current` 返回 person/motion/environment/risk_extensions/fusion，并保留兼容字段</w:t>
            </w:r>
          </w:p>
        </w:tc>
        <w:tc>
          <w:tcPr>
            <w:tcW w:type="dxa" w:w="3009"/>
            <w:vAlign w:val="center"/>
          </w:tcPr>
          <w:p>
            <w:r>
              <w:t>说明多模态结果的结构化输出</w:t>
            </w:r>
          </w:p>
        </w:tc>
      </w:tr>
      <w:tr>
        <w:tc>
          <w:tcPr>
            <w:tcW w:type="dxa" w:w="3009"/>
            <w:vAlign w:val="center"/>
          </w:tcPr>
          <w:p>
            <w:r>
              <w:t>数据库</w:t>
            </w:r>
          </w:p>
        </w:tc>
        <w:tc>
          <w:tcPr>
            <w:tcW w:type="dxa" w:w="3009"/>
            <w:vAlign w:val="center"/>
          </w:tcPr>
          <w:p>
            <w:r>
              <w:t>风险来源、原始分数、人体/环境/交互分项和 reason_codes</w:t>
            </w:r>
          </w:p>
        </w:tc>
        <w:tc>
          <w:tcPr>
            <w:tcW w:type="dxa" w:w="3009"/>
            <w:vAlign w:val="center"/>
          </w:tcPr>
          <w:p>
            <w:r>
              <w:t>说明结果可追溯、旧记录可兼容展示</w:t>
            </w:r>
          </w:p>
        </w:tc>
      </w:tr>
      <w:tr>
        <w:tc>
          <w:tcPr>
            <w:tcW w:type="dxa" w:w="3009"/>
            <w:vAlign w:val="center"/>
          </w:tcPr>
          <w:p>
            <w:r>
              <w:t>前端</w:t>
            </w:r>
          </w:p>
        </w:tc>
        <w:tc>
          <w:tcPr>
            <w:tcW w:type="dxa" w:w="3009"/>
            <w:vAlign w:val="center"/>
          </w:tcPr>
          <w:p>
            <w:r>
              <w:t>React/Vite/ECharts；双主题、风险仪表盘、趋势图和环境侧栏</w:t>
            </w:r>
          </w:p>
        </w:tc>
        <w:tc>
          <w:tcPr>
            <w:tcW w:type="dxa" w:w="3009"/>
            <w:vAlign w:val="center"/>
          </w:tcPr>
          <w:p>
            <w:r>
              <w:t>说明系统具备可交互的实时展示层</w:t>
            </w:r>
          </w:p>
        </w:tc>
      </w:tr>
      <w:tr>
        <w:tc>
          <w:tcPr>
            <w:tcW w:type="dxa" w:w="3009"/>
            <w:vAlign w:val="center"/>
          </w:tcPr>
          <w:tcPr>
            <w:tcW w:type="dxa" w:w="3009"/>
          </w:tcPr>
          <w:p>
            <w:pPr/>
            <w:r>
              <w:t>开发者视频</w:t>
            </w:r>
          </w:p>
        </w:tc>
        <w:tc>
          <w:tcPr>
            <w:tcW w:type="dxa" w:w="3009"/>
            <w:vAlign w:val="center"/>
          </w:tcPr>
          <w:tcPr>
            <w:tcW w:type="dxa" w:w="3009"/>
          </w:tcPr>
          <w:p>
            <w:pPr/>
            <w:r>
              <w:t>本地视频上传后先暂存，确认后替换监控；五种格式、500 MB 上限、TTL 清理、路径脱敏</w:t>
            </w:r>
          </w:p>
        </w:tc>
        <w:tc>
          <w:tcPr>
            <w:tcW w:type="dxa" w:w="3009"/>
            <w:vAlign w:val="center"/>
          </w:tcPr>
          <w:tcPr>
            <w:tcW w:type="dxa" w:w="3009"/>
          </w:tcPr>
          <w:p>
            <w:pPr/>
            <w:r>
              <w:t>描述可复核的开发者验证工具，不写成真实场景性能</w:t>
            </w:r>
          </w:p>
        </w:tc>
      </w:tr>
      <w:tr>
        <w:tc>
          <w:tcPr>
            <w:tcW w:type="dxa" w:w="3009"/>
            <w:vAlign w:val="center"/>
          </w:tcPr>
          <w:tcPr>
            <w:tcW w:type="dxa" w:w="3009"/>
          </w:tcPr>
          <w:p>
            <w:pPr/>
            <w:r>
              <w:t>显示层</w:t>
            </w:r>
          </w:p>
        </w:tc>
        <w:tc>
          <w:tcPr>
            <w:tcW w:type="dxa" w:w="3009"/>
            <w:vAlign w:val="center"/>
          </w:tcPr>
          <w:tcPr>
            <w:tcW w:type="dxa" w:w="3009"/>
          </w:tcPr>
          <w:p>
            <w:pPr/>
            <w:r>
              <w:t>首帧像素尺寸推导比例并夹在 3:4–16:9；object-fit: contain；环境/交互风险 0–100 一位小数或 --</w:t>
            </w:r>
          </w:p>
        </w:tc>
        <w:tc>
          <w:tcPr>
            <w:tcW w:type="dxa" w:w="3009"/>
            <w:vAlign w:val="center"/>
          </w:tcPr>
          <w:tcPr>
            <w:tcW w:type="dxa" w:w="3009"/>
          </w:tcPr>
          <w:p>
            <w:pPr/>
            <w:r>
              <w:t>说明完整视频叠加层与风险指标可视化</w:t>
            </w:r>
          </w:p>
        </w:tc>
      </w:tr>
    </w:tbl>
    <w:p>
      <w:pPr>
        <w:pStyle w:val="1"/>
      </w:pPr>
      <w:r>
        <w:rPr>
          <w:rFonts w:ascii="Microsoft YaHei" w:hAnsi="Microsoft YaHei" w:eastAsia="Microsoft YaHei"/>
          <w:b w:val="0"/>
        </w:rPr>
        <w:t>5 已验证证据与指标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证据</w:t>
            </w:r>
          </w:p>
        </w:tc>
        <w:tc>
          <w:tcPr>
            <w:tcW w:type="dxa" w:w="3009"/>
          </w:tcPr>
          <w:p>
            <w:r>
              <w:t>结果</w:t>
            </w:r>
          </w:p>
        </w:tc>
        <w:tc>
          <w:tcPr>
            <w:tcW w:type="dxa" w:w="3009"/>
          </w:tcPr>
          <w:p>
            <w:r>
              <w:t>状态与边界</w:t>
            </w:r>
          </w:p>
        </w:tc>
      </w:tr>
      <w:tr>
        <w:tc>
          <w:tcPr>
            <w:tcW w:type="dxa" w:w="3009"/>
            <w:vAlign w:val="center"/>
          </w:tcPr>
          <w:p>
            <w:r>
              <w:t>后端自动化测试</w:t>
            </w:r>
          </w:p>
        </w:tc>
        <w:tc>
          <w:tcPr>
            <w:tcW w:type="dxa" w:w="3009"/>
            <w:vAlign w:val="center"/>
          </w:tcPr>
          <w:p>
            <w:r>
              <w:t>262 passed（2026-08-29 更新日志口径）</w:t>
            </w:r>
          </w:p>
        </w:tc>
        <w:tc>
          <w:tcPr>
            <w:tcW w:type="dxa" w:w="3009"/>
            <w:vAlign w:val="center"/>
          </w:tcPr>
          <w:p>
            <w:r>
              <w:t>证明代码级回归通过，不代表模型准确率</w:t>
            </w:r>
          </w:p>
        </w:tc>
      </w:tr>
      <w:tr>
        <w:tc>
          <w:tcPr>
            <w:tcW w:type="dxa" w:w="3009"/>
            <w:vAlign w:val="center"/>
          </w:tcPr>
          <w:p>
            <w:r>
              <w:t>前端生产构建</w:t>
            </w:r>
          </w:p>
        </w:tc>
        <w:tc>
          <w:tcPr>
            <w:tcW w:type="dxa" w:w="3009"/>
            <w:vAlign w:val="center"/>
          </w:tcPr>
          <w:p>
            <w:r>
              <w:t>`npm.cmd run build` 通过</w:t>
            </w:r>
          </w:p>
        </w:tc>
        <w:tc>
          <w:tcPr>
            <w:tcW w:type="dxa" w:w="3009"/>
            <w:vAlign w:val="center"/>
          </w:tcPr>
          <w:p>
            <w:r>
              <w:t>证明构建产物可生成，不代表现场可用性</w:t>
            </w:r>
          </w:p>
        </w:tc>
      </w:tr>
      <w:tr>
        <w:tc>
          <w:tcPr>
            <w:tcW w:type="dxa" w:w="3009"/>
            <w:vAlign w:val="center"/>
          </w:tcPr>
          <w:p>
            <w:r>
              <w:t>真实视频烟测</w:t>
            </w:r>
          </w:p>
        </w:tc>
        <w:tc>
          <w:tcPr>
            <w:tcW w:type="dxa" w:w="3009"/>
            <w:vAlign w:val="center"/>
          </w:tcPr>
          <w:p>
            <w:r>
              <w:t>30/30 帧识别到人体；环境推理 10 次；缓存年龄 &lt;1 秒；无模型异常</w:t>
            </w:r>
          </w:p>
        </w:tc>
        <w:tc>
          <w:tcPr>
            <w:tcW w:type="dxa" w:w="3009"/>
            <w:vAlign w:val="center"/>
          </w:tcPr>
          <w:p>
            <w:r>
              <w:t>工程接入观测，不是准确率证据</w:t>
            </w:r>
          </w:p>
        </w:tc>
      </w:tr>
      <w:tr>
        <w:tc>
          <w:tcPr>
            <w:tcW w:type="dxa" w:w="3009"/>
            <w:vAlign w:val="center"/>
          </w:tcPr>
          <w:p>
            <w:r>
              <w:t>主循环时延</w:t>
            </w:r>
          </w:p>
        </w:tc>
        <w:tc>
          <w:tcPr>
            <w:tcW w:type="dxa" w:w="3009"/>
            <w:vAlign w:val="center"/>
          </w:tcPr>
          <w:p>
            <w:r>
              <w:t>最大约 2.64 秒；满足 3000 ms CPU 验收要求</w:t>
            </w:r>
          </w:p>
        </w:tc>
        <w:tc>
          <w:tcPr>
            <w:tcW w:type="dxa" w:w="3009"/>
            <w:vAlign w:val="center"/>
          </w:tcPr>
          <w:p>
            <w:r>
              <w:t>单次观测，仍需现场长期运行复验</w:t>
            </w:r>
          </w:p>
        </w:tc>
      </w:tr>
      <w:tr>
        <w:tc>
          <w:tcPr>
            <w:tcW w:type="dxa" w:w="3009"/>
            <w:vAlign w:val="center"/>
          </w:tcPr>
          <w:p>
            <w:r>
              <w:t>UR-Fall 冻结基线</w:t>
            </w:r>
          </w:p>
        </w:tc>
        <w:tc>
          <w:tcPr>
            <w:tcW w:type="dxa" w:w="3009"/>
            <w:vAlign w:val="center"/>
          </w:tcPr>
          <w:p>
            <w:r>
              <w:t>EWR@0.5=0.233（7/30）；FA/min=6.81；lead median=0.567 s</w:t>
            </w:r>
          </w:p>
        </w:tc>
        <w:tc>
          <w:tcPr>
            <w:tcW w:type="dxa" w:w="3009"/>
            <w:vAlign w:val="center"/>
          </w:tcPr>
          <w:p>
            <w:r>
              <w:t>sequence-level 5-fold 科研口径，不能移植为在线性能</w:t>
            </w:r>
          </w:p>
        </w:tc>
      </w:tr>
      <w:tr>
        <w:tc>
          <w:tcPr>
            <w:tcW w:type="dxa" w:w="3009"/>
            <w:vAlign w:val="center"/>
          </w:tcPr>
          <w:tcPr>
            <w:tcW w:type="dxa" w:w="3009"/>
          </w:tcPr>
          <w:p>
            <w:pPr/>
            <w:r>
              <w:t>开发者视频专项测试</w:t>
            </w:r>
          </w:p>
        </w:tc>
        <w:tc>
          <w:tcPr>
            <w:tcW w:type="dxa" w:w="3009"/>
            <w:vAlign w:val="center"/>
          </w:tcPr>
          <w:tcPr>
            <w:tcW w:type="dxa" w:w="3009"/>
          </w:tcPr>
          <w:p>
            <w:pPr/>
            <w:r>
              <w:t>上传、替换、取消/结束清理、格式校验、路径脱敏均通过</w:t>
            </w:r>
          </w:p>
        </w:tc>
        <w:tc>
          <w:tcPr>
            <w:tcW w:type="dxa" w:w="3009"/>
            <w:vAlign w:val="center"/>
          </w:tcPr>
          <w:tcPr>
            <w:tcW w:type="dxa" w:w="3009"/>
          </w:tcPr>
          <w:p>
            <w:pPr/>
            <w:r>
              <w:t>代码级功能证据，不等于模型准确率</w:t>
            </w:r>
          </w:p>
        </w:tc>
      </w:tr>
      <w:tr>
        <w:tc>
          <w:tcPr>
            <w:tcW w:type="dxa" w:w="3009"/>
            <w:vAlign w:val="center"/>
          </w:tcPr>
          <w:tcPr>
            <w:tcW w:type="dxa" w:w="3009"/>
          </w:tcPr>
          <w:p>
            <w:pPr/>
            <w:r>
              <w:t>构建与差异校验</w:t>
            </w:r>
          </w:p>
        </w:tc>
        <w:tc>
          <w:tcPr>
            <w:tcW w:type="dxa" w:w="3009"/>
            <w:vAlign w:val="center"/>
          </w:tcPr>
          <w:tcPr>
            <w:tcW w:type="dxa" w:w="3009"/>
          </w:tcPr>
          <w:p>
            <w:pPr/>
            <w:r>
              <w:t>`npm.cmd run build`、`git diff --check` 通过</w:t>
            </w:r>
          </w:p>
        </w:tc>
        <w:tc>
          <w:tcPr>
            <w:tcW w:type="dxa" w:w="3009"/>
            <w:vAlign w:val="center"/>
          </w:tcPr>
          <w:tcPr>
            <w:tcW w:type="dxa" w:w="3009"/>
          </w:tcPr>
          <w:p>
            <w:pPr/>
            <w:r>
              <w:t>证明交付构建和工作区校验，不代表现场可用性</w:t>
            </w:r>
          </w:p>
        </w:tc>
      </w:tr>
    </w:tbl>
    <w:p>
      <w:pPr>
        <w:pStyle w:val="1"/>
      </w:pPr>
      <w:r>
        <w:rPr>
          <w:rFonts w:ascii="Microsoft YaHei" w:hAnsi="Microsoft YaHei" w:eastAsia="Microsoft YaHei"/>
          <w:b w:val="0"/>
        </w:rPr>
        <w:t>6 可直接并入研究报告的技术正文</w:t>
      </w:r>
    </w:p>
    <w:p>
      <w:pPr>
        <w:pStyle w:val="afa"/>
        <w:spacing w:after="160"/>
      </w:pPr>
      <w:r>
        <w:rPr>
          <w:rFonts w:ascii="Microsoft YaHei" w:hAnsi="Microsoft YaHei" w:eastAsia="Microsoft YaHei"/>
          <w:b w:val="0"/>
        </w:rPr>
        <w:t>本项目构建了面向居家和社区养老场景的跌倒风险监测系统。系统以 YOLO26n-Pose 提取人体框、姿态关键点和质量状态，以 YOLO26n 识别环境目标，并通过个人步态基线、短期/长期偏离和环境风险 provider 形成可解释的工程风险融合。环境检测按处理帧间隔更新并采用短时缓存，系统将人体、环境和交互分项统一为 0–100 工程风险指数，通过连续确认机制抑制瞬时波动，并使用 FastAPI、WebSocket、SQLite 和 React/Vite/ECharts 形成服务与展示层。开发者视频工具提供五种格式的本地文件暂存与确认启动，采用不透明 ID、受控临时目录、过期/会话结束清理和路径脱敏；分析画面按首帧真实像素尺寸自适应，环境侧栏展示综合环境风险和交互风险。当前证据证明软件工程链路、接口契约和构建/烟测可运行，不把工程分数写成跌倒概率，不把烟测写成准确率或临床有效性。音频仍是可选辅助分支。</w:t>
      </w:r>
    </w:p>
    <w:p>
      <w:pPr>
        <w:pStyle w:val="1"/>
      </w:pPr>
      <w:r>
        <w:rPr>
          <w:rFonts w:ascii="Microsoft YaHei" w:hAnsi="Microsoft YaHei" w:eastAsia="Microsoft YaHei"/>
          <w:b w:val="0"/>
        </w:rPr>
        <w:t>7 不得声称与待补测</w:t>
      </w:r>
    </w:p>
    <w:p>
      <w:pPr/>
      <w:r>
        <w:rPr>
          <w:rFonts w:ascii="Microsoft YaHei" w:hAnsi="Microsoft YaHei" w:eastAsia="Microsoft YaHei"/>
          <w:b w:val="0"/>
        </w:rPr>
        <w:t>不得声称：YOLO26 权重是项目跌倒风险模型；0–100 工程分是跌倒概率；烟测通过代表准确率或临床有效性；UR-Fall 冻结指标代表当前平台在线性能；开发者视频工具通过代表模型性能；音频已经完成生产级视听融合。</w:t>
      </w:r>
    </w:p>
    <w:p>
      <w:pPr/>
      <w:r>
        <w:rPr>
          <w:rFonts w:ascii="Microsoft YaHei" w:hAnsi="Microsoft YaHei" w:eastAsia="Microsoft YaHei"/>
          <w:b w:val="0"/>
        </w:rPr>
        <w:t>待补测：形成单一可部署风险模型并冻结权重与阈值；完成 Docker、真实萤石、多人物独立跟踪、边缘隐私、音频真实数据分类指标、阈值标定、跨线程时间同步、重复告警和长时间异常恢复验证；补充上传文件长期并发、磁盘配额和现场视频编解码覆盖。</w:t>
      </w:r>
    </w:p>
    <w:p>
      <w:pPr/>
      <w:r>
        <w:rPr>
          <w:rFonts w:ascii="Microsoft YaHei" w:hAnsi="Microsoft YaHei" w:eastAsia="Microsoft YaHei"/>
          <w:b w:val="0"/>
        </w:rPr>
        <w:t>证据路径：`src/inference/monitor.py`、`src/inference/visual_risk.py`、`src/data/environment_detector.py`、`src/api/routes.py`、`frontend/src/App.jsx`、`tests/test_visual_risk.py`、`tests/test_environment_detector.py`、`tests/test_video_upload_routes.py`、`docs/更新日志8-28-29.md`、`docs/更新日志0829.md`、Git 提交 `bb9196a` 以及两份 V1.2 交付文档。</w:t>
      </w:r>
    </w:p>
    <w:sectPr w:rsidR="00900CCB" w:rsidSect="00034616">
      <w:headerReference w:type="default" r:id="rId10"/>
      <w:footerReference w:type="default" r:id="rId11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BFDCA" w14:textId="77777777" w:rsidR="00512476" w:rsidRDefault="005124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2F6AB7" w14:textId="77777777" w:rsidR="00512476" w:rsidRDefault="005124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72E09" w14:textId="77777777" w:rsidR="00900CCB" w:rsidRDefault="00BA388F">
    <w:pPr>
      <w:pStyle w:val="a6"/>
      <w:jc w:val="center"/>
      <w:rPr>
        <w:rFonts w:hint="eastAsia"/>
        <w:lang w:eastAsia="zh-CN"/>
      </w:rPr>
    </w:pPr>
    <w:r>
      <w:t>跌倒风险预测系统  |  技术核心部分交接  |  第 1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8ABF9" w14:textId="77777777" w:rsidR="00512476" w:rsidRDefault="005124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78A990" w14:textId="77777777" w:rsidR="00512476" w:rsidRDefault="005124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3EED7" w14:textId="77777777" w:rsidR="00900CCB" w:rsidRDefault="00BA388F">
    <w:pPr>
      <w:pStyle w:val="a4"/>
      <w:jc w:val="right"/>
      <w:rPr>
        <w:rFonts w:hint="eastAsia"/>
        <w:lang w:eastAsia="zh-CN"/>
      </w:rPr>
    </w:pPr>
    <w:r>
      <w:t>技术核心部分交接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911E47"/>
    <w:multiLevelType w:val="singleLevel"/>
    <w:tmpl w:val="A6CA08C0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</w:lvl>
  </w:abstractNum>
  <w:abstractNum w:abstractNumId="10" w15:restartNumberingAfterBreak="0">
    <w:nsid w:val="68C05386"/>
    <w:multiLevelType w:val="singleLevel"/>
    <w:tmpl w:val="F94EAD96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60"/>
      </w:pPr>
    </w:lvl>
  </w:abstractNum>
  <w:num w:numId="1" w16cid:durableId="10874597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D0"/>
    <w:rsid w:val="0015074B"/>
    <w:rsid w:val="0029639D"/>
    <w:rsid w:val="00326F90"/>
    <w:rsid w:val="00512476"/>
    <w:rsid w:val="0071503A"/>
    <w:rsid w:val="007F0106"/>
    <w:rsid w:val="00900CCB"/>
    <w:rsid w:val="00A50BD7"/>
    <w:rsid w:val="00AA1D8D"/>
    <w:rsid w:val="00B47730"/>
    <w:rsid w:val="00BA388F"/>
    <w:rsid w:val="00BA40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F659C6"/>
  <w14:defaultImageDpi w14:val="300"/>
  <w15:docId w15:val="{C592E524-85BA-4450-BEE1-EAD47A4C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宋体" w:eastAsia="宋体" w:hAnsi="宋体" w:cs="Times New Roman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keepLines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4A4A4A"/>
      <w:spacing w:val="15"/>
      <w:sz w:val="26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rFonts w:ascii="Arial" w:hAnsi="Arial" w:cs="Arial"/>
      <w:b/>
      <w:bCs/>
      <w:color w:val="595959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7F0106"/>
  </w:style>
  <w:style w:type="paragraph" w:styleId="TOC2">
    <w:name w:val="toc 2"/>
    <w:basedOn w:val="a0"/>
    <w:next w:val="a0"/>
    <w:autoRedefine/>
    <w:uiPriority w:val="39"/>
    <w:unhideWhenUsed/>
    <w:rsid w:val="007F0106"/>
    <w:pPr>
      <w:ind w:leftChars="200" w:left="420"/>
    </w:pPr>
  </w:style>
  <w:style w:type="character" w:styleId="aff9">
    <w:name w:val="Hyperlink"/>
    <w:basedOn w:val="a1"/>
    <w:uiPriority w:val="99"/>
    <w:unhideWhenUsed/>
    <w:rsid w:val="007F01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2241</Words>
  <Characters>12779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技术核心部分交接</dc:title>
  <dc:subject>跌倒风险预测系统研究报告技术内容交接</dc:subject>
  <dc:creator>挑战杯参赛团队（待填写）</dc:creator>
  <cp:keywords>跌倒风险预测, 系统设计, 功能测试, UR-Fall, YOLO-Pose</cp:keywords>
  <dc:description>依据仓库代码、2026-08-25 本地复测及 wwh 归档证据生成</dc:description>
  <cp:lastModifiedBy>T173146</cp:lastModifiedBy>
  <cp:revision>3</cp:revision>
  <dcterms:created xsi:type="dcterms:W3CDTF">2013-12-23T23:15:00Z</dcterms:created>
  <dcterms:modified xsi:type="dcterms:W3CDTF">2026-08-28T03:36:00Z</dcterms:modified>
  <cp:category/>
</cp:coreProperties>
</file>