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b w:val="1"/>
          <w:rtl w:val="0"/>
        </w:rPr>
        <w:t xml:space="preserve">Case 1: </w:t>
      </w:r>
      <w:r w:rsidDel="00000000" w:rsidR="00000000" w:rsidRPr="00000000">
        <w:rPr>
          <w:b w:val="1"/>
          <w:i w:val="0"/>
          <w:smallCaps w:val="0"/>
          <w:strike w:val="0"/>
          <w:color w:val="000000"/>
          <w:sz w:val="22"/>
          <w:szCs w:val="22"/>
          <w:u w:val="none"/>
          <w:shd w:fill="auto" w:val="clear"/>
          <w:vertAlign w:val="baseline"/>
          <w:rtl w:val="0"/>
        </w:rPr>
        <w:t xml:space="preserve">Campylobacter in broiler meat </w:t>
      </w:r>
      <w:r w:rsidDel="00000000" w:rsidR="00000000" w:rsidRPr="00000000">
        <w:rPr>
          <w:rtl w:val="0"/>
        </w:rPr>
      </w:r>
    </w:p>
    <w:p w:rsidR="00000000" w:rsidDel="00000000" w:rsidP="00000000" w:rsidRDefault="00000000" w:rsidRPr="00000000" w14:paraId="00000002">
      <w:pPr>
        <w:spacing w:after="240" w:before="24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Stakeholder Position Paper:  Food Safety Authorities</w:t>
      </w:r>
    </w:p>
    <w:p w:rsidR="00000000" w:rsidDel="00000000" w:rsidP="00000000" w:rsidRDefault="00000000" w:rsidRPr="00000000" w14:paraId="00000004">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0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From the perspective of food safety authorities,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represents a major zoonotic threat with profound implications for population health and food safety. It is the most frequently reported bacterial zoonosis in many industrialized countries, with reported incidence rates increasing from 4–5 cases per 100,000 inhabitants in 1997 to 14–15 cases per 100,000 by 2015. However, these figures substantially underestimate the true burden of disease—the actual incidence is estimated to be 7–100 times higher due to widespread underreporting (Backert 2021).</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While most human cases of campylobacteriosis present as self-limiting gastroenteritis, the infection can result in serious post-infectious complications such as Guillain–Barré syndrome (GBS), reactive arthritis, and inflammatory bowel disease (IBD) (Abd El-Hack et al. 2021; Backert 2021). Vulnerable groups—including infants, young children, the elderly, and immunocompromised individuals—are particularly susceptible to these severe outcomes (Backert 2021). Moreover, the growing prevalence of antimicrobial resistance among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strains further exacerbates the public health challenge. Increasing resistance to fluoroquinolones, which are second-line treatments, and macrolides, the drugs of first choice, severely limits therapeutic options and complicates the management of severe infections (Soro et al. 2020).</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Given its scale, clinical severity, and socioeconomic impact,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constitutes a significant and persistent public health crisis. These factors necessitate robust regulatory action and the implementation of systematic, population-wide risk management strategies aimed at reducing pathogen loads throughout the food production and distribution chain. Through the implementation of a Food Safety Criterion (FSC) under Regulation (EC) No 2073/2005 it is assumed that human campylobacteriosis cases attributable to the consumption of poultry meat will decrease, enhancing food safety.</w:t>
      </w:r>
    </w:p>
    <w:p w:rsidR="00000000" w:rsidDel="00000000" w:rsidP="00000000" w:rsidRDefault="00000000" w:rsidRPr="00000000" w14:paraId="00000008">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Short-Term Goals </w:t>
      </w:r>
    </w:p>
    <w:p w:rsidR="00000000" w:rsidDel="00000000" w:rsidP="00000000" w:rsidRDefault="00000000" w:rsidRPr="00000000" w14:paraId="00000009">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Implement Enforceable Food Safety Criterion (FSC):</w:t>
      </w:r>
      <w:r w:rsidDel="00000000" w:rsidR="00000000" w:rsidRPr="00000000">
        <w:rPr>
          <w:rFonts w:ascii="Calibri" w:cs="Calibri" w:eastAsia="Calibri" w:hAnsi="Calibri"/>
          <w:rtl w:val="0"/>
        </w:rPr>
        <w:t xml:space="preserve"> Based on quantitative risk assessment models, establish and enforce a clear microbiological standard for poultry meat, e.g. broiler/turkey meat such as fillets. Since a PHC with a limit of 1,000 Colony Forming Units (CFU) per gram of chicken skin was projected to reduce human cases attributable to poultry by over 60% (Swart, A., Mangen, M-J., Havelaar 2013), but did not lead to the desired effect, i.e. reducing human case rates, a food safety criterion according to EU Regulation 2073/2005 (EC, 2005) should be established being applicable throughout the shelf-life. </w:t>
      </w:r>
    </w:p>
    <w:p w:rsidR="00000000" w:rsidDel="00000000" w:rsidP="00000000" w:rsidRDefault="00000000" w:rsidRPr="00000000" w14:paraId="0000000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Strengthen Epidemiological Surveillance:</w:t>
      </w:r>
      <w:r w:rsidDel="00000000" w:rsidR="00000000" w:rsidRPr="00000000">
        <w:rPr>
          <w:rFonts w:ascii="Calibri" w:cs="Calibri" w:eastAsia="Calibri" w:hAnsi="Calibri"/>
          <w:rtl w:val="0"/>
        </w:rPr>
        <w:t xml:space="preserve"> Advocate for mandatory, harmonized surveillance systems for both human campylobacteriosis cases and pathogen levels throughout the food chain. This is essential to close data gaps created by voluntary or inconsistent reporting schemes, which currently hinder effective risk assessment and management.</w:t>
      </w:r>
    </w:p>
    <w:p w:rsidR="00000000" w:rsidDel="00000000" w:rsidP="00000000" w:rsidRDefault="00000000" w:rsidRPr="00000000" w14:paraId="0000000B">
      <w:pPr>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Promote Rapid Diagnostic Technologies:</w:t>
      </w:r>
      <w:r w:rsidDel="00000000" w:rsidR="00000000" w:rsidRPr="00000000">
        <w:rPr>
          <w:rFonts w:ascii="Calibri" w:cs="Calibri" w:eastAsia="Calibri" w:hAnsi="Calibri"/>
          <w:rtl w:val="0"/>
        </w:rPr>
        <w:t xml:space="preserve"> Support the validation and deployment of rapid, on-site testing methods on farms and in processing plants. Traditional surveillance, such as Norway's APaC system, can miss flocks that become contaminated in the final week before slaughter due to sample transportation and analysis delays. Rapid technologies close this critical time gap, enabling timely control measures and preventing highly contaminated food from entering the market.</w:t>
      </w:r>
    </w:p>
    <w:p w:rsidR="00000000" w:rsidDel="00000000" w:rsidP="00000000" w:rsidRDefault="00000000" w:rsidRPr="00000000" w14:paraId="0000000C">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General aim</w:t>
      </w:r>
    </w:p>
    <w:p w:rsidR="00000000" w:rsidDel="00000000" w:rsidP="00000000" w:rsidRDefault="00000000" w:rsidRPr="00000000" w14:paraId="0000000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To reduce the incidence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infections in humans by implementing risk-based interventions across the poultry production continuum — including enforceable microbiological food safety criteria according to EU Regulation 2073/2005, harmonized epidemiological surveillance, and the adoption of rapid diagnostic technologies — to enable timely detection, control, and prevention of contamination and disease transmission.</w:t>
      </w:r>
    </w:p>
    <w:p w:rsidR="00000000" w:rsidDel="00000000" w:rsidP="00000000" w:rsidRDefault="00000000" w:rsidRPr="00000000" w14:paraId="0000000E">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Scientific Foundation</w:t>
      </w:r>
    </w:p>
    <w:p w:rsidR="00000000" w:rsidDel="00000000" w:rsidP="00000000" w:rsidRDefault="00000000" w:rsidRPr="00000000" w14:paraId="0000000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Scientific source attribution studies consistently identify contaminated poultry meat as a primary vehicle for transmission; in the Netherlands, for instance, an estimated 30% of all human cases are attributed to this source. The societal cost is substantial, with an estimated annual economic burden of €2.4 billion in the European Union(Backert 2021) and €82 million in the Netherlands(Swart, A., Mangen, M-J., Havelaar 2013). The scientific basis for severe complications is also well-documented. GBS, for example, is triggered by molecular mimicry, where lipooligosaccharides (LOS) on the surface of certain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strains resemble human gangliosides, causing the immune system to mistakenly attack nerve cells(Backert 2021).</w:t>
      </w:r>
    </w:p>
    <w:p w:rsidR="00000000" w:rsidDel="00000000" w:rsidP="00000000" w:rsidRDefault="00000000" w:rsidRPr="00000000" w14:paraId="0000001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implementing a Food Safety Criterion (FSC) under Regulation (EC) No 2073/2005, competent authorities must balance public-health gains with broader sustainability goals. A stricter FSC, if applied without proportionality or rapid testing support, risks leading to large-scale rejection of poultry batches that marginally exceed microbiological limits. Such outcomes would contradict the EU Green Deal and its Farm-to-Fork Strategy, which call for halving food waste by 2030, improving resource efficiency, and promoting sustainable food systems.</w:t>
      </w:r>
    </w:p>
    <w:p w:rsidR="00000000" w:rsidDel="00000000" w:rsidP="00000000" w:rsidRDefault="00000000" w:rsidRPr="00000000" w14:paraId="0000001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Integrating </w:t>
      </w:r>
      <w:r w:rsidDel="00000000" w:rsidR="00000000" w:rsidRPr="00000000">
        <w:rPr>
          <w:rFonts w:ascii="Calibri" w:cs="Calibri" w:eastAsia="Calibri" w:hAnsi="Calibri"/>
          <w:i w:val="1"/>
          <w:rtl w:val="0"/>
        </w:rPr>
        <w:t xml:space="preserve">risk-based sampling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predictive microbiological modeling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dynamic shelf-life management</w:t>
      </w:r>
      <w:r w:rsidDel="00000000" w:rsidR="00000000" w:rsidRPr="00000000">
        <w:rPr>
          <w:rFonts w:ascii="Calibri" w:cs="Calibri" w:eastAsia="Calibri" w:hAnsi="Calibri"/>
          <w:rtl w:val="0"/>
        </w:rPr>
        <w:t xml:space="preserve"> would allow safety to be assured while reducing unnecessary disposal of food that remains safe for consumption. In the context of a growing population and climate-related constraints on arable land and water, regulators are ethically bound—under SDGs 2, 12, 13—to adopt approaches that protect both public health and sustainable food availability.</w:t>
      </w:r>
    </w:p>
    <w:p w:rsidR="00000000" w:rsidDel="00000000" w:rsidP="00000000" w:rsidRDefault="00000000" w:rsidRPr="00000000" w14:paraId="00000012">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Ethical Foundation</w:t>
      </w:r>
    </w:p>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Reducing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infections is both a scientific and moral duty under the </w:t>
      </w:r>
      <w:r w:rsidDel="00000000" w:rsidR="00000000" w:rsidRPr="00000000">
        <w:rPr>
          <w:rFonts w:ascii="Calibri" w:cs="Calibri" w:eastAsia="Calibri" w:hAnsi="Calibri"/>
          <w:b w:val="1"/>
          <w:rtl w:val="0"/>
        </w:rPr>
        <w:t xml:space="preserve">One Health</w:t>
      </w:r>
      <w:r w:rsidDel="00000000" w:rsidR="00000000" w:rsidRPr="00000000">
        <w:rPr>
          <w:rFonts w:ascii="Calibri" w:cs="Calibri" w:eastAsia="Calibri" w:hAnsi="Calibri"/>
          <w:rtl w:val="0"/>
        </w:rPr>
        <w:t xml:space="preserve"> framework, which recognizes the interconnection between human, animal, and environmental health. Public health authorities have an ethical responsibility to prevent avoidable harm by applying evidence-based measures that limit pathogen loads throughout the poultry chain.</w:t>
      </w:r>
    </w:p>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Following the </w:t>
      </w:r>
      <w:r w:rsidDel="00000000" w:rsidR="00000000" w:rsidRPr="00000000">
        <w:rPr>
          <w:rFonts w:ascii="Calibri" w:cs="Calibri" w:eastAsia="Calibri" w:hAnsi="Calibri"/>
          <w:b w:val="1"/>
          <w:rtl w:val="0"/>
        </w:rPr>
        <w:t xml:space="preserve">Manhattan Principles</w:t>
      </w:r>
      <w:r w:rsidDel="00000000" w:rsidR="00000000" w:rsidRPr="00000000">
        <w:rPr>
          <w:rFonts w:ascii="Calibri" w:cs="Calibri" w:eastAsia="Calibri" w:hAnsi="Calibri"/>
          <w:rtl w:val="0"/>
        </w:rPr>
        <w:t xml:space="preserve">, this approach calls for shared surveillance, collaboration across sectors, and preventive actions that protect public health while respecting animal welfare and environmental integrity. By enforcing hygiene standards, strengthening surveillance, and adopting rapid diagnostics, authorities act on a moral obligation to safeguard vulnerable populations and promote collective well-being, fairness, and sustainability.</w:t>
      </w:r>
    </w:p>
    <w:p w:rsidR="00000000" w:rsidDel="00000000" w:rsidP="00000000" w:rsidRDefault="00000000" w:rsidRPr="00000000" w14:paraId="00000015">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Stakeholder Position Paper: Food industry </w:t>
      </w:r>
      <w:r w:rsidDel="00000000" w:rsidR="00000000" w:rsidRPr="00000000">
        <w:rPr>
          <w:rtl w:val="0"/>
        </w:rPr>
      </w:r>
    </w:p>
    <w:p w:rsidR="00000000" w:rsidDel="00000000" w:rsidP="00000000" w:rsidRDefault="00000000" w:rsidRPr="00000000" w14:paraId="00000016">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1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problem is an ongoing operational and economic challenge shaped by the difficulty of controlling an organism that is both a natural, asymptomatic commensal in livestock—particularly poultry (Balta et al., 2022)—and a significant pathogen for humans (Zainol et al., 2024). The bacterium colonizes the intestinal tract of poultry at extremely high levels (Hermans et al., 2012), often reaching up to 109 CFU per gram (Abd El-Hack et al., 2021), without causing any clinical signs of disease (Humphrey et al., 2014). This creates a large, silent reservoir at the primary production level (Sadek et al., 2023). Flocks are frequently contaminated through horizontal transmission from the farm environment (Agunos et al., 2014), with key risk factors including insufficient cleaning and disinfection of barns (Gibbens et al., 2001), the presence of pests such as flies and rodents (Szott &amp; Friese, 2021), contaminated water sources (Newell et al., 2011), and mechanical carriage via personnel, clothing, and equipment (Ridley et al., 2011). The slaughterhouse represents a critical point for the amplification and spread of contamination (Soro et al., 2020). Evidence shows that a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-colonized broiler flock is approximately 30 times more likely to result in contaminated carcasses compared to a non-colonized flock (EFSA, 2010b). High-risk stages for cross-contamination include scalding (Yang &amp; Johnson, 2001), defeathering, and evisceration (Seliwiorstow et al., 2016), where bacteria can be transferred between carcasses and processing equipment (Slader et al., 2002). Consequently, producers face the dual pressure of making substantial investments in biosecurity, hygiene, and process control (Alter &amp; Reich, 2021) to meet stringent regulatory standards (Anonymous, 2017a), while also managing the economic risks and potential reputational damage associated with non-compliance with microbiological criteria (Pitter et al., 2018).</w:t>
      </w:r>
    </w:p>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Transitioning from a Process Hygiene Criterion to a Food Safety Criterion will likely increase compliance costs and may cause significant food losses if entire batches are withdrawn post-production. The industry emphasizes that such losses conflict with the </w:t>
      </w:r>
      <w:r w:rsidDel="00000000" w:rsidR="00000000" w:rsidRPr="00000000">
        <w:rPr>
          <w:rFonts w:ascii="Calibri" w:cs="Calibri" w:eastAsia="Calibri" w:hAnsi="Calibri"/>
          <w:b w:val="1"/>
          <w:rtl w:val="0"/>
        </w:rPr>
        <w:t xml:space="preserve">EU Farm-to-Fork Strategy’s</w:t>
      </w:r>
      <w:r w:rsidDel="00000000" w:rsidR="00000000" w:rsidRPr="00000000">
        <w:rPr>
          <w:rFonts w:ascii="Calibri" w:cs="Calibri" w:eastAsia="Calibri" w:hAnsi="Calibri"/>
          <w:rtl w:val="0"/>
        </w:rPr>
        <w:t xml:space="preserve"> circular-economy goals and the </w:t>
      </w:r>
      <w:r w:rsidDel="00000000" w:rsidR="00000000" w:rsidRPr="00000000">
        <w:rPr>
          <w:rFonts w:ascii="Calibri" w:cs="Calibri" w:eastAsia="Calibri" w:hAnsi="Calibri"/>
          <w:b w:val="1"/>
          <w:rtl w:val="0"/>
        </w:rPr>
        <w:t xml:space="preserve">Green Deal’s</w:t>
      </w:r>
      <w:r w:rsidDel="00000000" w:rsidR="00000000" w:rsidRPr="00000000">
        <w:rPr>
          <w:rFonts w:ascii="Calibri" w:cs="Calibri" w:eastAsia="Calibri" w:hAnsi="Calibri"/>
          <w:rtl w:val="0"/>
        </w:rPr>
        <w:t xml:space="preserve"> climate-neutral ambition. Consequently, food business operators advocate integrating </w:t>
      </w:r>
      <w:r w:rsidDel="00000000" w:rsidR="00000000" w:rsidRPr="00000000">
        <w:rPr>
          <w:rFonts w:ascii="Calibri" w:cs="Calibri" w:eastAsia="Calibri" w:hAnsi="Calibri"/>
          <w:i w:val="1"/>
          <w:rtl w:val="0"/>
        </w:rPr>
        <w:t xml:space="preserve">real-time monitoring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predictive risk algorithms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in-line testing</w:t>
      </w:r>
      <w:r w:rsidDel="00000000" w:rsidR="00000000" w:rsidRPr="00000000">
        <w:rPr>
          <w:rFonts w:ascii="Calibri" w:cs="Calibri" w:eastAsia="Calibri" w:hAnsi="Calibri"/>
          <w:rtl w:val="0"/>
        </w:rPr>
        <w:t xml:space="preserve"> to intervene early—before packaging—thereby minimizing waste and preserving resources while still meeting safety targets.</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Short-Term Goals</w:t>
      </w:r>
      <w:r w:rsidDel="00000000" w:rsidR="00000000" w:rsidRPr="00000000">
        <w:rPr>
          <w:rtl w:val="0"/>
        </w:rPr>
      </w:r>
    </w:p>
    <w:p w:rsidR="00000000" w:rsidDel="00000000" w:rsidP="00000000" w:rsidRDefault="00000000" w:rsidRPr="00000000" w14:paraId="0000001A">
      <w:pPr>
        <w:numPr>
          <w:ilvl w:val="0"/>
          <w:numId w:val="5"/>
        </w:numPr>
        <w:spacing w:after="0" w:afterAutospacing="0" w:befor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Enhance On-Farm Biosecurity Compliance:</w:t>
        <w:br w:type="textWrapping"/>
      </w:r>
      <w:r w:rsidDel="00000000" w:rsidR="00000000" w:rsidRPr="00000000">
        <w:rPr>
          <w:rFonts w:ascii="Calibri" w:cs="Calibri" w:eastAsia="Calibri" w:hAnsi="Calibri"/>
          <w:rtl w:val="0"/>
        </w:rPr>
        <w:t xml:space="preserve">Strengthen implementation of proven biosecurity protocols through targeted training, regular audits, and infrastructure improvements. Efforts should focus on addressing low compliance in key areas such as hand hygiene (e.g., only 36% compliance reported in one Canadian survey), clothing changes, and visitor management. Emphasis should be placed on maintaining clean housing environments and minimizing environmental contamination between flocks.</w:t>
      </w:r>
    </w:p>
    <w:p w:rsidR="00000000" w:rsidDel="00000000" w:rsidP="00000000" w:rsidRDefault="00000000" w:rsidRPr="00000000" w14:paraId="0000001B">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Implement Pre-Harvest Reduction Strategies:</w:t>
        <w:br w:type="textWrapping"/>
      </w:r>
      <w:r w:rsidDel="00000000" w:rsidR="00000000" w:rsidRPr="00000000">
        <w:rPr>
          <w:rFonts w:ascii="Calibri" w:cs="Calibri" w:eastAsia="Calibri" w:hAnsi="Calibri"/>
          <w:rtl w:val="0"/>
        </w:rPr>
        <w:t xml:space="preserve">Actively evaluate and integrate validated pre-harvest interventions to reduce the initial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load in live birds. Promising approaches include probiotics such as </w:t>
      </w:r>
      <w:r w:rsidDel="00000000" w:rsidR="00000000" w:rsidRPr="00000000">
        <w:rPr>
          <w:rFonts w:ascii="Calibri" w:cs="Calibri" w:eastAsia="Calibri" w:hAnsi="Calibri"/>
          <w:i w:val="1"/>
          <w:rtl w:val="0"/>
        </w:rPr>
        <w:t xml:space="preserve">Lactobacillus reuteri</w:t>
      </w:r>
      <w:r w:rsidDel="00000000" w:rsidR="00000000" w:rsidRPr="00000000">
        <w:rPr>
          <w:rFonts w:ascii="Calibri" w:cs="Calibri" w:eastAsia="Calibri" w:hAnsi="Calibri"/>
          <w:rtl w:val="0"/>
        </w:rPr>
        <w:t xml:space="preserve"> (producing reuterin) and </w:t>
      </w:r>
      <w:r w:rsidDel="00000000" w:rsidR="00000000" w:rsidRPr="00000000">
        <w:rPr>
          <w:rFonts w:ascii="Calibri" w:cs="Calibri" w:eastAsia="Calibri" w:hAnsi="Calibri"/>
          <w:i w:val="1"/>
          <w:rtl w:val="0"/>
        </w:rPr>
        <w:t xml:space="preserve">Bacillus subtilis</w:t>
      </w:r>
      <w:r w:rsidDel="00000000" w:rsidR="00000000" w:rsidRPr="00000000">
        <w:rPr>
          <w:rFonts w:ascii="Calibri" w:cs="Calibri" w:eastAsia="Calibri" w:hAnsi="Calibri"/>
          <w:rtl w:val="0"/>
        </w:rPr>
        <w:t xml:space="preserve"> (producing bacillaene), both shown to inhibit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growth and biofilm formation. Additional research and field trials should support the safe and cost-effective application of these and other microbiota-modulating agents.</w:t>
      </w:r>
    </w:p>
    <w:p w:rsidR="00000000" w:rsidDel="00000000" w:rsidP="00000000" w:rsidRDefault="00000000" w:rsidRPr="00000000" w14:paraId="0000001C">
      <w:pPr>
        <w:numPr>
          <w:ilvl w:val="0"/>
          <w:numId w:val="5"/>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Optimize In-Plant Process Control and Post-Processing Technologies:</w:t>
        <w:br w:type="textWrapping"/>
      </w:r>
      <w:r w:rsidDel="00000000" w:rsidR="00000000" w:rsidRPr="00000000">
        <w:rPr>
          <w:rFonts w:ascii="Calibri" w:cs="Calibri" w:eastAsia="Calibri" w:hAnsi="Calibri"/>
          <w:rtl w:val="0"/>
        </w:rPr>
        <w:t xml:space="preserve">Use quantitative testing and risk-based process mapping to identify and manage critical cross-contamination points within slaughter and processing facilities. Adopt and validate novel physical and chemical decontamination technologies—such as cold plasma, UV light, pulsed electric fields, and peracetic acid or plant-derived antimicrobial rinses—to achieve 1–3 log reductions without compromising product quality. Combine these with modified atmosphere packaging (MAP) and antimicrobial films to inhibit post-processing bacterial survival and maintain product safety through distribution.</w:t>
      </w:r>
    </w:p>
    <w:p w:rsidR="00000000" w:rsidDel="00000000" w:rsidP="00000000" w:rsidRDefault="00000000" w:rsidRPr="00000000" w14:paraId="0000001D">
      <w:pPr>
        <w:numPr>
          <w:ilvl w:val="0"/>
          <w:numId w:val="5"/>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Digital Traceability and Dynamic Shelf-Life Management:</w:t>
      </w:r>
      <w:r w:rsidDel="00000000" w:rsidR="00000000" w:rsidRPr="00000000">
        <w:rPr>
          <w:rFonts w:ascii="Calibri" w:cs="Calibri" w:eastAsia="Calibri" w:hAnsi="Calibri"/>
          <w:rtl w:val="0"/>
        </w:rPr>
        <w:t xml:space="preserve"> </w:t>
      </w:r>
    </w:p>
    <w:p w:rsidR="00000000" w:rsidDel="00000000" w:rsidP="00000000" w:rsidRDefault="00000000" w:rsidRPr="00000000" w14:paraId="0000001E">
      <w:pPr>
        <w:spacing w:after="0" w:before="0"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Implement governmental supported digital platforms that combine microbial data with logistics information to enable flexible shelf-life extension for low-risk products, aligning food-safety assurance with SDG 12’s call for waste reduction.</w:t>
      </w:r>
    </w:p>
    <w:p w:rsidR="00000000" w:rsidDel="00000000" w:rsidP="00000000" w:rsidRDefault="00000000" w:rsidRPr="00000000" w14:paraId="0000001F">
      <w:pPr>
        <w:spacing w:after="240" w:before="240" w:lineRule="auto"/>
        <w:jc w:val="both"/>
        <w:rPr>
          <w:rFonts w:ascii="Calibri" w:cs="Calibri" w:eastAsia="Calibri" w:hAnsi="Calibri"/>
        </w:rPr>
      </w:pPr>
      <w:r w:rsidDel="00000000" w:rsidR="00000000" w:rsidRPr="00000000">
        <w:rPr>
          <w:rFonts w:ascii="Calibri" w:cs="Calibri" w:eastAsia="Calibri" w:hAnsi="Calibri"/>
          <w:b w:val="1"/>
          <w:rtl w:val="0"/>
        </w:rPr>
        <w:t xml:space="preserve">General aim</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rPr>
      </w:pPr>
      <w:r w:rsidDel="00000000" w:rsidR="00000000" w:rsidRPr="00000000">
        <w:rPr>
          <w:rFonts w:ascii="Calibri" w:cs="Calibri" w:eastAsia="Calibri" w:hAnsi="Calibri"/>
          <w:rtl w:val="0"/>
        </w:rPr>
        <w:t xml:space="preserve">To reduce the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burden in poultry and the corresponding risk to consumers by applying a multi-hurdle control framework that combines improved biosecurity management, microbiota-based pre-harvest interventions, and novel in-plant and packaging technologies validated through quantitative risk assessment.</w:t>
      </w: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Scientific Foundation</w:t>
      </w:r>
    </w:p>
    <w:p w:rsidR="00000000" w:rsidDel="00000000" w:rsidP="00000000" w:rsidRDefault="00000000" w:rsidRPr="00000000" w14:paraId="0000002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industry’s focus on targeted on-farm and in-plant interventions is well supported by evidence identifying critical control points in the poultry chain (Alter &amp; Reich, 2021). Contaminated barn environments and poor biosecurity remain major risk factors for flock infection (Agunos et al., 2014). Measures such as hygiene barriers, fly screens (Hald et al., 2007), and controlled access effectively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colonization (Newell et al., 2011). Pre-harvest interventions, including probiotics like </w:t>
      </w:r>
      <w:r w:rsidDel="00000000" w:rsidR="00000000" w:rsidRPr="00000000">
        <w:rPr>
          <w:rFonts w:ascii="Calibri" w:cs="Calibri" w:eastAsia="Calibri" w:hAnsi="Calibri"/>
          <w:i w:val="1"/>
          <w:rtl w:val="0"/>
        </w:rPr>
        <w:t xml:space="preserve">Lactobacillus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Bacillus</w:t>
      </w:r>
      <w:r w:rsidDel="00000000" w:rsidR="00000000" w:rsidRPr="00000000">
        <w:rPr>
          <w:rFonts w:ascii="Calibri" w:cs="Calibri" w:eastAsia="Calibri" w:hAnsi="Calibri"/>
          <w:rtl w:val="0"/>
        </w:rPr>
        <w:t xml:space="preserve"> strains, further lower intestinal bacterial loads in live birds (Balta et al., 2022). </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At processing, innovative physical technologies such as cold plasma, UV light, and pulsed electric fields achieve 1–3 log reductions on carcass surfaces without heat damage or chemical residues (Soro et al., 2020). Modified atmosphere packaging (MAP) with CO2​-rich environments slows bacterial survival post-processing (Meredith et al., 2014), especially when combined with antimicrobial films or plasma treatment (Soro et al., 2020). Peracetic acid and plant-derived antimicrobials provide similar reductions when used as rinses or sprays (Nagel et al., 2013). Additionally, phytochemicals such as carvacrol, citrus peel extracts, and </w:t>
      </w:r>
      <w:r w:rsidDel="00000000" w:rsidR="00000000" w:rsidRPr="00000000">
        <w:rPr>
          <w:rFonts w:ascii="Calibri" w:cs="Calibri" w:eastAsia="Calibri" w:hAnsi="Calibri"/>
          <w:i w:val="1"/>
          <w:rtl w:val="0"/>
        </w:rPr>
        <w:t xml:space="preserve">β</w:t>
      </w:r>
      <w:r w:rsidDel="00000000" w:rsidR="00000000" w:rsidRPr="00000000">
        <w:rPr>
          <w:rFonts w:ascii="Calibri" w:cs="Calibri" w:eastAsia="Calibri" w:hAnsi="Calibri"/>
          <w:rtl w:val="0"/>
        </w:rPr>
        <w:t xml:space="preserve">-resorcylic acid inhibit motility, adhesion, and biofilm formation (Abd El-Hack et al., 2021), with in vivo studies reporting 1.7–2.5 log cecal reductions (Wagle et al., 2017). Together, these multi-hurdle interventions offer a robust, science-based approach to reducing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contamination throughout the poultry production continuum (Alter &amp; Reich, 2021).</w:t>
      </w:r>
    </w:p>
    <w:p w:rsidR="00000000" w:rsidDel="00000000" w:rsidP="00000000" w:rsidRDefault="00000000" w:rsidRPr="00000000" w14:paraId="00000024">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Ethical Foundation</w:t>
      </w:r>
    </w:p>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The food industry has a clear ethical duty of care to prevent avoidable harm from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along the poultry chain. Under a One Health perspective—which recognizes the interdependence of human, animal, and environmental health—the food industry shares responsibility with public authorities and producers to reduce zoonotic risk at its source and across processing, because poultry meat is a leading vehicle of human campylobacteriosis and even low infectious doses can cause disease. This duty is reinforced by the Manhattan Principles’ call for cross-sector collaboration, investment in surveillance, and preventive action to protect public health and ecosystem integrity.</w:t>
      </w:r>
    </w:p>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The moral imperative is heightened by the substantial population burden and economic cost of disease in Europe: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is among the most common food-borne bacterial infections, with large health-system and productivity losses—estimated at billions annually—justifying rigorous, risk-based hygiene controls by those who profit from poultry production.</w:t>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Practically, this ethical duty requires food industries to:</w:t>
      </w:r>
    </w:p>
    <w:p w:rsidR="00000000" w:rsidDel="00000000" w:rsidP="00000000" w:rsidRDefault="00000000" w:rsidRPr="00000000" w14:paraId="0000002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Prevent and minimize contamination at source</w:t>
      </w:r>
      <w:r w:rsidDel="00000000" w:rsidR="00000000" w:rsidRPr="00000000">
        <w:rPr>
          <w:rFonts w:ascii="Calibri" w:cs="Calibri" w:eastAsia="Calibri" w:hAnsi="Calibri"/>
          <w:rtl w:val="0"/>
        </w:rPr>
        <w:t xml:space="preserve"> through robust biosecurity and hygiene, acknowledging that birds can carry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asymptomatically and that farm contamination drives risk downstream.</w:t>
      </w:r>
    </w:p>
    <w:p w:rsidR="00000000" w:rsidDel="00000000" w:rsidP="00000000" w:rsidRDefault="00000000" w:rsidRPr="00000000" w14:paraId="0000002B">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Control cross-contamination at slaughter</w:t>
      </w:r>
      <w:r w:rsidDel="00000000" w:rsidR="00000000" w:rsidRPr="00000000">
        <w:rPr>
          <w:rFonts w:ascii="Calibri" w:cs="Calibri" w:eastAsia="Calibri" w:hAnsi="Calibri"/>
          <w:rtl w:val="0"/>
        </w:rPr>
        <w:t xml:space="preserve">, prioritizing the known high-risk steps (e.g., scalding, defeathering, evisceration) where decisions and investments by operators materially affect public risk.</w:t>
      </w:r>
    </w:p>
    <w:p w:rsidR="00000000" w:rsidDel="00000000" w:rsidP="00000000" w:rsidRDefault="00000000" w:rsidRPr="00000000" w14:paraId="0000002C">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Participate in harmonized monitoring and transparent reporting</w:t>
      </w:r>
      <w:r w:rsidDel="00000000" w:rsidR="00000000" w:rsidRPr="00000000">
        <w:rPr>
          <w:rFonts w:ascii="Calibri" w:cs="Calibri" w:eastAsia="Calibri" w:hAnsi="Calibri"/>
          <w:rtl w:val="0"/>
        </w:rPr>
        <w:t xml:space="preserve">, supporting EU obligations for zoonoses data collection and risk management, and enabling timely corrective action.</w:t>
      </w:r>
    </w:p>
    <w:p w:rsidR="00000000" w:rsidDel="00000000" w:rsidP="00000000" w:rsidRDefault="00000000" w:rsidRPr="00000000" w14:paraId="0000002D">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Continuously improve</w:t>
      </w:r>
      <w:r w:rsidDel="00000000" w:rsidR="00000000" w:rsidRPr="00000000">
        <w:rPr>
          <w:rFonts w:ascii="Calibri" w:cs="Calibri" w:eastAsia="Calibri" w:hAnsi="Calibri"/>
          <w:rtl w:val="0"/>
        </w:rPr>
        <w:t xml:space="preserve"> by adopting validated interventions and rapid diagnostics that reduce pathogen loads without compromising animal welfare or the environment, consistent with One Health stewardship.</w:t>
      </w:r>
    </w:p>
    <w:p w:rsidR="00000000" w:rsidDel="00000000" w:rsidP="00000000" w:rsidRDefault="00000000" w:rsidRPr="00000000" w14:paraId="0000002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In summary, Food industries’ social license to operate entails more than regulatory compliance: it is an ethical commitment to protect consumers and communities by systematically lowering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risks across farming and processing, collaborating with regulators and suppliers, and investing in measures proportionate to the demonstrated public-health burden.</w:t>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rPr>
      </w:pPr>
      <w:r w:rsidDel="00000000" w:rsidR="00000000" w:rsidRPr="00000000">
        <w:rPr>
          <w:rFonts w:ascii="Calibri" w:cs="Calibri" w:eastAsia="Calibri" w:hAnsi="Calibri"/>
          <w:b w:val="1"/>
          <w:rtl w:val="0"/>
        </w:rPr>
        <w:t xml:space="preserve">Stakeholder Position Paper: Consumers </w:t>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34">
      <w:pPr>
        <w:spacing w:after="240" w:before="240" w:lineRule="auto"/>
        <w:jc w:val="both"/>
        <w:rPr>
          <w:rFonts w:ascii="Calibri" w:cs="Calibri" w:eastAsia="Calibri" w:hAnsi="Calibri"/>
        </w:rPr>
      </w:pP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poses a significant risk to consumers primarily due to inadequate hygiene practices in household kitchens (Alter &amp; Reich, 2021). Unsafe food handling behaviors frequently lead to cross-contamination and consequently to preventable cases of illness (Luber, 2009). Since contamination of kitchen surfaces and utensils cannot be detected by sight, smell, or taste, consumers are unable to recognize the presence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making it particularly challenging to control compared with other potential household contaminants (Hoffmann &amp; Moser, 2017). Consumers must rely on the assumption that poultry products available on the market are safe (Ben Romdhane &amp; Merle, 2021). This dependence reflects a case of market failure caused by imperfect information, as consumers are unable to accurately assess product safety at the point of purchase (Swinbank, 1993).</w:t>
      </w:r>
    </w:p>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Large-scale consumer surveys demonstrate that high-risk kitchen behaviors remain widespread, with nearly 70% of U.S. consumers washing raw poultry despite clear scientific warnings (Kosa et al., 2015), many using unsafe thawing methods such as leaving meat at room temperature (Alter &amp; Reich, 2021), and few verifying cooking temperatures with a thermometer (Feng &amp; Bruhn, 2019). The persistent gap between food safety knowledge and actual behavior suggests that passive awareness campaigns alone are insufficient to achieve lasting behavioral change (Nauta et al., 2008). At the same time, consumers may be reluctant to accept potential price increases resulting from additional control measures implemented along the production chain (Gilbert &amp; Cressey, 2008). Nevertheless, many may value greater transparency, such as enhanced labeling that communicates product safety criteria and verification methods (Allan et al., 2018). Certain consumer segments—particularly those more risk-averse or health-conscious—may even be willing to pay a premium for products certified as safer (Graff Zivin, 2006).</w:t>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rPr>
      </w:pPr>
      <w:r w:rsidDel="00000000" w:rsidR="00000000" w:rsidRPr="00000000">
        <w:rPr>
          <w:rFonts w:ascii="Calibri" w:cs="Calibri" w:eastAsia="Calibri" w:hAnsi="Calibri"/>
          <w:b w:val="1"/>
          <w:rtl w:val="0"/>
        </w:rPr>
        <w:t xml:space="preserve">Short-term Goals</w:t>
      </w:r>
    </w:p>
    <w:p w:rsidR="00000000" w:rsidDel="00000000" w:rsidP="00000000" w:rsidRDefault="00000000" w:rsidRPr="00000000" w14:paraId="0000003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Launch Targeted Behavioral Campaigns:</w:t>
      </w:r>
      <w:r w:rsidDel="00000000" w:rsidR="00000000" w:rsidRPr="00000000">
        <w:rPr>
          <w:rFonts w:ascii="Calibri" w:cs="Calibri" w:eastAsia="Calibri" w:hAnsi="Calibri"/>
          <w:rtl w:val="0"/>
        </w:rPr>
        <w:t xml:space="preserve"> Develop and promote clear, action-oriented food safety messages that explicitly instruct consumers </w:t>
      </w:r>
      <w:r w:rsidDel="00000000" w:rsidR="00000000" w:rsidRPr="00000000">
        <w:rPr>
          <w:rFonts w:ascii="Calibri" w:cs="Calibri" w:eastAsia="Calibri" w:hAnsi="Calibri"/>
          <w:b w:val="1"/>
          <w:rtl w:val="0"/>
        </w:rPr>
        <w:t xml:space="preserve">not to wash raw poultry</w:t>
      </w:r>
      <w:r w:rsidDel="00000000" w:rsidR="00000000" w:rsidRPr="00000000">
        <w:rPr>
          <w:rFonts w:ascii="Calibri" w:cs="Calibri" w:eastAsia="Calibri" w:hAnsi="Calibri"/>
          <w:rtl w:val="0"/>
        </w:rPr>
        <w:t xml:space="preserve"> and to </w:t>
      </w:r>
      <w:r w:rsidDel="00000000" w:rsidR="00000000" w:rsidRPr="00000000">
        <w:rPr>
          <w:rFonts w:ascii="Calibri" w:cs="Calibri" w:eastAsia="Calibri" w:hAnsi="Calibri"/>
          <w:b w:val="1"/>
          <w:rtl w:val="0"/>
        </w:rPr>
        <w:t xml:space="preserve">always use a food thermometer</w:t>
      </w:r>
      <w:r w:rsidDel="00000000" w:rsidR="00000000" w:rsidRPr="00000000">
        <w:rPr>
          <w:rFonts w:ascii="Calibri" w:cs="Calibri" w:eastAsia="Calibri" w:hAnsi="Calibri"/>
          <w:rtl w:val="0"/>
        </w:rPr>
        <w:t xml:space="preserve"> to verify doneness.</w:t>
      </w:r>
    </w:p>
    <w:p w:rsidR="00000000" w:rsidDel="00000000" w:rsidP="00000000" w:rsidRDefault="00000000" w:rsidRPr="00000000" w14:paraId="0000003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Advocate for Clearer On-Package Labeling:</w:t>
      </w:r>
      <w:r w:rsidDel="00000000" w:rsidR="00000000" w:rsidRPr="00000000">
        <w:rPr>
          <w:rFonts w:ascii="Calibri" w:cs="Calibri" w:eastAsia="Calibri" w:hAnsi="Calibri"/>
          <w:rtl w:val="0"/>
        </w:rPr>
        <w:t xml:space="preserve"> Campaign for mandatory, easy-to-understand safe handling instructions and warnings on all raw poultry packaging, designed to be noticed and acted upon during food preparation.</w:t>
      </w:r>
    </w:p>
    <w:p w:rsidR="00000000" w:rsidDel="00000000" w:rsidP="00000000" w:rsidRDefault="00000000" w:rsidRPr="00000000" w14:paraId="0000003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Promote Retailer Transparency:</w:t>
      </w:r>
      <w:r w:rsidDel="00000000" w:rsidR="00000000" w:rsidRPr="00000000">
        <w:rPr>
          <w:rFonts w:ascii="Calibri" w:cs="Calibri" w:eastAsia="Calibri" w:hAnsi="Calibri"/>
          <w:rtl w:val="0"/>
        </w:rPr>
        <w:t xml:space="preserve"> Support initiatives, similar to the model used by the UK's Food Standards Agency, that encourage or require major food retailers to publicly report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testing data for their poultry products, thereby empowering consumer choice and creating market-based incentives for improvement.</w:t>
      </w:r>
    </w:p>
    <w:p w:rsidR="00000000" w:rsidDel="00000000" w:rsidP="00000000" w:rsidRDefault="00000000" w:rsidRPr="00000000" w14:paraId="0000003C">
      <w:pPr>
        <w:numPr>
          <w:ilvl w:val="0"/>
          <w:numId w:val="2"/>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Support Financial Incentives for Safer Production:</w:t>
        <w:br w:type="textWrapping"/>
      </w:r>
      <w:r w:rsidDel="00000000" w:rsidR="00000000" w:rsidRPr="00000000">
        <w:rPr>
          <w:rFonts w:ascii="Calibri" w:cs="Calibri" w:eastAsia="Calibri" w:hAnsi="Calibri"/>
          <w:rtl w:val="0"/>
        </w:rPr>
        <w:t xml:space="preserve">Advocate for targeted subsidies or supportive funding programs for poultry farms and processors implementing enhanced biosecurity and control measures. Such financial mechanisms would help offset production costs, preventing disproportionate price increases for consumers while promoting higher food safety standards across the supply chain.</w:t>
      </w:r>
    </w:p>
    <w:p w:rsidR="00000000" w:rsidDel="00000000" w:rsidP="00000000" w:rsidRDefault="00000000" w:rsidRPr="00000000" w14:paraId="0000003D">
      <w:pPr>
        <w:jc w:val="both"/>
        <w:rPr>
          <w:rFonts w:ascii="Calibri" w:cs="Calibri" w:eastAsia="Calibri" w:hAnsi="Calibri"/>
          <w:b w:val="1"/>
        </w:rPr>
      </w:pPr>
      <w:r w:rsidDel="00000000" w:rsidR="00000000" w:rsidRPr="00000000">
        <w:rPr>
          <w:rFonts w:ascii="Calibri" w:cs="Calibri" w:eastAsia="Calibri" w:hAnsi="Calibri"/>
          <w:b w:val="1"/>
          <w:rtl w:val="0"/>
        </w:rPr>
        <w:t xml:space="preserve">General Aim</w:t>
      </w:r>
    </w:p>
    <w:p w:rsidR="00000000" w:rsidDel="00000000" w:rsidP="00000000" w:rsidRDefault="00000000" w:rsidRPr="00000000" w14:paraId="0000003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To measurably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-attributable illness from poultry by closing consumer information gaps and improving household handling practices, while driving market transparency and incentivizing safer production—so that verified, safer products are widely available without imposing disproportionate cost burdens on consumers.</w:t>
      </w:r>
    </w:p>
    <w:p w:rsidR="00000000" w:rsidDel="00000000" w:rsidP="00000000" w:rsidRDefault="00000000" w:rsidRPr="00000000" w14:paraId="00000040">
      <w:pPr>
        <w:jc w:val="both"/>
        <w:rPr>
          <w:rFonts w:ascii="Calibri" w:cs="Calibri" w:eastAsia="Calibri" w:hAnsi="Calibri"/>
          <w:b w:val="1"/>
        </w:rPr>
      </w:pPr>
      <w:r w:rsidDel="00000000" w:rsidR="00000000" w:rsidRPr="00000000">
        <w:rPr>
          <w:rFonts w:ascii="Calibri" w:cs="Calibri" w:eastAsia="Calibri" w:hAnsi="Calibri"/>
          <w:b w:val="1"/>
          <w:rtl w:val="0"/>
        </w:rPr>
        <w:t xml:space="preserve">Scientific Foundation</w:t>
      </w:r>
    </w:p>
    <w:p w:rsidR="00000000" w:rsidDel="00000000" w:rsidP="00000000" w:rsidRDefault="00000000" w:rsidRPr="00000000" w14:paraId="0000004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The focus on consumer handling is validated by scientific evidence demonstrating the kitchen's role in foodborne illness transmission (Luber, 2009). Research confirms that the domestic kitchen is a significant site for cross-contamination (Kennedy et al., 2011), where pathogens from raw poultry are readily transferred to hands, surfaces, and ready-to-eat foods (Kosa et al., 2015). Nationally representative surveys, such as the 2015 Kosa et al. study, provide a robust evidence base for quantifying the prevalence of these high-risk behaviors (Kosa et al., 2015). The economic concept of market failure provides a strong rationale for interventions (Swinbank, 1993), as consumers cannot easily assess food safety (Hoffmann &amp; Moser, 2017), creating a clear need for better product labeling (Allan et al., 2018) and public communication (Nauta et al., 2008) to correct this imbalance.</w:t>
      </w:r>
    </w:p>
    <w:p w:rsidR="00000000" w:rsidDel="00000000" w:rsidP="00000000" w:rsidRDefault="00000000" w:rsidRPr="00000000" w14:paraId="0000004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rPr>
      </w:pPr>
      <w:r w:rsidDel="00000000" w:rsidR="00000000" w:rsidRPr="00000000">
        <w:rPr>
          <w:rFonts w:ascii="Calibri" w:cs="Calibri" w:eastAsia="Calibri" w:hAnsi="Calibri"/>
          <w:b w:val="1"/>
          <w:rtl w:val="0"/>
        </w:rPr>
        <w:t xml:space="preserve">Ethical Foundation</w:t>
      </w:r>
    </w:p>
    <w:p w:rsidR="00000000" w:rsidDel="00000000" w:rsidP="00000000" w:rsidRDefault="00000000" w:rsidRPr="00000000" w14:paraId="0000004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Consumers play an essential role in the shared ethical responsibility to prevent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infections under the </w:t>
      </w:r>
      <w:r w:rsidDel="00000000" w:rsidR="00000000" w:rsidRPr="00000000">
        <w:rPr>
          <w:rFonts w:ascii="Calibri" w:cs="Calibri" w:eastAsia="Calibri" w:hAnsi="Calibri"/>
          <w:b w:val="1"/>
          <w:rtl w:val="0"/>
        </w:rPr>
        <w:t xml:space="preserve">One Health</w:t>
      </w:r>
      <w:r w:rsidDel="00000000" w:rsidR="00000000" w:rsidRPr="00000000">
        <w:rPr>
          <w:rFonts w:ascii="Calibri" w:cs="Calibri" w:eastAsia="Calibri" w:hAnsi="Calibri"/>
          <w:rtl w:val="0"/>
        </w:rPr>
        <w:t xml:space="preserve"> framework, which recognizes the interdependence of human, animal, and environmental health. While regulatory authorities and food business operators bear primary responsibility for ensuring that poultry products entering the market are safe, consumers have a </w:t>
      </w:r>
      <w:r w:rsidDel="00000000" w:rsidR="00000000" w:rsidRPr="00000000">
        <w:rPr>
          <w:rFonts w:ascii="Calibri" w:cs="Calibri" w:eastAsia="Calibri" w:hAnsi="Calibri"/>
          <w:b w:val="1"/>
          <w:rtl w:val="0"/>
        </w:rPr>
        <w:t xml:space="preserve">complementary moral duty</w:t>
      </w:r>
      <w:r w:rsidDel="00000000" w:rsidR="00000000" w:rsidRPr="00000000">
        <w:rPr>
          <w:rFonts w:ascii="Calibri" w:cs="Calibri" w:eastAsia="Calibri" w:hAnsi="Calibri"/>
          <w:rtl w:val="0"/>
        </w:rPr>
        <w:t xml:space="preserve"> to handle and prepare food in ways that prevent cross-contamination and protect both their own households and the broader community from avoidable illness.</w:t>
      </w:r>
    </w:p>
    <w:p w:rsidR="00000000" w:rsidDel="00000000" w:rsidP="00000000" w:rsidRDefault="00000000" w:rsidRPr="00000000" w14:paraId="0000004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Because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contamination cannot be detected through sight, smell, or taste, consumers must trust that food placed on the market meets high hygiene standards. This dependency creates a form of </w:t>
      </w:r>
      <w:r w:rsidDel="00000000" w:rsidR="00000000" w:rsidRPr="00000000">
        <w:rPr>
          <w:rFonts w:ascii="Calibri" w:cs="Calibri" w:eastAsia="Calibri" w:hAnsi="Calibri"/>
          <w:b w:val="1"/>
          <w:rtl w:val="0"/>
        </w:rPr>
        <w:t xml:space="preserve">information asymmetry</w:t>
      </w:r>
      <w:r w:rsidDel="00000000" w:rsidR="00000000" w:rsidRPr="00000000">
        <w:rPr>
          <w:rFonts w:ascii="Calibri" w:cs="Calibri" w:eastAsia="Calibri" w:hAnsi="Calibri"/>
          <w:rtl w:val="0"/>
        </w:rPr>
        <w:t xml:space="preserve">, where the responsibility for safety is shared between producers and consumers but the knowledge and control over risk are unevenly distributed. Ethically, this imbalance requires public and private sectors to provide </w:t>
      </w:r>
      <w:r w:rsidDel="00000000" w:rsidR="00000000" w:rsidRPr="00000000">
        <w:rPr>
          <w:rFonts w:ascii="Calibri" w:cs="Calibri" w:eastAsia="Calibri" w:hAnsi="Calibri"/>
          <w:b w:val="1"/>
          <w:rtl w:val="0"/>
        </w:rPr>
        <w:t xml:space="preserve">transparent information, clear labeling, and effective public education</w:t>
      </w:r>
      <w:r w:rsidDel="00000000" w:rsidR="00000000" w:rsidRPr="00000000">
        <w:rPr>
          <w:rFonts w:ascii="Calibri" w:cs="Calibri" w:eastAsia="Calibri" w:hAnsi="Calibri"/>
          <w:rtl w:val="0"/>
        </w:rPr>
        <w:t xml:space="preserve">, empowering consumers to make informed choices and adopt safe behaviors.</w:t>
      </w:r>
    </w:p>
    <w:p w:rsidR="00000000" w:rsidDel="00000000" w:rsidP="00000000" w:rsidRDefault="00000000" w:rsidRPr="00000000" w14:paraId="0000004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At the same time, consumers have a </w:t>
      </w:r>
      <w:r w:rsidDel="00000000" w:rsidR="00000000" w:rsidRPr="00000000">
        <w:rPr>
          <w:rFonts w:ascii="Calibri" w:cs="Calibri" w:eastAsia="Calibri" w:hAnsi="Calibri"/>
          <w:b w:val="1"/>
          <w:rtl w:val="0"/>
        </w:rPr>
        <w:t xml:space="preserve">duty of care</w:t>
      </w:r>
      <w:r w:rsidDel="00000000" w:rsidR="00000000" w:rsidRPr="00000000">
        <w:rPr>
          <w:rFonts w:ascii="Calibri" w:cs="Calibri" w:eastAsia="Calibri" w:hAnsi="Calibri"/>
          <w:rtl w:val="0"/>
        </w:rPr>
        <w:t xml:space="preserve">—to act responsibly once food enters the home. This includes avoiding high-risk practices such as washing raw poultry, using separate utensils for raw and ready-to-eat foods, and verifying cooking temperatures. These seemingly individual actions have collective moral significance, as they reduce infection risks for vulnerable groups such as children, the elderly, and immunocompromised individuals.</w:t>
      </w:r>
    </w:p>
    <w:p w:rsidR="00000000" w:rsidDel="00000000" w:rsidP="00000000" w:rsidRDefault="00000000" w:rsidRPr="00000000" w14:paraId="0000004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Ethically, consumer engagement must be based on </w:t>
      </w:r>
      <w:r w:rsidDel="00000000" w:rsidR="00000000" w:rsidRPr="00000000">
        <w:rPr>
          <w:rFonts w:ascii="Calibri" w:cs="Calibri" w:eastAsia="Calibri" w:hAnsi="Calibri"/>
          <w:b w:val="1"/>
          <w:rtl w:val="0"/>
        </w:rPr>
        <w:t xml:space="preserve">solidarity and fairness</w:t>
      </w:r>
      <w:r w:rsidDel="00000000" w:rsidR="00000000" w:rsidRPr="00000000">
        <w:rPr>
          <w:rFonts w:ascii="Calibri" w:cs="Calibri" w:eastAsia="Calibri" w:hAnsi="Calibri"/>
          <w:rtl w:val="0"/>
        </w:rPr>
        <w:t xml:space="preserve">. Efforts to improve food safety should not result in prohibitive price increases that make safer products inaccessible to lower-income households. Supporting financial mechanisms that incentivize safer production without transferring the full cost burden to consumers reflects a commitment to equity and shared social responsibility.</w:t>
      </w:r>
    </w:p>
    <w:p w:rsidR="00000000" w:rsidDel="00000000" w:rsidP="00000000" w:rsidRDefault="00000000" w:rsidRPr="00000000" w14:paraId="0000004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essence, consumers’ ethical role is twofold: to </w:t>
      </w:r>
      <w:r w:rsidDel="00000000" w:rsidR="00000000" w:rsidRPr="00000000">
        <w:rPr>
          <w:rFonts w:ascii="Calibri" w:cs="Calibri" w:eastAsia="Calibri" w:hAnsi="Calibri"/>
          <w:b w:val="1"/>
          <w:rtl w:val="0"/>
        </w:rPr>
        <w:t xml:space="preserve">practice informed, responsible food handling</w:t>
      </w:r>
      <w:r w:rsidDel="00000000" w:rsidR="00000000" w:rsidRPr="00000000">
        <w:rPr>
          <w:rFonts w:ascii="Calibri" w:cs="Calibri" w:eastAsia="Calibri" w:hAnsi="Calibri"/>
          <w:rtl w:val="0"/>
        </w:rPr>
        <w:t xml:space="preserve"> and to </w:t>
      </w:r>
      <w:r w:rsidDel="00000000" w:rsidR="00000000" w:rsidRPr="00000000">
        <w:rPr>
          <w:rFonts w:ascii="Calibri" w:cs="Calibri" w:eastAsia="Calibri" w:hAnsi="Calibri"/>
          <w:b w:val="1"/>
          <w:rtl w:val="0"/>
        </w:rPr>
        <w:t xml:space="preserve">advocate for transparency and accountability</w:t>
      </w:r>
      <w:r w:rsidDel="00000000" w:rsidR="00000000" w:rsidRPr="00000000">
        <w:rPr>
          <w:rFonts w:ascii="Calibri" w:cs="Calibri" w:eastAsia="Calibri" w:hAnsi="Calibri"/>
          <w:rtl w:val="0"/>
        </w:rPr>
        <w:t xml:space="preserve"> throughout the supply chain. Through these actions, consumers become active participants in the collective moral effort—alongside public health authorities and food producers—to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and promote the overall health, fairness, and sustainability envisioned by the One Health principles.</w:t>
      </w:r>
    </w:p>
    <w:p w:rsidR="00000000" w:rsidDel="00000000" w:rsidP="00000000" w:rsidRDefault="00000000" w:rsidRPr="00000000" w14:paraId="0000004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Moreover, consumers increasingly expect food safety regulations to coexist with sustainability goals. Measures that enhance safety but result in massive food wastage may undermine social acceptance, particularly under global food-supply stress. Ethical consumer perspectives therefore emphasize proportionate safety thresholds, transparency on waste implications, and education on safe food handling to prevent household-level waste.</w:t>
      </w:r>
    </w:p>
    <w:p w:rsidR="00000000" w:rsidDel="00000000" w:rsidP="00000000" w:rsidRDefault="00000000" w:rsidRPr="00000000" w14:paraId="0000004B">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Stakeholder Position Paper: </w:t>
      </w:r>
      <w:r w:rsidDel="00000000" w:rsidR="00000000" w:rsidRPr="00000000">
        <w:rPr>
          <w:rFonts w:ascii="Calibri" w:cs="Calibri" w:eastAsia="Calibri" w:hAnsi="Calibri"/>
          <w:b w:val="1"/>
          <w:rtl w:val="0"/>
        </w:rPr>
        <w:t xml:space="preserve">Environmental NGOs </w:t>
      </w:r>
    </w:p>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From an environmental perspective, the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problem is a direct consequence of intensive agricultural practices (Szott &amp; Friese, 2021). This viewpoint frames modern livestock farming as the creator of vast pathogen reservoirs that lead to the contamination of the wider ecosystem (Schets et al., 2017). The continuous shedding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establishes environmental transmission cycles that affect water, soil, and wildlife, underscoring the deep interconnectedness of farm management, ecological health, and public health (Gölz et al., 2014). </w:t>
      </w:r>
    </w:p>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Intensive agricultural operations, particularly those for poultry, cattle, and pigs, serve as primary reservoirs that continuously shed high concentrations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into the environment (Hermans et al., 2012). The pathogen is dispersed from farms into the surrounding ecosystem via multiple routes (Szott &amp; Friese, 2021):</w:t>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Manure and Slurry: The application of animal waste as fertilizer or runoff from storage areas leads to the direct contamination of soil and waterways (Jones, 2001).</w:t>
      </w:r>
    </w:p>
    <w:p w:rsidR="00000000" w:rsidDel="00000000" w:rsidP="00000000" w:rsidRDefault="00000000" w:rsidRPr="00000000" w14:paraId="00000051">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Airborne Transmission: Pathogens can become aerosolized from the dust and particles exhausted from mechanically ventilated animal houses (de Rooij et al., 2019).</w:t>
      </w:r>
    </w:p>
    <w:p w:rsidR="00000000" w:rsidDel="00000000" w:rsidP="00000000" w:rsidRDefault="00000000" w:rsidRPr="00000000" w14:paraId="00000052">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Water Contamination: Farm runoff is a significant source of contamination for surface waters, including recreational lakes and streams used for irrigation (Brooks et al., 2009).</w:t>
      </w:r>
    </w:p>
    <w:p w:rsidR="00000000" w:rsidDel="00000000" w:rsidP="00000000" w:rsidRDefault="00000000" w:rsidRPr="00000000" w14:paraId="00000053">
      <w:pPr>
        <w:numPr>
          <w:ilvl w:val="0"/>
          <w:numId w:val="6"/>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Vector Spread: Insects, particularly flies, and rodents act as mechanical vectors, physically carrying the bacteria from farms to other locations (Hald et al., 2004).</w:t>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rPr>
      </w:pPr>
      <w:r w:rsidDel="00000000" w:rsidR="00000000" w:rsidRPr="00000000">
        <w:rPr>
          <w:rFonts w:ascii="Calibri" w:cs="Calibri" w:eastAsia="Calibri" w:hAnsi="Calibri"/>
          <w:rtl w:val="0"/>
        </w:rPr>
        <w:t xml:space="preserve">Further complicating control is the pathogen's ability to survive in harsh environmental conditions by entering a "Viable But Non-Culturable" (VBNC) state (Silva et al., 2011). In this dormant-like condition, the bacteria do not grow on standard laboratory media—making them undetectable by conventional methods (Oliver, 2005)—but may remain metabolically active and potentially infectious (Ramamurthy et al., 2014).</w:t>
      </w:r>
      <w:r w:rsidDel="00000000" w:rsidR="00000000" w:rsidRPr="00000000">
        <w:rPr>
          <w:rtl w:val="0"/>
        </w:rPr>
      </w:r>
    </w:p>
    <w:p w:rsidR="00000000" w:rsidDel="00000000" w:rsidP="00000000" w:rsidRDefault="00000000" w:rsidRPr="00000000" w14:paraId="00000056">
      <w:pPr>
        <w:spacing w:after="240" w:before="240" w:lineRule="auto"/>
        <w:jc w:val="both"/>
        <w:rPr>
          <w:rFonts w:ascii="Calibri" w:cs="Calibri" w:eastAsia="Calibri" w:hAnsi="Calibri"/>
          <w:b w:val="1"/>
        </w:rPr>
      </w:pPr>
      <w:r w:rsidDel="00000000" w:rsidR="00000000" w:rsidRPr="00000000">
        <w:rPr>
          <w:rFonts w:ascii="Calibri" w:cs="Calibri" w:eastAsia="Calibri" w:hAnsi="Calibri"/>
          <w:rtl w:val="0"/>
        </w:rPr>
        <w:t xml:space="preserve">From an environmental perspective, the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problem is a direct consequence of intensive agricultural practices. This viewpoint frames modern livestock farming as the creator of vast pathogen reservoirs that lead to the contamination of the wider ecosystem. The continuous shedding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establishes environmental transmission cycles that affect water, soil, and wildlife, underscoring the deep interconnectedness of farm management, ecological health, and public health.</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rPr>
      </w:pPr>
      <w:r w:rsidDel="00000000" w:rsidR="00000000" w:rsidRPr="00000000">
        <w:rPr>
          <w:rFonts w:ascii="Calibri" w:cs="Calibri" w:eastAsia="Calibri" w:hAnsi="Calibri"/>
          <w:b w:val="1"/>
          <w:rtl w:val="0"/>
        </w:rPr>
        <w:t xml:space="preserve">Short-term Goals</w:t>
      </w:r>
    </w:p>
    <w:p w:rsidR="00000000" w:rsidDel="00000000" w:rsidP="00000000" w:rsidRDefault="00000000" w:rsidRPr="00000000" w14:paraId="0000005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Advocate for Stricter Manure Management Regulations: Campaign for policies that mandate the treatment and responsible management of animal waste to prevent the contamination of soil and aquatic ecosystems with zoonotic pathogens.</w:t>
      </w:r>
    </w:p>
    <w:p w:rsidR="00000000" w:rsidDel="00000000" w:rsidP="00000000" w:rsidRDefault="00000000" w:rsidRPr="00000000" w14:paraId="0000005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Promote Research on Environmental Risks: Call for increased research into the prevalence, survival, and infectivity of VBNC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the environment. This goal is critical because there are currently no systematic studies on the prevalence of VBNC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the farm environment, and its contribution to livestock colonization and human outbreaks remains unknown.</w:t>
      </w:r>
    </w:p>
    <w:p w:rsidR="00000000" w:rsidDel="00000000" w:rsidP="00000000" w:rsidRDefault="00000000" w:rsidRPr="00000000" w14:paraId="0000005B">
      <w:pPr>
        <w:numPr>
          <w:ilvl w:val="0"/>
          <w:numId w:val="1"/>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Champion Integrated "One Health" Farm Systems: Encourage the adoption of holistic and sustainable farm management practices designed to reduce pathogen loads at the source, thereby minimizing environmental shedding and breaking transmission cycles between farms, wildlife, and water systems.</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Fonts w:ascii="Calibri" w:cs="Calibri" w:eastAsia="Calibri" w:hAnsi="Calibri"/>
          <w:b w:val="1"/>
          <w:rtl w:val="0"/>
        </w:rPr>
        <w:t xml:space="preserve">General Aim</w:t>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spacing w:after="240" w:lineRule="auto"/>
        <w:jc w:val="both"/>
        <w:rPr>
          <w:rFonts w:ascii="Calibri" w:cs="Calibri" w:eastAsia="Calibri" w:hAnsi="Calibri"/>
          <w:b w:val="1"/>
        </w:rPr>
      </w:pPr>
      <w:r w:rsidDel="00000000" w:rsidR="00000000" w:rsidRPr="00000000">
        <w:rPr>
          <w:rFonts w:ascii="Calibri" w:cs="Calibri" w:eastAsia="Calibri" w:hAnsi="Calibri"/>
          <w:rtl w:val="0"/>
        </w:rPr>
        <w:t xml:space="preserve">To mitigate the environmental transmission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and other zoonotic pathogens through strengthened manure management, enhanced scientific understanding of environmental risks, and the adoption of integrated “One Health” farming systems—thereby reducing pathogen circulation between animals, humans, and ecosystems and supporting sustainable, biosecure food production.</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Fonts w:ascii="Calibri" w:cs="Calibri" w:eastAsia="Calibri" w:hAnsi="Calibri"/>
          <w:b w:val="1"/>
          <w:rtl w:val="0"/>
        </w:rPr>
        <w:t xml:space="preserve">Scientific Foundation</w:t>
      </w:r>
    </w:p>
    <w:p w:rsidR="00000000" w:rsidDel="00000000" w:rsidP="00000000" w:rsidRDefault="00000000" w:rsidRPr="00000000" w14:paraId="0000006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environmental perspective is supported by scientific evidence tracing the pathogen's journey from the farm into the natural world. Numerous studies have successfully isolated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from a wide range of environmental samples, including soil, flies, and recreational water sources, directly linking agricultural activity to environmental contamination. Microbiological research on the VBNC state provides the scientific mechanism that explains the pathogen's unexpected tenacity and persistence in environments outside of a host. This focus on environmental pathways is justified by the "One Health" approach, a globally recognized concept positing that human, animal, and environmental health are inextricably linked.</w:t>
      </w:r>
    </w:p>
    <w:p w:rsidR="00000000" w:rsidDel="00000000" w:rsidP="00000000" w:rsidRDefault="00000000" w:rsidRPr="00000000" w14:paraId="0000006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environmental perspective is supported by scientific evidence tracing the pathogen's journey from the farm into the natural world (Szott &amp; Friese, 2021). Numerous studies have successfully isolated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from a wide range of environmental samples, including soil (Jones, 2001), flies (Hald et al., 2004), and recreational water sources (Guy et al., 2018), directly linking agricultural activity to environmental contamination (Bull et al., 2006). Microbiological research on the VBNC state provides the scientific mechanism that explains the pathogen's unexpected tenacity and persistence in environments outside of a host (Oliver, 2005). This focus on environmental pathways is justified by the "One Health" approach, a globally recognized concept positing that human, animal, and environmental health are inextricably linked (Gölz et al., 2014).</w:t>
      </w:r>
    </w:p>
    <w:p w:rsidR="00000000" w:rsidDel="00000000" w:rsidP="00000000" w:rsidRDefault="00000000" w:rsidRPr="00000000" w14:paraId="0000006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Environmental advocates highlight that food waste itself constitutes a major ecological burden. When poultry products are discarded due to overly stringent criteria, all embedded greenhouse-gas emissions, land, and water inputs are lost, aggravating environmental impact. From a One Health and circular-economy perspective, control measures must therefore evaluate life-cycle sustainability, as promoted by the EU Green Deal and SDG 13 (Climate Action).</w:t>
      </w:r>
    </w:p>
    <w:p w:rsidR="00000000" w:rsidDel="00000000" w:rsidP="00000000" w:rsidRDefault="00000000" w:rsidRPr="00000000" w14:paraId="0000006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Environmental stakeholders highlight that discarded meat carries a hidden environmental footprint through embedded greenhouse-gas emissions, land, and water use. Tightening microbiological limits without harmonized waste-mitigation strategies could increase overall climate impact. They advocate for circular approaches—safe re-processing, rendering, or alternative valorization routes—to minimize the ecological burden of food rejected under stricter criteria.</w:t>
      </w:r>
    </w:p>
    <w:p w:rsidR="00000000" w:rsidDel="00000000" w:rsidP="00000000" w:rsidRDefault="00000000" w:rsidRPr="00000000" w14:paraId="00000064">
      <w:pPr>
        <w:jc w:val="both"/>
        <w:rPr>
          <w:rFonts w:ascii="Calibri" w:cs="Calibri" w:eastAsia="Calibri" w:hAnsi="Calibri"/>
          <w:b w:val="1"/>
        </w:rPr>
      </w:pPr>
      <w:r w:rsidDel="00000000" w:rsidR="00000000" w:rsidRPr="00000000">
        <w:rPr>
          <w:rFonts w:ascii="Calibri" w:cs="Calibri" w:eastAsia="Calibri" w:hAnsi="Calibri"/>
          <w:b w:val="1"/>
          <w:rtl w:val="0"/>
        </w:rPr>
        <w:t xml:space="preserve">Ethical Foundation</w:t>
      </w:r>
    </w:p>
    <w:p w:rsidR="00000000" w:rsidDel="00000000" w:rsidP="00000000" w:rsidRDefault="00000000" w:rsidRPr="00000000" w14:paraId="000000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Environmental NGOs have an ethical responsibility to safeguard the ecological balance that underpins human and animal health. Intensive livestock farming creates vast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reservoirs that contaminate soil, water, and wildlife, turning an agricultural challenge into an environmental and public health issue. Under the One Health and Manhattan Principles, NGOs are morally obligated to advocate for sustainable farming systems that prevent pathogen leakage into the environment.</w:t>
      </w:r>
    </w:p>
    <w:p w:rsidR="00000000" w:rsidDel="00000000" w:rsidP="00000000" w:rsidRDefault="00000000" w:rsidRPr="00000000" w14:paraId="0000006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duty is rooted in the principle of ecological stewardship—the obligation to prevent avoidable harm to ecosystems and communities affected by agricultural pollution. Continuous shedding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through manure, runoff, and airborne particles externalizes health risks onto others, violating the ethical norms of fairness and shared responsibility.</w:t>
      </w:r>
    </w:p>
    <w:p w:rsidR="00000000" w:rsidDel="00000000" w:rsidP="00000000" w:rsidRDefault="00000000" w:rsidRPr="00000000" w14:paraId="0000006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Accordingly, environmental NGOs must promote science-based manure management, research on environmental persistence, and integrated farm systems that minimize contamination at its source. Their ethical mission is to ensure that food production supports—not undermines—the long-term health of people, animals, and ecosystems.</w:t>
      </w:r>
    </w:p>
    <w:p w:rsidR="00000000" w:rsidDel="00000000" w:rsidP="00000000" w:rsidRDefault="00000000" w:rsidRPr="00000000" w14:paraId="00000068">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References</w:t>
      </w:r>
    </w:p>
    <w:p w:rsidR="00000000" w:rsidDel="00000000" w:rsidP="00000000" w:rsidRDefault="00000000" w:rsidRPr="00000000" w14:paraId="0000006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Abd El-Hack, M. E., El-Saadony, M. T., Shehata, A. M., Arif, M., Paswan, V. K., Batiha, G. E., Khafaga, A. F., &amp; Elbestawy, A. R. (2021). Approaches to prevent and control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colonization in broiler chickens: A review. </w:t>
      </w:r>
      <w:r w:rsidDel="00000000" w:rsidR="00000000" w:rsidRPr="00000000">
        <w:rPr>
          <w:rFonts w:ascii="Calibri" w:cs="Calibri" w:eastAsia="Calibri" w:hAnsi="Calibri"/>
          <w:i w:val="1"/>
          <w:rtl w:val="0"/>
        </w:rPr>
        <w:t xml:space="preserve">Environmental Science and Pollution Research</w:t>
      </w:r>
      <w:r w:rsidDel="00000000" w:rsidR="00000000" w:rsidRPr="00000000">
        <w:rPr>
          <w:rFonts w:ascii="Calibri" w:cs="Calibri" w:eastAsia="Calibri" w:hAnsi="Calibri"/>
          <w:rtl w:val="0"/>
        </w:rPr>
        <w:t xml:space="preserve">, 28, 4989–5004.</w:t>
      </w:r>
    </w:p>
    <w:p w:rsidR="00000000" w:rsidDel="00000000" w:rsidP="00000000" w:rsidRDefault="00000000" w:rsidRPr="00000000" w14:paraId="0000006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Agunos, A., Waddell, L., Léger, D., &amp; Taboada, E. (2014). A systematic review characterizing on-farm sources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for broiler chickens. </w:t>
      </w:r>
      <w:r w:rsidDel="00000000" w:rsidR="00000000" w:rsidRPr="00000000">
        <w:rPr>
          <w:rFonts w:ascii="Calibri" w:cs="Calibri" w:eastAsia="Calibri" w:hAnsi="Calibri"/>
          <w:i w:val="1"/>
          <w:rtl w:val="0"/>
        </w:rPr>
        <w:t xml:space="preserve">PLoS ONE</w:t>
      </w:r>
      <w:r w:rsidDel="00000000" w:rsidR="00000000" w:rsidRPr="00000000">
        <w:rPr>
          <w:rFonts w:ascii="Calibri" w:cs="Calibri" w:eastAsia="Calibri" w:hAnsi="Calibri"/>
          <w:rtl w:val="0"/>
        </w:rPr>
        <w:t xml:space="preserve">, 9(8), e104905.</w:t>
      </w:r>
    </w:p>
    <w:p w:rsidR="00000000" w:rsidDel="00000000" w:rsidP="00000000" w:rsidRDefault="00000000" w:rsidRPr="00000000" w14:paraId="0000006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Allan, P. D., Palmer, C., Chan, F., Lyons, R., Nicholson, O., Rose, M., Hales, S., &amp; Baker, M. G. (2018). Food safety labelling of chicken to prevent campylobacteriosis: Consumer expectations and current practices. </w:t>
      </w:r>
      <w:r w:rsidDel="00000000" w:rsidR="00000000" w:rsidRPr="00000000">
        <w:rPr>
          <w:rFonts w:ascii="Calibri" w:cs="Calibri" w:eastAsia="Calibri" w:hAnsi="Calibri"/>
          <w:i w:val="1"/>
          <w:rtl w:val="0"/>
        </w:rPr>
        <w:t xml:space="preserve">BMC Public Health</w:t>
      </w:r>
      <w:r w:rsidDel="00000000" w:rsidR="00000000" w:rsidRPr="00000000">
        <w:rPr>
          <w:rFonts w:ascii="Calibri" w:cs="Calibri" w:eastAsia="Calibri" w:hAnsi="Calibri"/>
          <w:rtl w:val="0"/>
        </w:rPr>
        <w:t xml:space="preserve">, 18, 414.</w:t>
      </w:r>
    </w:p>
    <w:p w:rsidR="00000000" w:rsidDel="00000000" w:rsidP="00000000" w:rsidRDefault="00000000" w:rsidRPr="00000000" w14:paraId="0000006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Alter, T., &amp; Reich, F. (2021). Management strategies for prevention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infections through the poultry food chain: A European perspective. In S. Backert (Ed.), </w:t>
      </w:r>
      <w:r w:rsidDel="00000000" w:rsidR="00000000" w:rsidRPr="00000000">
        <w:rPr>
          <w:rFonts w:ascii="Calibri" w:cs="Calibri" w:eastAsia="Calibri" w:hAnsi="Calibri"/>
          <w:i w:val="1"/>
          <w:rtl w:val="0"/>
        </w:rPr>
        <w:t xml:space="preserve">Fighting Campylobacter Infections</w:t>
      </w:r>
      <w:r w:rsidDel="00000000" w:rsidR="00000000" w:rsidRPr="00000000">
        <w:rPr>
          <w:rFonts w:ascii="Calibri" w:cs="Calibri" w:eastAsia="Calibri" w:hAnsi="Calibri"/>
          <w:rtl w:val="0"/>
        </w:rPr>
        <w:t xml:space="preserve"> (pp. 79–102). Springer Nature Switzerland AG.</w:t>
      </w:r>
    </w:p>
    <w:p w:rsidR="00000000" w:rsidDel="00000000" w:rsidP="00000000" w:rsidRDefault="00000000" w:rsidRPr="00000000" w14:paraId="0000006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Anonymous. (2017a). Commission Regulation (EU) 2017/1495 of 23 August 2017 amending Regulation (EC) No 2073/2005 as regards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broiler carcases. </w:t>
      </w:r>
      <w:r w:rsidDel="00000000" w:rsidR="00000000" w:rsidRPr="00000000">
        <w:rPr>
          <w:rFonts w:ascii="Calibri" w:cs="Calibri" w:eastAsia="Calibri" w:hAnsi="Calibri"/>
          <w:i w:val="1"/>
          <w:rtl w:val="0"/>
        </w:rPr>
        <w:t xml:space="preserve">Official Journal of the European Union</w:t>
      </w:r>
      <w:r w:rsidDel="00000000" w:rsidR="00000000" w:rsidRPr="00000000">
        <w:rPr>
          <w:rFonts w:ascii="Calibri" w:cs="Calibri" w:eastAsia="Calibri" w:hAnsi="Calibri"/>
          <w:rtl w:val="0"/>
        </w:rPr>
        <w:t xml:space="preserve">.</w:t>
      </w:r>
    </w:p>
    <w:p w:rsidR="00000000" w:rsidDel="00000000" w:rsidP="00000000" w:rsidRDefault="00000000" w:rsidRPr="00000000" w14:paraId="0000006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Balta, I., Butucel, E., Stef, L., Pet, I., Gradisteanu-Pircalabioru, G., Gundogdu, O., McCleery, D., &amp; Corcionivoschi, N. (2022). Anti-</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probiotics: Latest mechanistic insights. </w:t>
      </w:r>
      <w:r w:rsidDel="00000000" w:rsidR="00000000" w:rsidRPr="00000000">
        <w:rPr>
          <w:rFonts w:ascii="Calibri" w:cs="Calibri" w:eastAsia="Calibri" w:hAnsi="Calibri"/>
          <w:i w:val="1"/>
          <w:rtl w:val="0"/>
        </w:rPr>
        <w:t xml:space="preserve">Foodborne Pathogens and Disease</w:t>
      </w:r>
      <w:r w:rsidDel="00000000" w:rsidR="00000000" w:rsidRPr="00000000">
        <w:rPr>
          <w:rFonts w:ascii="Calibri" w:cs="Calibri" w:eastAsia="Calibri" w:hAnsi="Calibri"/>
          <w:rtl w:val="0"/>
        </w:rPr>
        <w:t xml:space="preserve">, 19(10), 692–702.</w:t>
      </w:r>
    </w:p>
    <w:p w:rsidR="00000000" w:rsidDel="00000000" w:rsidP="00000000" w:rsidRDefault="00000000" w:rsidRPr="00000000" w14:paraId="0000006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Ben Romdhane, R., &amp; Merle, R. (2021). The data behind risk analysis of </w:t>
      </w:r>
      <w:r w:rsidDel="00000000" w:rsidR="00000000" w:rsidRPr="00000000">
        <w:rPr>
          <w:rFonts w:ascii="Calibri" w:cs="Calibri" w:eastAsia="Calibri" w:hAnsi="Calibri"/>
          <w:i w:val="1"/>
          <w:rtl w:val="0"/>
        </w:rPr>
        <w:t xml:space="preserve">Campylobacter jejuni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Campylobacter coli</w:t>
      </w:r>
      <w:r w:rsidDel="00000000" w:rsidR="00000000" w:rsidRPr="00000000">
        <w:rPr>
          <w:rFonts w:ascii="Calibri" w:cs="Calibri" w:eastAsia="Calibri" w:hAnsi="Calibri"/>
          <w:rtl w:val="0"/>
        </w:rPr>
        <w:t xml:space="preserve"> infections. In S. Backert (Ed.), </w:t>
      </w:r>
      <w:r w:rsidDel="00000000" w:rsidR="00000000" w:rsidRPr="00000000">
        <w:rPr>
          <w:rFonts w:ascii="Calibri" w:cs="Calibri" w:eastAsia="Calibri" w:hAnsi="Calibri"/>
          <w:i w:val="1"/>
          <w:rtl w:val="0"/>
        </w:rPr>
        <w:t xml:space="preserve">Fighting Campylobacter Infections</w:t>
      </w:r>
      <w:r w:rsidDel="00000000" w:rsidR="00000000" w:rsidRPr="00000000">
        <w:rPr>
          <w:rFonts w:ascii="Calibri" w:cs="Calibri" w:eastAsia="Calibri" w:hAnsi="Calibri"/>
          <w:rtl w:val="0"/>
        </w:rPr>
        <w:t xml:space="preserve"> (pp. 25–58). Springer Nature Switzerland AG.</w:t>
      </w:r>
    </w:p>
    <w:p w:rsidR="00000000" w:rsidDel="00000000" w:rsidP="00000000" w:rsidRDefault="00000000" w:rsidRPr="00000000" w14:paraId="0000007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Brooks, J. P., Adeli, A., Read, J. J., &amp; McLaughlin, M. R. (2009). Rainfall simulation in greenhouse microcosms to assess bacterial-associated runoff from land-applied poultry litter. </w:t>
      </w:r>
      <w:r w:rsidDel="00000000" w:rsidR="00000000" w:rsidRPr="00000000">
        <w:rPr>
          <w:rFonts w:ascii="Calibri" w:cs="Calibri" w:eastAsia="Calibri" w:hAnsi="Calibri"/>
          <w:i w:val="1"/>
          <w:rtl w:val="0"/>
        </w:rPr>
        <w:t xml:space="preserve">Journal of Environmental Quality</w:t>
      </w:r>
      <w:r w:rsidDel="00000000" w:rsidR="00000000" w:rsidRPr="00000000">
        <w:rPr>
          <w:rFonts w:ascii="Calibri" w:cs="Calibri" w:eastAsia="Calibri" w:hAnsi="Calibri"/>
          <w:rtl w:val="0"/>
        </w:rPr>
        <w:t xml:space="preserve">, 38(1), 218–229.</w:t>
      </w:r>
    </w:p>
    <w:p w:rsidR="00000000" w:rsidDel="00000000" w:rsidP="00000000" w:rsidRDefault="00000000" w:rsidRPr="00000000" w14:paraId="0000007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Bull, S. A., Allen, V. M., Domingue, G., Jørgensen, F., Frost, J. A., Ure, R., Whyte, R., Tinker, D., Corry, J. E. L., Gillard-King, J., &amp; Humphrey, T. J. (2006). Sources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colonizing housed broiler flocks during rearing. </w:t>
      </w:r>
      <w:r w:rsidDel="00000000" w:rsidR="00000000" w:rsidRPr="00000000">
        <w:rPr>
          <w:rFonts w:ascii="Calibri" w:cs="Calibri" w:eastAsia="Calibri" w:hAnsi="Calibri"/>
          <w:i w:val="1"/>
          <w:rtl w:val="0"/>
        </w:rPr>
        <w:t xml:space="preserve">Applied and Environmental Microbiology</w:t>
      </w:r>
      <w:r w:rsidDel="00000000" w:rsidR="00000000" w:rsidRPr="00000000">
        <w:rPr>
          <w:rFonts w:ascii="Calibri" w:cs="Calibri" w:eastAsia="Calibri" w:hAnsi="Calibri"/>
          <w:rtl w:val="0"/>
        </w:rPr>
        <w:t xml:space="preserve">, 72(1), 645–652.</w:t>
      </w:r>
    </w:p>
    <w:p w:rsidR="00000000" w:rsidDel="00000000" w:rsidP="00000000" w:rsidRDefault="00000000" w:rsidRPr="00000000" w14:paraId="0000007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 Rooij, M. M. T., Hoek, G., Schmitt, H., Janse, I., Swart, A., Maassen, C. B. M., Schalk, M., Heederik, D. J. J., &amp; Wouters, I. M. (2019). Insights into livestock-related microbial concentrations in air at residential level in a livestock-dense area. </w:t>
      </w:r>
      <w:r w:rsidDel="00000000" w:rsidR="00000000" w:rsidRPr="00000000">
        <w:rPr>
          <w:rFonts w:ascii="Calibri" w:cs="Calibri" w:eastAsia="Calibri" w:hAnsi="Calibri"/>
          <w:i w:val="1"/>
          <w:rtl w:val="0"/>
        </w:rPr>
        <w:t xml:space="preserve">Environmental Science &amp; Technology</w:t>
      </w:r>
      <w:r w:rsidDel="00000000" w:rsidR="00000000" w:rsidRPr="00000000">
        <w:rPr>
          <w:rFonts w:ascii="Calibri" w:cs="Calibri" w:eastAsia="Calibri" w:hAnsi="Calibri"/>
          <w:rtl w:val="0"/>
        </w:rPr>
        <w:t xml:space="preserve">, 53(13), 7746–7758.</w:t>
      </w:r>
    </w:p>
    <w:p w:rsidR="00000000" w:rsidDel="00000000" w:rsidP="00000000" w:rsidRDefault="00000000" w:rsidRPr="00000000" w14:paraId="0000007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EC. (2005). </w:t>
      </w:r>
      <w:r w:rsidDel="00000000" w:rsidR="00000000" w:rsidRPr="00000000">
        <w:rPr>
          <w:rFonts w:ascii="Calibri" w:cs="Calibri" w:eastAsia="Calibri" w:hAnsi="Calibri"/>
          <w:rtl w:val="0"/>
        </w:rPr>
        <w:t xml:space="preserve">Commission Regulation (EC) No 2073/2005 of 15 November 2005 on microbiological criteria for foodstuffs. </w:t>
      </w:r>
      <w:r w:rsidDel="00000000" w:rsidR="00000000" w:rsidRPr="00000000">
        <w:rPr>
          <w:rFonts w:ascii="Calibri" w:cs="Calibri" w:eastAsia="Calibri" w:hAnsi="Calibri"/>
          <w:i w:val="1"/>
          <w:rtl w:val="0"/>
        </w:rPr>
        <w:t xml:space="preserve">Ofiicial Journal</w:t>
      </w:r>
      <w:r w:rsidDel="00000000" w:rsidR="00000000" w:rsidRPr="00000000">
        <w:rPr>
          <w:rFonts w:ascii="Calibri" w:cs="Calibri" w:eastAsia="Calibri" w:hAnsi="Calibri"/>
          <w:rtl w:val="0"/>
        </w:rPr>
        <w:t xml:space="preserve"> L 338, 22.12.2005, pp. 1–26</w:t>
      </w:r>
    </w:p>
    <w:p w:rsidR="00000000" w:rsidDel="00000000" w:rsidP="00000000" w:rsidRDefault="00000000" w:rsidRPr="00000000" w14:paraId="0000007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EFSA. (2010b). Analysis of the baseline survey on the prevalence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broiler batches and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Salmonella</w:t>
      </w:r>
      <w:r w:rsidDel="00000000" w:rsidR="00000000" w:rsidRPr="00000000">
        <w:rPr>
          <w:rFonts w:ascii="Calibri" w:cs="Calibri" w:eastAsia="Calibri" w:hAnsi="Calibri"/>
          <w:rtl w:val="0"/>
        </w:rPr>
        <w:t xml:space="preserve"> on broiler carcasses, in the EU, 2008—Part B. </w:t>
      </w:r>
      <w:r w:rsidDel="00000000" w:rsidR="00000000" w:rsidRPr="00000000">
        <w:rPr>
          <w:rFonts w:ascii="Calibri" w:cs="Calibri" w:eastAsia="Calibri" w:hAnsi="Calibri"/>
          <w:i w:val="1"/>
          <w:rtl w:val="0"/>
        </w:rPr>
        <w:t xml:space="preserve">EFSA Journal</w:t>
      </w:r>
      <w:r w:rsidDel="00000000" w:rsidR="00000000" w:rsidRPr="00000000">
        <w:rPr>
          <w:rFonts w:ascii="Calibri" w:cs="Calibri" w:eastAsia="Calibri" w:hAnsi="Calibri"/>
          <w:rtl w:val="0"/>
        </w:rPr>
        <w:t xml:space="preserve">, 8(8), 1522.</w:t>
      </w:r>
    </w:p>
    <w:p w:rsidR="00000000" w:rsidDel="00000000" w:rsidP="00000000" w:rsidRDefault="00000000" w:rsidRPr="00000000" w14:paraId="0000007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Gibbens, J. C., Pascoe, S. J. S., Evans, S. J., Davies, R. H., &amp; Sayers, A. R. (2001). A trial of biosecurity as a means to control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of broiler chickens. </w:t>
      </w:r>
      <w:r w:rsidDel="00000000" w:rsidR="00000000" w:rsidRPr="00000000">
        <w:rPr>
          <w:rFonts w:ascii="Calibri" w:cs="Calibri" w:eastAsia="Calibri" w:hAnsi="Calibri"/>
          <w:i w:val="1"/>
          <w:rtl w:val="0"/>
        </w:rPr>
        <w:t xml:space="preserve">Preventive Veterinary Medicine</w:t>
      </w:r>
      <w:r w:rsidDel="00000000" w:rsidR="00000000" w:rsidRPr="00000000">
        <w:rPr>
          <w:rFonts w:ascii="Calibri" w:cs="Calibri" w:eastAsia="Calibri" w:hAnsi="Calibri"/>
          <w:rtl w:val="0"/>
        </w:rPr>
        <w:t xml:space="preserve">, 48(2), 85–99.</w:t>
      </w:r>
    </w:p>
    <w:p w:rsidR="00000000" w:rsidDel="00000000" w:rsidP="00000000" w:rsidRDefault="00000000" w:rsidRPr="00000000" w14:paraId="0000007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Gölz, G., Rosner, B., Hofreuter, D., Josenhans, C., Kreienbrock, L., Löwenstein, A., Schielke, A., Stark, K., Suerbaum, S., Wieler, L. H., &amp; Alter, T. (2014). Relevance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to public health—The need for a One Health approach. </w:t>
      </w:r>
      <w:r w:rsidDel="00000000" w:rsidR="00000000" w:rsidRPr="00000000">
        <w:rPr>
          <w:rFonts w:ascii="Calibri" w:cs="Calibri" w:eastAsia="Calibri" w:hAnsi="Calibri"/>
          <w:i w:val="1"/>
          <w:rtl w:val="0"/>
        </w:rPr>
        <w:t xml:space="preserve">International Journal of Medical Microbiology</w:t>
      </w:r>
      <w:r w:rsidDel="00000000" w:rsidR="00000000" w:rsidRPr="00000000">
        <w:rPr>
          <w:rFonts w:ascii="Calibri" w:cs="Calibri" w:eastAsia="Calibri" w:hAnsi="Calibri"/>
          <w:rtl w:val="0"/>
        </w:rPr>
        <w:t xml:space="preserve">, 304(7), 817–823.</w:t>
      </w:r>
    </w:p>
    <w:p w:rsidR="00000000" w:rsidDel="00000000" w:rsidP="00000000" w:rsidRDefault="00000000" w:rsidRPr="00000000" w14:paraId="0000007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Graff Zivin, J. S. (2006). Ensuring a safe food supply: The importance of heterogeneity. </w:t>
      </w:r>
      <w:r w:rsidDel="00000000" w:rsidR="00000000" w:rsidRPr="00000000">
        <w:rPr>
          <w:rFonts w:ascii="Calibri" w:cs="Calibri" w:eastAsia="Calibri" w:hAnsi="Calibri"/>
          <w:i w:val="1"/>
          <w:rtl w:val="0"/>
        </w:rPr>
        <w:t xml:space="preserve">Journal of Agricultural &amp; Food Industrial Organization</w:t>
      </w:r>
      <w:r w:rsidDel="00000000" w:rsidR="00000000" w:rsidRPr="00000000">
        <w:rPr>
          <w:rFonts w:ascii="Calibri" w:cs="Calibri" w:eastAsia="Calibri" w:hAnsi="Calibri"/>
          <w:rtl w:val="0"/>
        </w:rPr>
        <w:t xml:space="preserve">, 4(2), Article 2.</w:t>
      </w:r>
    </w:p>
    <w:p w:rsidR="00000000" w:rsidDel="00000000" w:rsidP="00000000" w:rsidRDefault="00000000" w:rsidRPr="00000000" w14:paraId="0000007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Guy, R. A., Arsenault, J., Kotchi, S. O., Gosselin-Théberge, M., Champagne, M.-J., &amp; Berthiaume, P. (2018).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recreational lake water in southern Quebec, Canada: Presence, concentration, and association with precipitation and ruminant farm proximity. </w:t>
      </w:r>
      <w:r w:rsidDel="00000000" w:rsidR="00000000" w:rsidRPr="00000000">
        <w:rPr>
          <w:rFonts w:ascii="Calibri" w:cs="Calibri" w:eastAsia="Calibri" w:hAnsi="Calibri"/>
          <w:i w:val="1"/>
          <w:rtl w:val="0"/>
        </w:rPr>
        <w:t xml:space="preserve">Journal of Water and Health</w:t>
      </w:r>
      <w:r w:rsidDel="00000000" w:rsidR="00000000" w:rsidRPr="00000000">
        <w:rPr>
          <w:rFonts w:ascii="Calibri" w:cs="Calibri" w:eastAsia="Calibri" w:hAnsi="Calibri"/>
          <w:rtl w:val="0"/>
        </w:rPr>
        <w:t xml:space="preserve">, 16(4), 516–529.</w:t>
      </w:r>
    </w:p>
    <w:p w:rsidR="00000000" w:rsidDel="00000000" w:rsidP="00000000" w:rsidRDefault="00000000" w:rsidRPr="00000000" w14:paraId="0000007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Hald, B., Skovgård, H., Bang, D. D., Pedersen, K., Dybdahl, J., Jespersen, J. B., &amp; Madsen, M. (2004). Flies and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of broiler flocks. </w:t>
      </w:r>
      <w:r w:rsidDel="00000000" w:rsidR="00000000" w:rsidRPr="00000000">
        <w:rPr>
          <w:rFonts w:ascii="Calibri" w:cs="Calibri" w:eastAsia="Calibri" w:hAnsi="Calibri"/>
          <w:i w:val="1"/>
          <w:rtl w:val="0"/>
        </w:rPr>
        <w:t xml:space="preserve">Emerging Infectious Diseases</w:t>
      </w:r>
      <w:r w:rsidDel="00000000" w:rsidR="00000000" w:rsidRPr="00000000">
        <w:rPr>
          <w:rFonts w:ascii="Calibri" w:cs="Calibri" w:eastAsia="Calibri" w:hAnsi="Calibri"/>
          <w:rtl w:val="0"/>
        </w:rPr>
        <w:t xml:space="preserve">, 10(8), 1490–1492.</w:t>
      </w:r>
    </w:p>
    <w:p w:rsidR="00000000" w:rsidDel="00000000" w:rsidP="00000000" w:rsidRDefault="00000000" w:rsidRPr="00000000" w14:paraId="0000007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Hald, B., Sommer, H. M., &amp; Skovgård, H. (2007). Use of fly screens to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introduction in broiler houses. </w:t>
      </w:r>
      <w:r w:rsidDel="00000000" w:rsidR="00000000" w:rsidRPr="00000000">
        <w:rPr>
          <w:rFonts w:ascii="Calibri" w:cs="Calibri" w:eastAsia="Calibri" w:hAnsi="Calibri"/>
          <w:i w:val="1"/>
          <w:rtl w:val="0"/>
        </w:rPr>
        <w:t xml:space="preserve">Emerging Infectious Diseases</w:t>
      </w:r>
      <w:r w:rsidDel="00000000" w:rsidR="00000000" w:rsidRPr="00000000">
        <w:rPr>
          <w:rFonts w:ascii="Calibri" w:cs="Calibri" w:eastAsia="Calibri" w:hAnsi="Calibri"/>
          <w:rtl w:val="0"/>
        </w:rPr>
        <w:t xml:space="preserve">, 13(12), 1951–1953.</w:t>
      </w:r>
    </w:p>
    <w:p w:rsidR="00000000" w:rsidDel="00000000" w:rsidP="00000000" w:rsidRDefault="00000000" w:rsidRPr="00000000" w14:paraId="0000007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Heimesaat, M. M., Bereswill, S., Alter, T., &amp; Bereswill, S. (2021). Human campylobacteriosis—A serious infectious threat in a One Health perspective. In S. Backert (Ed.), </w:t>
      </w:r>
      <w:r w:rsidDel="00000000" w:rsidR="00000000" w:rsidRPr="00000000">
        <w:rPr>
          <w:rFonts w:ascii="Calibri" w:cs="Calibri" w:eastAsia="Calibri" w:hAnsi="Calibri"/>
          <w:i w:val="1"/>
          <w:rtl w:val="0"/>
        </w:rPr>
        <w:t xml:space="preserve">Fighting Campylobacter Infections</w:t>
      </w:r>
      <w:r w:rsidDel="00000000" w:rsidR="00000000" w:rsidRPr="00000000">
        <w:rPr>
          <w:rFonts w:ascii="Calibri" w:cs="Calibri" w:eastAsia="Calibri" w:hAnsi="Calibri"/>
          <w:rtl w:val="0"/>
        </w:rPr>
        <w:t xml:space="preserve"> (pp. 1–23). Springer Nature Switzerland AG.</w:t>
      </w:r>
    </w:p>
    <w:p w:rsidR="00000000" w:rsidDel="00000000" w:rsidP="00000000" w:rsidRDefault="00000000" w:rsidRPr="00000000" w14:paraId="0000007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Hermans, D., Pasmans, F., Messens, W., Martel, A., Van Immerseel, F., Rasschaert, G., Heyndrickx, M., Van Deun, K., &amp; Haesebrouck, F. (2012). Poultry as a host for the zoonotic pathogen </w:t>
      </w:r>
      <w:r w:rsidDel="00000000" w:rsidR="00000000" w:rsidRPr="00000000">
        <w:rPr>
          <w:rFonts w:ascii="Calibri" w:cs="Calibri" w:eastAsia="Calibri" w:hAnsi="Calibri"/>
          <w:i w:val="1"/>
          <w:rtl w:val="0"/>
        </w:rPr>
        <w:t xml:space="preserve">Campylobacter jejuni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Vector-Borne and Zoonotic Diseases</w:t>
      </w:r>
      <w:r w:rsidDel="00000000" w:rsidR="00000000" w:rsidRPr="00000000">
        <w:rPr>
          <w:rFonts w:ascii="Calibri" w:cs="Calibri" w:eastAsia="Calibri" w:hAnsi="Calibri"/>
          <w:rtl w:val="0"/>
        </w:rPr>
        <w:t xml:space="preserve">, 12(2), 89–98.</w:t>
      </w:r>
    </w:p>
    <w:p w:rsidR="00000000" w:rsidDel="00000000" w:rsidP="00000000" w:rsidRDefault="00000000" w:rsidRPr="00000000" w14:paraId="0000007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Hoffmann, V., &amp; Moser, C. (2017). You get what you pay for: The link between price and food safety in Kenya. </w:t>
      </w:r>
      <w:r w:rsidDel="00000000" w:rsidR="00000000" w:rsidRPr="00000000">
        <w:rPr>
          <w:rFonts w:ascii="Calibri" w:cs="Calibri" w:eastAsia="Calibri" w:hAnsi="Calibri"/>
          <w:i w:val="1"/>
          <w:rtl w:val="0"/>
        </w:rPr>
        <w:t xml:space="preserve">Agricultural Economics</w:t>
      </w:r>
      <w:r w:rsidDel="00000000" w:rsidR="00000000" w:rsidRPr="00000000">
        <w:rPr>
          <w:rFonts w:ascii="Calibri" w:cs="Calibri" w:eastAsia="Calibri" w:hAnsi="Calibri"/>
          <w:rtl w:val="0"/>
        </w:rPr>
        <w:t xml:space="preserve">, 48(4), 449–458.</w:t>
      </w:r>
    </w:p>
    <w:p w:rsidR="00000000" w:rsidDel="00000000" w:rsidP="00000000" w:rsidRDefault="00000000" w:rsidRPr="00000000" w14:paraId="0000007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Humphrey, S., Chaloner, G., Kemmett, K., Davidson, N., Williams, N., Kipar, A., Humphrey, T., &amp; Wigley, P. (2014). </w:t>
      </w:r>
      <w:r w:rsidDel="00000000" w:rsidR="00000000" w:rsidRPr="00000000">
        <w:rPr>
          <w:rFonts w:ascii="Calibri" w:cs="Calibri" w:eastAsia="Calibri" w:hAnsi="Calibri"/>
          <w:i w:val="1"/>
          <w:rtl w:val="0"/>
        </w:rPr>
        <w:t xml:space="preserve">Campylobacter jejuni</w:t>
      </w:r>
      <w:r w:rsidDel="00000000" w:rsidR="00000000" w:rsidRPr="00000000">
        <w:rPr>
          <w:rFonts w:ascii="Calibri" w:cs="Calibri" w:eastAsia="Calibri" w:hAnsi="Calibri"/>
          <w:rtl w:val="0"/>
        </w:rPr>
        <w:t xml:space="preserve"> is not merely a commensal in commercial broiler chickens and affects bird welfare. </w:t>
      </w:r>
      <w:r w:rsidDel="00000000" w:rsidR="00000000" w:rsidRPr="00000000">
        <w:rPr>
          <w:rFonts w:ascii="Calibri" w:cs="Calibri" w:eastAsia="Calibri" w:hAnsi="Calibri"/>
          <w:i w:val="1"/>
          <w:rtl w:val="0"/>
        </w:rPr>
        <w:t xml:space="preserve">mBio</w:t>
      </w:r>
      <w:r w:rsidDel="00000000" w:rsidR="00000000" w:rsidRPr="00000000">
        <w:rPr>
          <w:rFonts w:ascii="Calibri" w:cs="Calibri" w:eastAsia="Calibri" w:hAnsi="Calibri"/>
          <w:rtl w:val="0"/>
        </w:rPr>
        <w:t xml:space="preserve">, 5(4), e01364–01314.</w:t>
      </w:r>
    </w:p>
    <w:p w:rsidR="00000000" w:rsidDel="00000000" w:rsidP="00000000" w:rsidRDefault="00000000" w:rsidRPr="00000000" w14:paraId="0000007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Jones, K. (2001). </w:t>
      </w:r>
      <w:r w:rsidDel="00000000" w:rsidR="00000000" w:rsidRPr="00000000">
        <w:rPr>
          <w:rFonts w:ascii="Calibri" w:cs="Calibri" w:eastAsia="Calibri" w:hAnsi="Calibri"/>
          <w:i w:val="1"/>
          <w:rtl w:val="0"/>
        </w:rPr>
        <w:t xml:space="preserve">Campylobacters</w:t>
      </w:r>
      <w:r w:rsidDel="00000000" w:rsidR="00000000" w:rsidRPr="00000000">
        <w:rPr>
          <w:rFonts w:ascii="Calibri" w:cs="Calibri" w:eastAsia="Calibri" w:hAnsi="Calibri"/>
          <w:rtl w:val="0"/>
        </w:rPr>
        <w:t xml:space="preserve"> in water, sewage and the environment. </w:t>
      </w:r>
      <w:r w:rsidDel="00000000" w:rsidR="00000000" w:rsidRPr="00000000">
        <w:rPr>
          <w:rFonts w:ascii="Calibri" w:cs="Calibri" w:eastAsia="Calibri" w:hAnsi="Calibri"/>
          <w:i w:val="1"/>
          <w:rtl w:val="0"/>
        </w:rPr>
        <w:t xml:space="preserve">Symposium Series of the Society for Applied Microbiology</w:t>
      </w:r>
      <w:r w:rsidDel="00000000" w:rsidR="00000000" w:rsidRPr="00000000">
        <w:rPr>
          <w:rFonts w:ascii="Calibri" w:cs="Calibri" w:eastAsia="Calibri" w:hAnsi="Calibri"/>
          <w:rtl w:val="0"/>
        </w:rPr>
        <w:t xml:space="preserve">, 30, 68S–79S.</w:t>
      </w:r>
    </w:p>
    <w:p w:rsidR="00000000" w:rsidDel="00000000" w:rsidP="00000000" w:rsidRDefault="00000000" w:rsidRPr="00000000" w14:paraId="0000008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Kennedy, J., Nolan, A., Gibney, S., O’Brien, S., McMahon, M. A. S., McKenzie, K., Healy, B., McDowell, D., Fanning, S., &amp; Wall, P. G. (2011). Determinants of cross-contamination during home food preparation. </w:t>
      </w:r>
      <w:r w:rsidDel="00000000" w:rsidR="00000000" w:rsidRPr="00000000">
        <w:rPr>
          <w:rFonts w:ascii="Calibri" w:cs="Calibri" w:eastAsia="Calibri" w:hAnsi="Calibri"/>
          <w:i w:val="1"/>
          <w:rtl w:val="0"/>
        </w:rPr>
        <w:t xml:space="preserve">British Food Journal</w:t>
      </w:r>
      <w:r w:rsidDel="00000000" w:rsidR="00000000" w:rsidRPr="00000000">
        <w:rPr>
          <w:rFonts w:ascii="Calibri" w:cs="Calibri" w:eastAsia="Calibri" w:hAnsi="Calibri"/>
          <w:rtl w:val="0"/>
        </w:rPr>
        <w:t xml:space="preserve">, 113(2), 280–297.</w:t>
      </w:r>
    </w:p>
    <w:p w:rsidR="00000000" w:rsidDel="00000000" w:rsidP="00000000" w:rsidRDefault="00000000" w:rsidRPr="00000000" w14:paraId="0000008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Kosa, K. M., Cates, S. C., Bradley, S., Chambers IV, E., &amp; Godwin, S. (2015). Consumer-reported handling of raw poultry products at home: Results from a national survey. </w:t>
      </w:r>
      <w:r w:rsidDel="00000000" w:rsidR="00000000" w:rsidRPr="00000000">
        <w:rPr>
          <w:rFonts w:ascii="Calibri" w:cs="Calibri" w:eastAsia="Calibri" w:hAnsi="Calibri"/>
          <w:i w:val="1"/>
          <w:rtl w:val="0"/>
        </w:rPr>
        <w:t xml:space="preserve">Journal of Food Protection</w:t>
      </w:r>
      <w:r w:rsidDel="00000000" w:rsidR="00000000" w:rsidRPr="00000000">
        <w:rPr>
          <w:rFonts w:ascii="Calibri" w:cs="Calibri" w:eastAsia="Calibri" w:hAnsi="Calibri"/>
          <w:rtl w:val="0"/>
        </w:rPr>
        <w:t xml:space="preserve">, 78(1), 180–186.</w:t>
      </w:r>
    </w:p>
    <w:p w:rsidR="00000000" w:rsidDel="00000000" w:rsidP="00000000" w:rsidRDefault="00000000" w:rsidRPr="00000000" w14:paraId="0000008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Luber, P. (2009). Cross-contamination versus undercooking of poultry meat or eggs—Which risks need to be managed first? </w:t>
      </w:r>
      <w:r w:rsidDel="00000000" w:rsidR="00000000" w:rsidRPr="00000000">
        <w:rPr>
          <w:rFonts w:ascii="Calibri" w:cs="Calibri" w:eastAsia="Calibri" w:hAnsi="Calibri"/>
          <w:i w:val="1"/>
          <w:rtl w:val="0"/>
        </w:rPr>
        <w:t xml:space="preserve">International Journal of Food Microbiology</w:t>
      </w:r>
      <w:r w:rsidDel="00000000" w:rsidR="00000000" w:rsidRPr="00000000">
        <w:rPr>
          <w:rFonts w:ascii="Calibri" w:cs="Calibri" w:eastAsia="Calibri" w:hAnsi="Calibri"/>
          <w:rtl w:val="0"/>
        </w:rPr>
        <w:t xml:space="preserve">, 134(1–2), 21–28.</w:t>
      </w:r>
    </w:p>
    <w:p w:rsidR="00000000" w:rsidDel="00000000" w:rsidP="00000000" w:rsidRDefault="00000000" w:rsidRPr="00000000" w14:paraId="0000008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Meredith, H., Valdramidis, V., Rotabakk, B. T., Sivertsvik, M., McDowell, D., &amp; Bolton, D. J. (2014). Effect of different modified atmospheric packaging gaseous combinations on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and the shelf-life of chilled poultry fillets. </w:t>
      </w:r>
      <w:r w:rsidDel="00000000" w:rsidR="00000000" w:rsidRPr="00000000">
        <w:rPr>
          <w:rFonts w:ascii="Calibri" w:cs="Calibri" w:eastAsia="Calibri" w:hAnsi="Calibri"/>
          <w:i w:val="1"/>
          <w:rtl w:val="0"/>
        </w:rPr>
        <w:t xml:space="preserve">Food Microbiology</w:t>
      </w:r>
      <w:r w:rsidDel="00000000" w:rsidR="00000000" w:rsidRPr="00000000">
        <w:rPr>
          <w:rFonts w:ascii="Calibri" w:cs="Calibri" w:eastAsia="Calibri" w:hAnsi="Calibri"/>
          <w:rtl w:val="0"/>
        </w:rPr>
        <w:t xml:space="preserve">, 44, 196–203.</w:t>
      </w:r>
    </w:p>
    <w:p w:rsidR="00000000" w:rsidDel="00000000" w:rsidP="00000000" w:rsidRDefault="00000000" w:rsidRPr="00000000" w14:paraId="0000008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Nagel, G. M., Bauermeister, L. J., Bratcher, C. L., Singh, M., &amp; McKee, S. R. (2013). </w:t>
      </w:r>
      <w:r w:rsidDel="00000000" w:rsidR="00000000" w:rsidRPr="00000000">
        <w:rPr>
          <w:rFonts w:ascii="Calibri" w:cs="Calibri" w:eastAsia="Calibri" w:hAnsi="Calibri"/>
          <w:i w:val="1"/>
          <w:rtl w:val="0"/>
        </w:rPr>
        <w:t xml:space="preserve">Salmonella</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reduction and quality characteristics of poultry carcasses treated with various antimicrobials in a post-chill immersion tank. </w:t>
      </w:r>
      <w:r w:rsidDel="00000000" w:rsidR="00000000" w:rsidRPr="00000000">
        <w:rPr>
          <w:rFonts w:ascii="Calibri" w:cs="Calibri" w:eastAsia="Calibri" w:hAnsi="Calibri"/>
          <w:i w:val="1"/>
          <w:rtl w:val="0"/>
        </w:rPr>
        <w:t xml:space="preserve">International Journal of Food Microbiology</w:t>
      </w:r>
      <w:r w:rsidDel="00000000" w:rsidR="00000000" w:rsidRPr="00000000">
        <w:rPr>
          <w:rFonts w:ascii="Calibri" w:cs="Calibri" w:eastAsia="Calibri" w:hAnsi="Calibri"/>
          <w:rtl w:val="0"/>
        </w:rPr>
        <w:t xml:space="preserve">, 165(3), 281–286.</w:t>
      </w:r>
    </w:p>
    <w:p w:rsidR="00000000" w:rsidDel="00000000" w:rsidP="00000000" w:rsidRDefault="00000000" w:rsidRPr="00000000" w14:paraId="0000008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Nauta, M. J., Fischer, A. R. H., Van Asselt, E. D., De Jong, A. E. I., Frewer, L. J., &amp; De Jonge, R. (2008). Food safety in the domestic environment: The effect of consumer risk information on human disease risks. </w:t>
      </w:r>
      <w:r w:rsidDel="00000000" w:rsidR="00000000" w:rsidRPr="00000000">
        <w:rPr>
          <w:rFonts w:ascii="Calibri" w:cs="Calibri" w:eastAsia="Calibri" w:hAnsi="Calibri"/>
          <w:i w:val="1"/>
          <w:rtl w:val="0"/>
        </w:rPr>
        <w:t xml:space="preserve">Risk Analysis</w:t>
      </w:r>
      <w:r w:rsidDel="00000000" w:rsidR="00000000" w:rsidRPr="00000000">
        <w:rPr>
          <w:rFonts w:ascii="Calibri" w:cs="Calibri" w:eastAsia="Calibri" w:hAnsi="Calibri"/>
          <w:rtl w:val="0"/>
        </w:rPr>
        <w:t xml:space="preserve">, 28(1), 179–192.</w:t>
      </w:r>
    </w:p>
    <w:p w:rsidR="00000000" w:rsidDel="00000000" w:rsidP="00000000" w:rsidRDefault="00000000" w:rsidRPr="00000000" w14:paraId="0000008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Newell, D. G., Elvers, K. T., Dopfer, D., Hansson, I., Jones, P., James, S., Gittins, J., Stern, N. J., Davies, R., Connerton, I., Pearson, D., Salvat, G., &amp; Allen, V. M. (2011). Biosecurity-based interventions and strategies to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on poultry farms. </w:t>
      </w:r>
      <w:r w:rsidDel="00000000" w:rsidR="00000000" w:rsidRPr="00000000">
        <w:rPr>
          <w:rFonts w:ascii="Calibri" w:cs="Calibri" w:eastAsia="Calibri" w:hAnsi="Calibri"/>
          <w:i w:val="1"/>
          <w:rtl w:val="0"/>
        </w:rPr>
        <w:t xml:space="preserve">Applied and Environmental Microbiology</w:t>
      </w:r>
      <w:r w:rsidDel="00000000" w:rsidR="00000000" w:rsidRPr="00000000">
        <w:rPr>
          <w:rFonts w:ascii="Calibri" w:cs="Calibri" w:eastAsia="Calibri" w:hAnsi="Calibri"/>
          <w:rtl w:val="0"/>
        </w:rPr>
        <w:t xml:space="preserve">, 77(24), 8605–8614.</w:t>
      </w:r>
    </w:p>
    <w:p w:rsidR="00000000" w:rsidDel="00000000" w:rsidP="00000000" w:rsidRDefault="00000000" w:rsidRPr="00000000" w14:paraId="0000008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Oliver, J. D. (2005). The viable but nonculturable state in bacteria. </w:t>
      </w:r>
      <w:r w:rsidDel="00000000" w:rsidR="00000000" w:rsidRPr="00000000">
        <w:rPr>
          <w:rFonts w:ascii="Calibri" w:cs="Calibri" w:eastAsia="Calibri" w:hAnsi="Calibri"/>
          <w:i w:val="1"/>
          <w:rtl w:val="0"/>
        </w:rPr>
        <w:t xml:space="preserve">Journal of Microbiology</w:t>
      </w:r>
      <w:r w:rsidDel="00000000" w:rsidR="00000000" w:rsidRPr="00000000">
        <w:rPr>
          <w:rFonts w:ascii="Calibri" w:cs="Calibri" w:eastAsia="Calibri" w:hAnsi="Calibri"/>
          <w:rtl w:val="0"/>
        </w:rPr>
        <w:t xml:space="preserve">, 43(1), 93–100.</w:t>
      </w:r>
    </w:p>
    <w:p w:rsidR="00000000" w:rsidDel="00000000" w:rsidP="00000000" w:rsidRDefault="00000000" w:rsidRPr="00000000" w14:paraId="0000008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Pitter, J. G., Vokó, Z., Józwiak, Á., &amp; Berkics, A. (2018).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control measures in indoor broiler chicken: Critical re-assessment of cost-utility and barriers to implementation. </w:t>
      </w:r>
      <w:r w:rsidDel="00000000" w:rsidR="00000000" w:rsidRPr="00000000">
        <w:rPr>
          <w:rFonts w:ascii="Calibri" w:cs="Calibri" w:eastAsia="Calibri" w:hAnsi="Calibri"/>
          <w:i w:val="1"/>
          <w:rtl w:val="0"/>
        </w:rPr>
        <w:t xml:space="preserve">Epidemiology and Infection</w:t>
      </w:r>
      <w:r w:rsidDel="00000000" w:rsidR="00000000" w:rsidRPr="00000000">
        <w:rPr>
          <w:rFonts w:ascii="Calibri" w:cs="Calibri" w:eastAsia="Calibri" w:hAnsi="Calibri"/>
          <w:rtl w:val="0"/>
        </w:rPr>
        <w:t xml:space="preserve">, 146, 1433–1444.</w:t>
      </w:r>
    </w:p>
    <w:p w:rsidR="00000000" w:rsidDel="00000000" w:rsidP="00000000" w:rsidRDefault="00000000" w:rsidRPr="00000000" w14:paraId="0000008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Ramamurthy, T., Ghosh, A., Pazhani, G. P., &amp; Shinoda, S. (2014). Current perspectives on viable but non-culturable (VBNC) pathogenic bacteria. </w:t>
      </w:r>
      <w:r w:rsidDel="00000000" w:rsidR="00000000" w:rsidRPr="00000000">
        <w:rPr>
          <w:rFonts w:ascii="Calibri" w:cs="Calibri" w:eastAsia="Calibri" w:hAnsi="Calibri"/>
          <w:i w:val="1"/>
          <w:rtl w:val="0"/>
        </w:rPr>
        <w:t xml:space="preserve">Frontiers in Public Health</w:t>
      </w:r>
      <w:r w:rsidDel="00000000" w:rsidR="00000000" w:rsidRPr="00000000">
        <w:rPr>
          <w:rFonts w:ascii="Calibri" w:cs="Calibri" w:eastAsia="Calibri" w:hAnsi="Calibri"/>
          <w:rtl w:val="0"/>
        </w:rPr>
        <w:t xml:space="preserve">, 2, 103.</w:t>
      </w:r>
    </w:p>
    <w:p w:rsidR="00000000" w:rsidDel="00000000" w:rsidP="00000000" w:rsidRDefault="00000000" w:rsidRPr="00000000" w14:paraId="0000008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Ridley, A., Morris, V., Gittins, J., Cawthraw, S., Harris, J., Edge, S., &amp; Allen, V. (2011). Potential sources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infection on chicken farms: Contamination and control of broiler-harvesting equipment, vehicles and personnel. </w:t>
      </w:r>
      <w:r w:rsidDel="00000000" w:rsidR="00000000" w:rsidRPr="00000000">
        <w:rPr>
          <w:rFonts w:ascii="Calibri" w:cs="Calibri" w:eastAsia="Calibri" w:hAnsi="Calibri"/>
          <w:i w:val="1"/>
          <w:rtl w:val="0"/>
        </w:rPr>
        <w:t xml:space="preserve">Journal of Applied Microbiology</w:t>
      </w:r>
      <w:r w:rsidDel="00000000" w:rsidR="00000000" w:rsidRPr="00000000">
        <w:rPr>
          <w:rFonts w:ascii="Calibri" w:cs="Calibri" w:eastAsia="Calibri" w:hAnsi="Calibri"/>
          <w:rtl w:val="0"/>
        </w:rPr>
        <w:t xml:space="preserve">, 111(1), 233–244.</w:t>
      </w:r>
    </w:p>
    <w:p w:rsidR="00000000" w:rsidDel="00000000" w:rsidP="00000000" w:rsidRDefault="00000000" w:rsidRPr="00000000" w14:paraId="0000008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Sadek, S. A. S., Shaapan, R. M., &amp; Barakat, A. M. A. (2023). Campylobacteriosis in poultry: A review. </w:t>
      </w:r>
      <w:r w:rsidDel="00000000" w:rsidR="00000000" w:rsidRPr="00000000">
        <w:rPr>
          <w:rFonts w:ascii="Calibri" w:cs="Calibri" w:eastAsia="Calibri" w:hAnsi="Calibri"/>
          <w:i w:val="1"/>
          <w:rtl w:val="0"/>
        </w:rPr>
        <w:t xml:space="preserve">Journal of World's Poultry Research</w:t>
      </w:r>
      <w:r w:rsidDel="00000000" w:rsidR="00000000" w:rsidRPr="00000000">
        <w:rPr>
          <w:rFonts w:ascii="Calibri" w:cs="Calibri" w:eastAsia="Calibri" w:hAnsi="Calibri"/>
          <w:rtl w:val="0"/>
        </w:rPr>
        <w:t xml:space="preserve">, 13(2), 168–179.</w:t>
      </w:r>
    </w:p>
    <w:p w:rsidR="00000000" w:rsidDel="00000000" w:rsidP="00000000" w:rsidRDefault="00000000" w:rsidRPr="00000000" w14:paraId="0000008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Schets, F. M., Jacobs-Reitsma, W. F., van der Plaats, R. Q. J., Heer, L. K., van Hoek, A., Hamidjaja, R. A., de Roda Husman, A. M., &amp; Blaak, H. (2017). Prevalence and types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on poultry farms and in their direct environment. </w:t>
      </w:r>
      <w:r w:rsidDel="00000000" w:rsidR="00000000" w:rsidRPr="00000000">
        <w:rPr>
          <w:rFonts w:ascii="Calibri" w:cs="Calibri" w:eastAsia="Calibri" w:hAnsi="Calibri"/>
          <w:i w:val="1"/>
          <w:rtl w:val="0"/>
        </w:rPr>
        <w:t xml:space="preserve">Journal of Water and Health</w:t>
      </w:r>
      <w:r w:rsidDel="00000000" w:rsidR="00000000" w:rsidRPr="00000000">
        <w:rPr>
          <w:rFonts w:ascii="Calibri" w:cs="Calibri" w:eastAsia="Calibri" w:hAnsi="Calibri"/>
          <w:rtl w:val="0"/>
        </w:rPr>
        <w:t xml:space="preserve">, 15(6), 849–862.</w:t>
      </w:r>
    </w:p>
    <w:p w:rsidR="00000000" w:rsidDel="00000000" w:rsidP="00000000" w:rsidRDefault="00000000" w:rsidRPr="00000000" w14:paraId="0000008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Seliwiorstow, T., Bare, J., Berkvens, D., Van Damme, I., Uyttendaele, M., &amp; De Zutter, L. (2016). Identification of risk factors for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contamination levels on broiler carcasses during slaughter. </w:t>
      </w:r>
      <w:r w:rsidDel="00000000" w:rsidR="00000000" w:rsidRPr="00000000">
        <w:rPr>
          <w:rFonts w:ascii="Calibri" w:cs="Calibri" w:eastAsia="Calibri" w:hAnsi="Calibri"/>
          <w:i w:val="1"/>
          <w:rtl w:val="0"/>
        </w:rPr>
        <w:t xml:space="preserve">International Journal of Food Microbiology</w:t>
      </w:r>
      <w:r w:rsidDel="00000000" w:rsidR="00000000" w:rsidRPr="00000000">
        <w:rPr>
          <w:rFonts w:ascii="Calibri" w:cs="Calibri" w:eastAsia="Calibri" w:hAnsi="Calibri"/>
          <w:rtl w:val="0"/>
        </w:rPr>
        <w:t xml:space="preserve">, 226, 26–32.</w:t>
      </w:r>
    </w:p>
    <w:p w:rsidR="00000000" w:rsidDel="00000000" w:rsidP="00000000" w:rsidRDefault="00000000" w:rsidRPr="00000000" w14:paraId="0000008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Silva, J., Leite, D., Fernandes, M., Mena, C., Gibbs, P. A., &amp; Teixeira, P. (2011).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spp. as a foodborne pathogen: A review. </w:t>
      </w:r>
      <w:r w:rsidDel="00000000" w:rsidR="00000000" w:rsidRPr="00000000">
        <w:rPr>
          <w:rFonts w:ascii="Calibri" w:cs="Calibri" w:eastAsia="Calibri" w:hAnsi="Calibri"/>
          <w:i w:val="1"/>
          <w:rtl w:val="0"/>
        </w:rPr>
        <w:t xml:space="preserve">Frontiers in Microbiology</w:t>
      </w:r>
      <w:r w:rsidDel="00000000" w:rsidR="00000000" w:rsidRPr="00000000">
        <w:rPr>
          <w:rFonts w:ascii="Calibri" w:cs="Calibri" w:eastAsia="Calibri" w:hAnsi="Calibri"/>
          <w:rtl w:val="0"/>
        </w:rPr>
        <w:t xml:space="preserve">, 2, 200.</w:t>
      </w:r>
    </w:p>
    <w:p w:rsidR="00000000" w:rsidDel="00000000" w:rsidP="00000000" w:rsidRDefault="00000000" w:rsidRPr="00000000" w14:paraId="0000008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Slader, J., Domingue, G., Jørgensen, F., McAlpine, K., Owen, R. J., Bolton, F. J., &amp; Humphrey, T. J. (2002). Impact of transport crate reuse and processing on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Salmonella</w:t>
      </w:r>
      <w:r w:rsidDel="00000000" w:rsidR="00000000" w:rsidRPr="00000000">
        <w:rPr>
          <w:rFonts w:ascii="Calibri" w:cs="Calibri" w:eastAsia="Calibri" w:hAnsi="Calibri"/>
          <w:rtl w:val="0"/>
        </w:rPr>
        <w:t xml:space="preserve"> contamination of broiler chickens. </w:t>
      </w:r>
      <w:r w:rsidDel="00000000" w:rsidR="00000000" w:rsidRPr="00000000">
        <w:rPr>
          <w:rFonts w:ascii="Calibri" w:cs="Calibri" w:eastAsia="Calibri" w:hAnsi="Calibri"/>
          <w:i w:val="1"/>
          <w:rtl w:val="0"/>
        </w:rPr>
        <w:t xml:space="preserve">Applied and Environmental Microbiology</w:t>
      </w:r>
      <w:r w:rsidDel="00000000" w:rsidR="00000000" w:rsidRPr="00000000">
        <w:rPr>
          <w:rFonts w:ascii="Calibri" w:cs="Calibri" w:eastAsia="Calibri" w:hAnsi="Calibri"/>
          <w:rtl w:val="0"/>
        </w:rPr>
        <w:t xml:space="preserve">, 68(2), 713–719.</w:t>
      </w:r>
    </w:p>
    <w:p w:rsidR="00000000" w:rsidDel="00000000" w:rsidP="00000000" w:rsidRDefault="00000000" w:rsidRPr="00000000" w14:paraId="0000009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Soro, A. B., Whyte, P., Bolton, D. J., &amp; Tiwari, B. K. (2020). Strategies and novel technologies to control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in the poultry chain: A review. </w:t>
      </w:r>
      <w:r w:rsidDel="00000000" w:rsidR="00000000" w:rsidRPr="00000000">
        <w:rPr>
          <w:rFonts w:ascii="Calibri" w:cs="Calibri" w:eastAsia="Calibri" w:hAnsi="Calibri"/>
          <w:i w:val="1"/>
          <w:rtl w:val="0"/>
        </w:rPr>
        <w:t xml:space="preserve">Comprehensive Reviews in Food Science and Food Safety</w:t>
      </w:r>
      <w:r w:rsidDel="00000000" w:rsidR="00000000" w:rsidRPr="00000000">
        <w:rPr>
          <w:rFonts w:ascii="Calibri" w:cs="Calibri" w:eastAsia="Calibri" w:hAnsi="Calibri"/>
          <w:rtl w:val="0"/>
        </w:rPr>
        <w:t xml:space="preserve">, 19(4), 1353–1377.</w:t>
      </w:r>
    </w:p>
    <w:p w:rsidR="00000000" w:rsidDel="00000000" w:rsidP="00000000" w:rsidRDefault="00000000" w:rsidRPr="00000000" w14:paraId="0000009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Swinbank, A. (1993). The economics of food safety. </w:t>
      </w:r>
      <w:r w:rsidDel="00000000" w:rsidR="00000000" w:rsidRPr="00000000">
        <w:rPr>
          <w:rFonts w:ascii="Calibri" w:cs="Calibri" w:eastAsia="Calibri" w:hAnsi="Calibri"/>
          <w:i w:val="1"/>
          <w:rtl w:val="0"/>
        </w:rPr>
        <w:t xml:space="preserve">Food Policy</w:t>
      </w:r>
      <w:r w:rsidDel="00000000" w:rsidR="00000000" w:rsidRPr="00000000">
        <w:rPr>
          <w:rFonts w:ascii="Calibri" w:cs="Calibri" w:eastAsia="Calibri" w:hAnsi="Calibri"/>
          <w:rtl w:val="0"/>
        </w:rPr>
        <w:t xml:space="preserve">, 18(2), 83–94.</w:t>
      </w:r>
    </w:p>
    <w:p w:rsidR="00000000" w:rsidDel="00000000" w:rsidP="00000000" w:rsidRDefault="00000000" w:rsidRPr="00000000" w14:paraId="0000009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Szott, V., &amp; Friese, A. (2021). Emission sources of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from agricultural farms, impact on environmental contamination and intervention strategies. In S. Backert (Ed.), </w:t>
      </w:r>
      <w:r w:rsidDel="00000000" w:rsidR="00000000" w:rsidRPr="00000000">
        <w:rPr>
          <w:rFonts w:ascii="Calibri" w:cs="Calibri" w:eastAsia="Calibri" w:hAnsi="Calibri"/>
          <w:i w:val="1"/>
          <w:rtl w:val="0"/>
        </w:rPr>
        <w:t xml:space="preserve">Fighting Campylobacter Infections</w:t>
      </w:r>
      <w:r w:rsidDel="00000000" w:rsidR="00000000" w:rsidRPr="00000000">
        <w:rPr>
          <w:rFonts w:ascii="Calibri" w:cs="Calibri" w:eastAsia="Calibri" w:hAnsi="Calibri"/>
          <w:rtl w:val="0"/>
        </w:rPr>
        <w:t xml:space="preserve"> (pp. 103–125). Springer Nature Switzerland AG.</w:t>
      </w:r>
    </w:p>
    <w:p w:rsidR="00000000" w:rsidDel="00000000" w:rsidP="00000000" w:rsidRDefault="00000000" w:rsidRPr="00000000" w14:paraId="0000009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Wagle, B. R., Upadhyay, A., Arsi, K., Shrestha, S., Venkitanarayanan, K., Donoghue, A. M., &amp; Donoghue, D. J. (2017). Application of β-resorcylic acid as a potential antimicrobial feed additive to reduce </w:t>
      </w:r>
      <w:r w:rsidDel="00000000" w:rsidR="00000000" w:rsidRPr="00000000">
        <w:rPr>
          <w:rFonts w:ascii="Calibri" w:cs="Calibri" w:eastAsia="Calibri" w:hAnsi="Calibri"/>
          <w:i w:val="1"/>
          <w:rtl w:val="0"/>
        </w:rPr>
        <w:t xml:space="preserve">Campylobacter</w:t>
      </w:r>
      <w:r w:rsidDel="00000000" w:rsidR="00000000" w:rsidRPr="00000000">
        <w:rPr>
          <w:rFonts w:ascii="Calibri" w:cs="Calibri" w:eastAsia="Calibri" w:hAnsi="Calibri"/>
          <w:rtl w:val="0"/>
        </w:rPr>
        <w:t xml:space="preserve"> colonization in broiler chickens. </w:t>
      </w:r>
      <w:r w:rsidDel="00000000" w:rsidR="00000000" w:rsidRPr="00000000">
        <w:rPr>
          <w:rFonts w:ascii="Calibri" w:cs="Calibri" w:eastAsia="Calibri" w:hAnsi="Calibri"/>
          <w:i w:val="1"/>
          <w:rtl w:val="0"/>
        </w:rPr>
        <w:t xml:space="preserve">Frontiers in Microbiology</w:t>
      </w:r>
      <w:r w:rsidDel="00000000" w:rsidR="00000000" w:rsidRPr="00000000">
        <w:rPr>
          <w:rFonts w:ascii="Calibri" w:cs="Calibri" w:eastAsia="Calibri" w:hAnsi="Calibri"/>
          <w:rtl w:val="0"/>
        </w:rPr>
        <w:t xml:space="preserve">, 8, 599.</w:t>
      </w:r>
    </w:p>
    <w:p w:rsidR="00000000" w:rsidDel="00000000" w:rsidP="00000000" w:rsidRDefault="00000000" w:rsidRPr="00000000" w14:paraId="0000009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Wagle, B. R., Upadhyay, A., Upadhyaya, I., Shrestha, S., Arsi, K., Liyanage, R., Venkitanarayanan, K., Donoghue, D. J., &amp; Donoghue, A. M. (2019). Trans-cinnamaldehyde, eugenol and carvacrol reduce </w:t>
      </w:r>
      <w:r w:rsidDel="00000000" w:rsidR="00000000" w:rsidRPr="00000000">
        <w:rPr>
          <w:rFonts w:ascii="Calibri" w:cs="Calibri" w:eastAsia="Calibri" w:hAnsi="Calibri"/>
          <w:i w:val="1"/>
          <w:rtl w:val="0"/>
        </w:rPr>
        <w:t xml:space="preserve">Campylobacter jejuni</w:t>
      </w:r>
      <w:r w:rsidDel="00000000" w:rsidR="00000000" w:rsidRPr="00000000">
        <w:rPr>
          <w:rFonts w:ascii="Calibri" w:cs="Calibri" w:eastAsia="Calibri" w:hAnsi="Calibri"/>
          <w:rtl w:val="0"/>
        </w:rPr>
        <w:t xml:space="preserve"> biofilms and modulate gene expression. </w:t>
      </w:r>
      <w:r w:rsidDel="00000000" w:rsidR="00000000" w:rsidRPr="00000000">
        <w:rPr>
          <w:rFonts w:ascii="Calibri" w:cs="Calibri" w:eastAsia="Calibri" w:hAnsi="Calibri"/>
          <w:i w:val="1"/>
          <w:rtl w:val="0"/>
        </w:rPr>
        <w:t xml:space="preserve">Frontiers in Microbiology</w:t>
      </w:r>
      <w:r w:rsidDel="00000000" w:rsidR="00000000" w:rsidRPr="00000000">
        <w:rPr>
          <w:rFonts w:ascii="Calibri" w:cs="Calibri" w:eastAsia="Calibri" w:hAnsi="Calibri"/>
          <w:rtl w:val="0"/>
        </w:rPr>
        <w:t xml:space="preserve">, 10, 1837.</w:t>
      </w:r>
    </w:p>
    <w:p w:rsidR="00000000" w:rsidDel="00000000" w:rsidP="00000000" w:rsidRDefault="00000000" w:rsidRPr="00000000" w14:paraId="0000009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Yang, H., Li, Y., &amp; Johnson, M. G. (2001). Survival and death of </w:t>
      </w:r>
      <w:r w:rsidDel="00000000" w:rsidR="00000000" w:rsidRPr="00000000">
        <w:rPr>
          <w:rFonts w:ascii="Calibri" w:cs="Calibri" w:eastAsia="Calibri" w:hAnsi="Calibri"/>
          <w:i w:val="1"/>
          <w:rtl w:val="0"/>
        </w:rPr>
        <w:t xml:space="preserve">Salmonella typhimurium</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rtl w:val="0"/>
        </w:rPr>
        <w:t xml:space="preserve">Campylobacter jejuni</w:t>
      </w:r>
      <w:r w:rsidDel="00000000" w:rsidR="00000000" w:rsidRPr="00000000">
        <w:rPr>
          <w:rFonts w:ascii="Calibri" w:cs="Calibri" w:eastAsia="Calibri" w:hAnsi="Calibri"/>
          <w:rtl w:val="0"/>
        </w:rPr>
        <w:t xml:space="preserve"> in processing water and on chicken skin during poultry scalding and chilling. </w:t>
      </w:r>
      <w:r w:rsidDel="00000000" w:rsidR="00000000" w:rsidRPr="00000000">
        <w:rPr>
          <w:rFonts w:ascii="Calibri" w:cs="Calibri" w:eastAsia="Calibri" w:hAnsi="Calibri"/>
          <w:i w:val="1"/>
          <w:rtl w:val="0"/>
        </w:rPr>
        <w:t xml:space="preserve">Journal of Food Protection</w:t>
      </w:r>
      <w:r w:rsidDel="00000000" w:rsidR="00000000" w:rsidRPr="00000000">
        <w:rPr>
          <w:rFonts w:ascii="Calibri" w:cs="Calibri" w:eastAsia="Calibri" w:hAnsi="Calibri"/>
          <w:rtl w:val="0"/>
        </w:rPr>
        <w:t xml:space="preserve">, 64(6), 770–776.</w:t>
      </w:r>
    </w:p>
    <w:p w:rsidR="00000000" w:rsidDel="00000000" w:rsidP="00000000" w:rsidRDefault="00000000" w:rsidRPr="00000000" w14:paraId="0000009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Zainol, M. F. A., Safiyanu, M. B., Abd Aziz, S., Omar, A. R., Chuang, K. P., &amp; Mariatulqabtiah, A. R. (2024). Campylobacteriosis and control strategies against </w:t>
      </w:r>
      <w:r w:rsidDel="00000000" w:rsidR="00000000" w:rsidRPr="00000000">
        <w:rPr>
          <w:rFonts w:ascii="Calibri" w:cs="Calibri" w:eastAsia="Calibri" w:hAnsi="Calibri"/>
          <w:i w:val="1"/>
          <w:rtl w:val="0"/>
        </w:rPr>
        <w:t xml:space="preserve">Campylobacters</w:t>
      </w:r>
      <w:r w:rsidDel="00000000" w:rsidR="00000000" w:rsidRPr="00000000">
        <w:rPr>
          <w:rFonts w:ascii="Calibri" w:cs="Calibri" w:eastAsia="Calibri" w:hAnsi="Calibri"/>
          <w:rtl w:val="0"/>
        </w:rPr>
        <w:t xml:space="preserve"> in poultry farms. </w:t>
      </w:r>
      <w:r w:rsidDel="00000000" w:rsidR="00000000" w:rsidRPr="00000000">
        <w:rPr>
          <w:rFonts w:ascii="Calibri" w:cs="Calibri" w:eastAsia="Calibri" w:hAnsi="Calibri"/>
          <w:i w:val="1"/>
          <w:rtl w:val="0"/>
        </w:rPr>
        <w:t xml:space="preserve">Journal of Microbiology and Biotechnology</w:t>
      </w:r>
      <w:r w:rsidDel="00000000" w:rsidR="00000000" w:rsidRPr="00000000">
        <w:rPr>
          <w:rFonts w:ascii="Calibri" w:cs="Calibri" w:eastAsia="Calibri" w:hAnsi="Calibri"/>
          <w:rtl w:val="0"/>
        </w:rPr>
        <w:t xml:space="preserve">, 34(5), 987–993.</w:t>
      </w:r>
    </w:p>
    <w:p w:rsidR="00000000" w:rsidDel="00000000" w:rsidP="00000000" w:rsidRDefault="00000000" w:rsidRPr="00000000" w14:paraId="00000097">
      <w:pPr>
        <w:spacing w:after="240" w:before="240" w:lineRule="auto"/>
        <w:jc w:val="both"/>
        <w:rPr>
          <w:rFonts w:ascii="Calibri" w:cs="Calibri" w:eastAsia="Calibri" w:hAnsi="Calibri"/>
        </w:rPr>
      </w:pPr>
      <w:bookmarkStart w:colFirst="0" w:colLast="0" w:name="_heading=h.g2i0cmrr5ctq" w:id="0"/>
      <w:bookmarkEnd w:id="0"/>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berschrift7">
    <w:name w:val="heading 7"/>
    <w:basedOn w:val="Standard"/>
    <w:next w:val="Standard"/>
    <w:link w:val="berschrift7Zchn"/>
    <w:uiPriority w:val="9"/>
    <w:unhideWhenUsed w:val="1"/>
    <w:qFormat w:val="1"/>
    <w:rsid w:val="005D4378"/>
    <w:pPr>
      <w:keepNext w:val="1"/>
      <w:keepLines w:val="1"/>
      <w:spacing w:before="40"/>
      <w:outlineLvl w:val="6"/>
    </w:pPr>
    <w:rPr>
      <w:rFonts w:asciiTheme="majorHAnsi" w:cstheme="majorBidi" w:eastAsiaTheme="majorEastAsia" w:hAnsiTheme="majorHAnsi"/>
      <w:i w:val="1"/>
      <w:iCs w:val="1"/>
      <w:color w:val="243f60" w:themeColor="accent1" w:themeShade="00007F"/>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erschrift7Zchn" w:customStyle="1">
    <w:name w:val="Überschrift 7 Zchn"/>
    <w:basedOn w:val="Absatz-Standardschriftart"/>
    <w:link w:val="berschrift7"/>
    <w:uiPriority w:val="9"/>
    <w:rsid w:val="005D4378"/>
    <w:rPr>
      <w:rFonts w:asciiTheme="majorHAnsi" w:cstheme="majorBidi" w:eastAsiaTheme="majorEastAsia" w:hAnsiTheme="majorHAnsi"/>
      <w:i w:val="1"/>
      <w:iCs w:val="1"/>
      <w:color w:val="243f60" w:themeColor="accent1" w:themeShade="00007F"/>
    </w:rPr>
  </w:style>
  <w:style w:type="paragraph" w:styleId="KeinLeerraum">
    <w:name w:val="No Spacing"/>
    <w:uiPriority w:val="1"/>
    <w:qFormat w:val="1"/>
    <w:rsid w:val="005D4378"/>
    <w:pPr>
      <w:spacing w:line="240" w:lineRule="auto"/>
    </w:pPr>
  </w:style>
  <w:style w:type="paragraph" w:styleId="Listenabsatz">
    <w:name w:val="List Paragraph"/>
    <w:basedOn w:val="Standard"/>
    <w:uiPriority w:val="34"/>
    <w:qFormat w:val="1"/>
    <w:rsid w:val="005D437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hXrj8sYDS7KdILDFV+pSzjhug==">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2025-10-23T17:08:00Z</dcterms:created>
  <dc:creator>Дарья Дарья</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http://www.zotero.org/styles/acs-sustainable-chemistry-and-engineering</vt:lpwstr>
  </property>
  <property fmtid="{D5CDD505-2E9C-101B-9397-08002B2CF9AE}" pid="3" name="Mendeley Recent Style Name 0_1">
    <vt:lpwstr>ACS Sustainable Chemistry &amp; Engineering</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http://www.zotero.org/styles/university-of-york-apa</vt:lpwstr>
  </property>
  <property fmtid="{D5CDD505-2E9C-101B-9397-08002B2CF9AE}" pid="21" name="Mendeley Recent Style Name 9_1">
    <vt:lpwstr>University of York - APA 6th edition</vt:lpwstr>
  </property>
  <property fmtid="{D5CDD505-2E9C-101B-9397-08002B2CF9AE}" pid="22" name="Mendeley Document_1">
    <vt:lpwstr>True</vt:lpwstr>
  </property>
  <property fmtid="{D5CDD505-2E9C-101B-9397-08002B2CF9AE}" pid="23" name="Mendeley Unique User Id_1">
    <vt:lpwstr>ffcc14a4-d1ef-302c-88fb-5f44e0a5d6c2</vt:lpwstr>
  </property>
  <property fmtid="{D5CDD505-2E9C-101B-9397-08002B2CF9AE}" pid="24" name="Mendeley Citation Style_1">
    <vt:lpwstr>http://www.zotero.org/styles/american-political-science-association</vt:lpwstr>
  </property>
</Properties>
</file>