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0ACC" w14:textId="44C1294F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Environmental NGOs</w:t>
      </w:r>
      <w:r>
        <w:rPr>
          <w:lang w:val="en-GB"/>
        </w:rPr>
        <w:t xml:space="preserve"> (with food waste focus)</w:t>
      </w:r>
    </w:p>
    <w:p w14:paraId="537AD5C0" w14:textId="77777777" w:rsidR="001038C7" w:rsidRPr="001038C7" w:rsidRDefault="001038C7" w:rsidP="001038C7">
      <w:pPr>
        <w:rPr>
          <w:lang w:val="en-GB"/>
        </w:rPr>
      </w:pPr>
    </w:p>
    <w:p w14:paraId="6125B4B6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Description</w:t>
      </w:r>
    </w:p>
    <w:p w14:paraId="7E929F8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Focuses on the system-level consequences of changing criteria (from PHC to MC) for Campylobacter control on broiler carcasses, emphasizing the need to translate surveillance data and model outputs into risk-informed, proportionate actions along the chain. Prioritizes approaches that target risk “at source” (farm/slaughterhouse) in a cost-efficient manner to avoid unnecessary downstream impacts (e.g., avoid broad, non-targeted actions)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 Works with risk managers (including food business operators, FBOs) to interpret surveillance and QMRA outputs, accounting for model uncertainty, seasonality, and stage-specific contributions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59FEF01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Short-Term Goals</w:t>
      </w:r>
    </w:p>
    <w:p w14:paraId="244D412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Provide surveillance data-driven, QMRA-supported appraisals of how an MC (vs. the current PHC) would shift compliance decisions and associated control actions, distinguishing data effects from model-structure effects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42C941B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Support development of visualization/decision tools that link surveillance inputs and risk outputs to enable targeted, proportionate interventions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3DEC084A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General Aim</w:t>
      </w:r>
    </w:p>
    <w:p w14:paraId="2306D8C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Maximize public health benefits per unit of control effort by aligning criteria with risk-based standards and performance objectives across the chain, consistent with the Food Safety Objective (FSO)/Performance Objective (PO) framework (Van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2009; Nauta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2008; EFSA BIOHAZ Panel, 2011).</w:t>
      </w:r>
    </w:p>
    <w:p w14:paraId="58B7E2C0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Scientific Foundation</w:t>
      </w:r>
    </w:p>
    <w:p w14:paraId="2182B50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QMRA as a decision-support tool to “translate” surveillance data into human risk estimates and to target controls where they are most effective and efficient (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 xml:space="preserve"> et al., 2008; Nauta et al., 2009; Chapman et al., 2016;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2E674F6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Risk-based standards linking MCs to public health goals (FSO/PO) and performance targets at different chain stages (Van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2009; EFSA BIOHAZ Panel, 2011; Nauta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2008).</w:t>
      </w:r>
    </w:p>
    <w:p w14:paraId="4C5E841A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EU regulatory context for Campylobacter criteria on broiler carcasses (Commission Regulation (EC) No 2073/2005; Commission Regulation (EU) 2017/1495)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60FEB72E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Ethical Foundation</w:t>
      </w:r>
    </w:p>
    <w:p w14:paraId="26C64278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Stewardship and proportionality: use transparent, surveillance-based, and risk-proportionate controls that focus on high-impact points (e.g., farms/slaughterhouses), aligned with One Health-oriented data integration and harmonization initiatives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1EF0B88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References</w:t>
      </w:r>
    </w:p>
    <w:p w14:paraId="13E30E93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(EFSA BIOHAZ Panel, 2011;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2024; Nauta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 xml:space="preserve">, 2008; 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2009; Commission Regulation (EC) No 2073/2005; Commission Regulation (EU) 2017/1495)</w:t>
      </w:r>
    </w:p>
    <w:p w14:paraId="08B2CB7D" w14:textId="77777777" w:rsidR="001038C7" w:rsidRPr="001038C7" w:rsidRDefault="001038C7" w:rsidP="001038C7">
      <w:pPr>
        <w:rPr>
          <w:lang w:val="en-GB"/>
        </w:rPr>
      </w:pPr>
    </w:p>
    <w:p w14:paraId="48F81CA5" w14:textId="77777777" w:rsidR="001038C7" w:rsidRPr="001038C7" w:rsidRDefault="001038C7" w:rsidP="001038C7">
      <w:pPr>
        <w:rPr>
          <w:lang w:val="en-GB"/>
        </w:rPr>
      </w:pPr>
    </w:p>
    <w:p w14:paraId="716FC061" w14:textId="77777777" w:rsidR="001038C7" w:rsidRPr="001038C7" w:rsidRDefault="001038C7" w:rsidP="001038C7">
      <w:pPr>
        <w:rPr>
          <w:lang w:val="en-GB"/>
        </w:rPr>
      </w:pPr>
    </w:p>
    <w:p w14:paraId="67342C4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Food Safety Authorities</w:t>
      </w:r>
    </w:p>
    <w:p w14:paraId="5794182E" w14:textId="77777777" w:rsidR="001038C7" w:rsidRPr="001038C7" w:rsidRDefault="001038C7" w:rsidP="001038C7">
      <w:pPr>
        <w:rPr>
          <w:lang w:val="en-GB"/>
        </w:rPr>
      </w:pPr>
    </w:p>
    <w:p w14:paraId="4DA69BA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Description</w:t>
      </w:r>
    </w:p>
    <w:p w14:paraId="0BAE288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Provides scientific advice, sets/implements criteria, and oversees risk-based control of Campylobacter along the broiler meat chain within the EU legal framework (Commission Regulation (EC) No 2073/2005; Commission Regulation (EU) 2017/1495). Draws on EFSA’s scientific opinions and baseline surveys, and on QMRA, to align criteria and targets with public health outcomes along stages of production and processing (EFSA, 2010a; EFSA, 2010b; EFSA BIOHAZ Panel, 2011;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33560BE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Short-Term Goals</w:t>
      </w:r>
    </w:p>
    <w:p w14:paraId="07145C1E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Assess whether a food safety MC (replacing the PHC) would meaningfully improve public health risk reduction relative to costs, using surveillance-integrated QMRA and stage-specific/seasonal analyses (EFSA, 2010a; EFSA, 2010b; EFSA BIOHAZ Panel, 2011;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331E9648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Strengthen reporting and integration of surveillance data across One Health sectors and harmonize use of data/models/tools for risk assessment and management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37782884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General Aim</w:t>
      </w:r>
    </w:p>
    <w:p w14:paraId="17B71A0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Reduce human campylobacteriosis by establishing risk-based, harmonized criteria and performance targets at appropriate chain stages, consistent with FSO/PO (EFSA BIOHAZ Panel, 2011; 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2009).</w:t>
      </w:r>
    </w:p>
    <w:p w14:paraId="666F7D93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Scientific Foundation</w:t>
      </w:r>
    </w:p>
    <w:p w14:paraId="5E315F38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EFSA baseline surveys and opinions on Campylobacter prevalence and control options (EFSA, 2010a; EFSA, 2010b; EFSA BIOHAZ Panel, 2011).</w:t>
      </w:r>
    </w:p>
    <w:p w14:paraId="271ED9FC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QMRA evidence for translating surveillance data into risk and targeting interventions effectively (Nauta et al., 2009; Chapman et al., 2016;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659D6EF0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Frameworks linking MCs to public health goals (Van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2009; Nauta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2008).</w:t>
      </w:r>
    </w:p>
    <w:p w14:paraId="63B5D79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Ethical Foundation</w:t>
      </w:r>
    </w:p>
    <w:p w14:paraId="521C6CA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Public health protection, transparency, and proportionality: implement evidence-based, cost-efficient controls and communicate uncertainty and data limitations to risk managers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2024; EFSA BIOHAZ Panel, 2011).</w:t>
      </w:r>
    </w:p>
    <w:p w14:paraId="2780663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References</w:t>
      </w:r>
    </w:p>
    <w:p w14:paraId="03DDD38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(EFSA, 2010a; EFSA, 2010b; EFSA BIOHAZ Panel, 2011;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2024; Van </w:t>
      </w:r>
      <w:proofErr w:type="spellStart"/>
      <w:r w:rsidRPr="001038C7">
        <w:rPr>
          <w:lang w:val="en-GB"/>
        </w:rPr>
        <w:t>Schothorst</w:t>
      </w:r>
      <w:proofErr w:type="spellEnd"/>
      <w:r w:rsidRPr="001038C7">
        <w:rPr>
          <w:lang w:val="en-GB"/>
        </w:rPr>
        <w:t xml:space="preserve"> et al., 2009; Commission Regulation (EC) No 2073/2005; Commission Regulation (EU) 2017/1495)</w:t>
      </w:r>
    </w:p>
    <w:p w14:paraId="0B2CBECC" w14:textId="77777777" w:rsidR="001038C7" w:rsidRDefault="001038C7" w:rsidP="001038C7">
      <w:pPr>
        <w:rPr>
          <w:lang w:val="en-GB"/>
        </w:rPr>
      </w:pPr>
    </w:p>
    <w:p w14:paraId="48C13E47" w14:textId="77777777" w:rsidR="001038C7" w:rsidRDefault="001038C7" w:rsidP="001038C7">
      <w:pPr>
        <w:rPr>
          <w:lang w:val="en-GB"/>
        </w:rPr>
      </w:pPr>
    </w:p>
    <w:p w14:paraId="7DFFD565" w14:textId="77777777" w:rsidR="001038C7" w:rsidRPr="001038C7" w:rsidRDefault="001038C7" w:rsidP="001038C7">
      <w:pPr>
        <w:rPr>
          <w:lang w:val="en-GB"/>
        </w:rPr>
      </w:pPr>
    </w:p>
    <w:p w14:paraId="4EA058FF" w14:textId="77777777" w:rsidR="001038C7" w:rsidRPr="001038C7" w:rsidRDefault="001038C7" w:rsidP="001038C7">
      <w:pPr>
        <w:rPr>
          <w:lang w:val="en-GB"/>
        </w:rPr>
      </w:pPr>
    </w:p>
    <w:p w14:paraId="78831403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lastRenderedPageBreak/>
        <w:t>Food Industry (Producers, Processors, Slaughterhouses, Retailers)</w:t>
      </w:r>
    </w:p>
    <w:p w14:paraId="1CC6E086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Description</w:t>
      </w:r>
    </w:p>
    <w:p w14:paraId="14A02AA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Responsible for supplying safe food and taking measures when food is not safe according to legislation; operates slaughterhouses under sampling schemes and criteria for Campylobacter on broiler carcasses (Commission Regulation (EC) No 2073/2005; Commission Regulation (EU) 2017/1495) (Back-of-chain responsibilities referenced in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2024; obligations noted for FBOs in legislative context). Acts as a key “risk manager” using surveillance/QMRA outputs to target controls along the chain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5F9033E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Short-Term Goals</w:t>
      </w:r>
    </w:p>
    <w:p w14:paraId="3A2542AC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Maintain compliance with current criteria; evaluate implications of a potential MC for operations and product; adopt effective, efficient interventions (including batch-level, case-by-case risk assessment and improved operational hygiene) (Christensen et al., 2013; Habib et al., 2012;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427B9B13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General Aim</w:t>
      </w:r>
    </w:p>
    <w:p w14:paraId="1AF8F28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Achieve public health risk reductions at least cost by focusing controls where they matter most (farms, slaughterhouses), minimizing operational disruption and leveraging data-driven categorization tools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5B7D21F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Scientific Foundation</w:t>
      </w:r>
    </w:p>
    <w:p w14:paraId="6A8C393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Case-by-case risk assessment of broiler meat batches as a control strategy (Christensen et al., 2013).</w:t>
      </w:r>
    </w:p>
    <w:p w14:paraId="207D1B2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Operational hygiene at slaughterhouses correlates with carcass contamination (Habib et al., 2012).</w:t>
      </w:r>
    </w:p>
    <w:p w14:paraId="7A8764E8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Detection performance varies across carcass sample types; method choice affects surveillance and control decisions (Ellis-Iversen et al., 2020).</w:t>
      </w:r>
    </w:p>
    <w:p w14:paraId="37370BE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Economic analyses of Campylobacter control options in EU broiler chains (Mangen et al., 2007;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 xml:space="preserve"> et al., 2007; Katsma et al., 2007; ICF-GHK &amp; ADAS, EU reports) (see Pitter et al., 2018 compilation).</w:t>
      </w:r>
    </w:p>
    <w:p w14:paraId="55D03485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Ethical Foundation</w:t>
      </w:r>
    </w:p>
    <w:p w14:paraId="2F7BB47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Duty of care to supply safe food and to act when products are unsafe; collaborative participation in surveillance-driven, transparent, and proportionate controls that protect consumers while sustaining viable operations (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37C75DD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References</w:t>
      </w:r>
    </w:p>
    <w:p w14:paraId="76682A24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(Christensen et al., 2013; Ellis-Iversen et al., 2020; Habib et al., 2012;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 xml:space="preserve"> et al., 2007; ICF-GHK &amp; ADAS; Mangen et al., 2007; Pitter et al., 2018; Katsma et al., 2007; Commission Regulation (EC) No 2073/2005; Commission Regulation (EU) 2017/1495)</w:t>
      </w:r>
    </w:p>
    <w:p w14:paraId="7A0B5DA6" w14:textId="77777777" w:rsidR="001038C7" w:rsidRPr="001038C7" w:rsidRDefault="001038C7" w:rsidP="001038C7">
      <w:pPr>
        <w:rPr>
          <w:lang w:val="en-GB"/>
        </w:rPr>
      </w:pPr>
    </w:p>
    <w:p w14:paraId="21149248" w14:textId="77777777" w:rsidR="001038C7" w:rsidRPr="001038C7" w:rsidRDefault="001038C7" w:rsidP="001038C7">
      <w:pPr>
        <w:rPr>
          <w:lang w:val="en-GB"/>
        </w:rPr>
      </w:pPr>
    </w:p>
    <w:p w14:paraId="2D3C9A11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Consumers</w:t>
      </w:r>
    </w:p>
    <w:p w14:paraId="08EF43B7" w14:textId="77777777" w:rsidR="001038C7" w:rsidRPr="001038C7" w:rsidRDefault="001038C7" w:rsidP="001038C7">
      <w:pPr>
        <w:rPr>
          <w:lang w:val="en-GB"/>
        </w:rPr>
      </w:pPr>
    </w:p>
    <w:p w14:paraId="6F6D563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lastRenderedPageBreak/>
        <w:t>- Description</w:t>
      </w:r>
    </w:p>
    <w:p w14:paraId="5090A72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Final users whose </w:t>
      </w:r>
      <w:proofErr w:type="spellStart"/>
      <w:r w:rsidRPr="001038C7">
        <w:rPr>
          <w:lang w:val="en-GB"/>
        </w:rPr>
        <w:t>behaviors</w:t>
      </w:r>
      <w:proofErr w:type="spellEnd"/>
      <w:r w:rsidRPr="001038C7">
        <w:rPr>
          <w:lang w:val="en-GB"/>
        </w:rPr>
        <w:t xml:space="preserve"> and risk perceptions influence realized risk from poultry, particularly via kitchen cross-contamination and doneness practices. Consumer-phase models show domestic handling substantially affects risk estimates; risk information can change </w:t>
      </w:r>
      <w:proofErr w:type="spellStart"/>
      <w:r w:rsidRPr="001038C7">
        <w:rPr>
          <w:lang w:val="en-GB"/>
        </w:rPr>
        <w:t>behavior</w:t>
      </w:r>
      <w:proofErr w:type="spellEnd"/>
      <w:r w:rsidRPr="001038C7">
        <w:rPr>
          <w:lang w:val="en-GB"/>
        </w:rPr>
        <w:t xml:space="preserve"> and reduce risk (Nauta &amp; Christensen, 2011; Nauta et al., 2008).</w:t>
      </w:r>
    </w:p>
    <w:p w14:paraId="5869B86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Short-Term Goals</w:t>
      </w:r>
    </w:p>
    <w:p w14:paraId="6AD4C99E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Receive clear, targeted risk communication (e.g., point-of-sale and consumer education) to improve handling and cooking practices (Nauta et al., 2008; Nauta &amp; Christensen, 2011).</w:t>
      </w:r>
    </w:p>
    <w:p w14:paraId="0047B00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General Aim</w:t>
      </w:r>
    </w:p>
    <w:p w14:paraId="5939D41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Safer consumption of poultry via a dual approach: upstream risk-based controls (criteria and interventions) and improved domestic practices that complement regulatory measures (Nauta &amp; Christensen, 2011; Nauta et al., 2008).</w:t>
      </w:r>
    </w:p>
    <w:p w14:paraId="1A8A4961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Scientific Foundation</w:t>
      </w:r>
    </w:p>
    <w:p w14:paraId="462DD9FE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Evidence that consumer-phase </w:t>
      </w:r>
      <w:proofErr w:type="spellStart"/>
      <w:r w:rsidRPr="001038C7">
        <w:rPr>
          <w:lang w:val="en-GB"/>
        </w:rPr>
        <w:t>behavior</w:t>
      </w:r>
      <w:proofErr w:type="spellEnd"/>
      <w:r w:rsidRPr="001038C7">
        <w:rPr>
          <w:lang w:val="en-GB"/>
        </w:rPr>
        <w:t xml:space="preserve"> is a key driver of risk and that risk information can reduce human disease risks in domestic settings (Nauta &amp; Christensen, 2011; Nauta et al., 2008).</w:t>
      </w:r>
    </w:p>
    <w:p w14:paraId="6810B140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Ethical Foundation</w:t>
      </w:r>
    </w:p>
    <w:p w14:paraId="636CC521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Right to safe food and informed choice; shared responsibility to adopt safe handling and cooking </w:t>
      </w:r>
      <w:proofErr w:type="spellStart"/>
      <w:r w:rsidRPr="001038C7">
        <w:rPr>
          <w:lang w:val="en-GB"/>
        </w:rPr>
        <w:t>behaviors</w:t>
      </w:r>
      <w:proofErr w:type="spellEnd"/>
      <w:r w:rsidRPr="001038C7">
        <w:rPr>
          <w:lang w:val="en-GB"/>
        </w:rPr>
        <w:t xml:space="preserve"> alongside upstream controls framed by transparent risk communication (Nauta &amp; Christensen, 2011; Nauta et al., 2008).</w:t>
      </w:r>
    </w:p>
    <w:p w14:paraId="5ED37DDE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References</w:t>
      </w:r>
    </w:p>
    <w:p w14:paraId="25EDB63E" w14:textId="7290A9A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  - (Nauta &amp; Christensen, 2011; Nauta et al., 2008)</w:t>
      </w:r>
    </w:p>
    <w:p w14:paraId="2B753254" w14:textId="77777777" w:rsidR="001038C7" w:rsidRDefault="001038C7" w:rsidP="001038C7">
      <w:pPr>
        <w:rPr>
          <w:lang w:val="en-GB"/>
        </w:rPr>
      </w:pPr>
    </w:p>
    <w:p w14:paraId="2F12DEAD" w14:textId="6405D10A" w:rsidR="001038C7" w:rsidRPr="001038C7" w:rsidRDefault="001038C7" w:rsidP="001038C7">
      <w:pPr>
        <w:rPr>
          <w:b/>
          <w:bCs/>
          <w:lang w:val="en-GB"/>
        </w:rPr>
      </w:pPr>
      <w:r w:rsidRPr="001038C7">
        <w:rPr>
          <w:b/>
          <w:bCs/>
          <w:lang w:val="en-GB"/>
        </w:rPr>
        <w:t>References</w:t>
      </w:r>
    </w:p>
    <w:p w14:paraId="01F5677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Commission Regulation (EC) No 2073/2005 of 15 November 2005 on microbiological criteria for foodstuffs. Official Journal of the European Union, L 338, 1–26.</w:t>
      </w:r>
    </w:p>
    <w:p w14:paraId="3E8E36AA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Commission Regulation (EU) 2017/1495 of 23 August 2017 amending Regulation (EC) No 2073/2005 as regards Campylobacter in broiler carcases. Official Journal of the European Union, L 218, 1–6.</w:t>
      </w:r>
    </w:p>
    <w:p w14:paraId="70D3DEB7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Christensen, B. B., Nauta, M., Korsgaard, H., Sørensen, A. I. V., Rosenquist, H., Boysen, L., Perge, A., &amp; Nørrung, B. (2013). Case-by-case risk assessment of broiler meat batches: An effective control strategy for Campylobacter. Food Control, 31, 485–490.</w:t>
      </w:r>
    </w:p>
    <w:p w14:paraId="0B1403DA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Ellis-Iversen, J., Gantzhorn, M. R., Høg, B. B.,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>, A., &amp; Nauta, M. (2020). The ability to detect Campylobacter presence and concentration using different chicken carcass samples. Food Control, 115, 107294.</w:t>
      </w:r>
    </w:p>
    <w:p w14:paraId="19E46EEE" w14:textId="77777777" w:rsidR="001038C7" w:rsidRPr="001038C7" w:rsidRDefault="001038C7" w:rsidP="001038C7">
      <w:r w:rsidRPr="001038C7">
        <w:rPr>
          <w:lang w:val="en-GB"/>
        </w:rPr>
        <w:t xml:space="preserve">- EFSA BIOHAZ Panel. (2011). Scientific opinion on Campylobacter in broiler meat production: Control options and performance objectives and/or targets at different stages of the food chain. </w:t>
      </w:r>
      <w:r w:rsidRPr="001038C7">
        <w:t xml:space="preserve">EFSA Journal, 9, 1–141. </w:t>
      </w:r>
      <w:r w:rsidRPr="001038C7">
        <w:fldChar w:fldCharType="begin"/>
      </w:r>
      <w:r w:rsidRPr="001038C7">
        <w:instrText>HYPERLINK "https://doi.org/10.2903/j.efsa.2011.2105" \t "_blank"</w:instrText>
      </w:r>
      <w:r w:rsidRPr="001038C7">
        <w:fldChar w:fldCharType="separate"/>
      </w:r>
      <w:r w:rsidRPr="001038C7">
        <w:rPr>
          <w:rStyle w:val="Hyperlink"/>
        </w:rPr>
        <w:t>https://doi.org/10.2903/j.efsa.2011.2105</w:t>
      </w:r>
      <w:r w:rsidRPr="001038C7">
        <w:rPr>
          <w:lang w:val="en-GB"/>
        </w:rPr>
        <w:fldChar w:fldCharType="end"/>
      </w:r>
    </w:p>
    <w:p w14:paraId="6B8064C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lastRenderedPageBreak/>
        <w:t>- EFSA. (2010a). Analysis of the baseline survey on the prevalence of Campylobacter in broiler batches and of Campylobacter and Salmonella on broiler carcasses in the EU, 2008, Part A: Campylobacter and Salmonella prevalence estimates. EFSA Journal, 8(3), 1503.</w:t>
      </w:r>
    </w:p>
    <w:p w14:paraId="37A7B2C3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EFSA. (2010b). Analysis of the baseline survey on the prevalence of Campylobacter in broiler batches and of Campylobacter and Salmonella on broiler carcasses in the EU, 2008, Part B: Factors associated with colonisation/contamination and culture method characteristics. EFSA Journal, 8(8), 1522.</w:t>
      </w:r>
    </w:p>
    <w:p w14:paraId="3781B5C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Habib, I., Coles, D., Fallows, G., Goodchild, S., &amp; Mawson, R. (2012). Campylobacter contamination in broiler carcasses and correlation with slaughterhouses operational hygiene inspection. Food Microbiology, 29, 105–112.</w:t>
      </w:r>
    </w:p>
    <w:p w14:paraId="0627BCC9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 xml:space="preserve">, A. H., Mangen, M.-J. J., de </w:t>
      </w:r>
      <w:proofErr w:type="spellStart"/>
      <w:r w:rsidRPr="001038C7">
        <w:rPr>
          <w:lang w:val="en-GB"/>
        </w:rPr>
        <w:t>Koeijer</w:t>
      </w:r>
      <w:proofErr w:type="spellEnd"/>
      <w:r w:rsidRPr="001038C7">
        <w:rPr>
          <w:lang w:val="en-GB"/>
        </w:rPr>
        <w:t xml:space="preserve">, A. A., </w:t>
      </w:r>
      <w:proofErr w:type="spellStart"/>
      <w:r w:rsidRPr="001038C7">
        <w:rPr>
          <w:lang w:val="en-GB"/>
        </w:rPr>
        <w:t>Bogaardt</w:t>
      </w:r>
      <w:proofErr w:type="spellEnd"/>
      <w:r w:rsidRPr="001038C7">
        <w:rPr>
          <w:lang w:val="en-GB"/>
        </w:rPr>
        <w:t>, M. J., Evers, E. G., Jacobs-Reitsma, W. F., van Pelt, W., Wagenaar, J. A., de Wit, G. A., van der Zee, H., &amp; Nauta, M. J. (2007). Effectiveness and efficiency of controlling Campylobacter on broiler chicken meat. Risk Analysis, 27, 831–844.</w:t>
      </w:r>
    </w:p>
    <w:p w14:paraId="3D82198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Katsma, W. E., Jacobs-Reitsma, W. F., Bolder, N. M., &amp; van der </w:t>
      </w:r>
      <w:proofErr w:type="spellStart"/>
      <w:r w:rsidRPr="001038C7">
        <w:rPr>
          <w:lang w:val="en-GB"/>
        </w:rPr>
        <w:t>Logt</w:t>
      </w:r>
      <w:proofErr w:type="spellEnd"/>
      <w:r w:rsidRPr="001038C7">
        <w:rPr>
          <w:lang w:val="en-GB"/>
        </w:rPr>
        <w:t>, P. (2007). Assessing interventions to reduce the risk of Campylobacter prevalence in broilers. Risk Analysis, 27, 863–876.</w:t>
      </w:r>
    </w:p>
    <w:p w14:paraId="431B0858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Mangen, M.-J. J., de Wit, G. A.,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A. H. (2007). Economic analysis of Campylobacter control in the Dutch broiler meat chain. Agribusiness, 23, 173–192.</w:t>
      </w:r>
    </w:p>
    <w:p w14:paraId="7F1BF4C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Nauta, M. J., &amp; Christensen, B. (2011). The impact of consumer phase models in microbial risk analysis. Risk Analysis, 31, 255–265.</w:t>
      </w:r>
    </w:p>
    <w:p w14:paraId="6E8B5EB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Nauta, M. J., Fischer, A. R. H., Van Asselt, E. D., de Jong, A. E. I., </w:t>
      </w:r>
      <w:proofErr w:type="spellStart"/>
      <w:r w:rsidRPr="001038C7">
        <w:rPr>
          <w:lang w:val="en-GB"/>
        </w:rPr>
        <w:t>Frewer</w:t>
      </w:r>
      <w:proofErr w:type="spellEnd"/>
      <w:r w:rsidRPr="001038C7">
        <w:rPr>
          <w:lang w:val="en-GB"/>
        </w:rPr>
        <w:t>, L. J., &amp; de Jonge, R. (2008). Food safety in the domestic environment: The effect of consumer risk information on human disease risks. Risk Analysis, 28, 179–192.</w:t>
      </w:r>
    </w:p>
    <w:p w14:paraId="73BCC72D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Nauta, M. J., Jacobs-Reitsma, W. F.,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A. H. (2007). A risk assessment model for Campylobacter in broiler meat. Risk Analysis, 27, 845–861.</w:t>
      </w:r>
    </w:p>
    <w:p w14:paraId="2C31F49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Nauta, M. J., &amp; </w:t>
      </w:r>
      <w:proofErr w:type="spellStart"/>
      <w:r w:rsidRPr="001038C7">
        <w:rPr>
          <w:lang w:val="en-GB"/>
        </w:rPr>
        <w:t>Havelaar</w:t>
      </w:r>
      <w:proofErr w:type="spellEnd"/>
      <w:r w:rsidRPr="001038C7">
        <w:rPr>
          <w:lang w:val="en-GB"/>
        </w:rPr>
        <w:t>, A. H. (2008). Risk-based standards for Campylobacter in the broiler meat chain. Food Control, 19, 372–381.</w:t>
      </w:r>
    </w:p>
    <w:p w14:paraId="13805C2F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- Pitter, J. G., et al. (2018). [Compilation citing economic analyses of Campylobacter control]. In Pitter 2018.pdf.</w:t>
      </w:r>
    </w:p>
    <w:p w14:paraId="3E5D3411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Van Schothorst, M., </w:t>
      </w:r>
      <w:proofErr w:type="spellStart"/>
      <w:r w:rsidRPr="001038C7">
        <w:rPr>
          <w:lang w:val="en-GB"/>
        </w:rPr>
        <w:t>Zwietering</w:t>
      </w:r>
      <w:proofErr w:type="spellEnd"/>
      <w:r w:rsidRPr="001038C7">
        <w:rPr>
          <w:lang w:val="en-GB"/>
        </w:rPr>
        <w:t>, M. H., Ross, T., Buchanan, R. L., Cole, M. B., &amp; ICMSF. (2009). Relating microbiological criteria to food safety objectives and performance objectives. Food Control, 20, 967–979.</w:t>
      </w:r>
    </w:p>
    <w:p w14:paraId="18A34479" w14:textId="77777777" w:rsidR="001038C7" w:rsidRPr="001038C7" w:rsidRDefault="001038C7" w:rsidP="001038C7">
      <w:r w:rsidRPr="001038C7">
        <w:rPr>
          <w:lang w:val="en-GB"/>
        </w:rPr>
        <w:t xml:space="preserve">-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, A., et al. (2024). Quantitative, surveillance data-driven risk assessment for Campylobacter along the Danish broiler meat chain (with visualization interface). </w:t>
      </w:r>
      <w:r w:rsidRPr="001038C7">
        <w:t>Microbial Risk Analysis, 27–28, 100322. CC BY 4.0.</w:t>
      </w:r>
    </w:p>
    <w:p w14:paraId="4A8696B2" w14:textId="77777777" w:rsidR="001038C7" w:rsidRPr="001038C7" w:rsidRDefault="001038C7" w:rsidP="001038C7"/>
    <w:p w14:paraId="4A189722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>Note on animal welfare implications</w:t>
      </w:r>
    </w:p>
    <w:p w14:paraId="2C6ACC4B" w14:textId="77777777" w:rsidR="001038C7" w:rsidRPr="001038C7" w:rsidRDefault="001038C7" w:rsidP="001038C7">
      <w:pPr>
        <w:rPr>
          <w:lang w:val="en-GB"/>
        </w:rPr>
      </w:pPr>
      <w:r w:rsidRPr="001038C7">
        <w:rPr>
          <w:lang w:val="en-GB"/>
        </w:rPr>
        <w:t xml:space="preserve">- The provided sources focus on public health risk, regulatory criteria, and processing/consumer-phase controls. They do not provide explicit analyses of animal welfare impacts of switching from a PHC to an FSC. Therefore, we do not have enough information in this database to describe specific animal welfare implications beyond acknowledging that most Campylobacter control measures </w:t>
      </w:r>
      <w:r w:rsidRPr="001038C7">
        <w:rPr>
          <w:lang w:val="en-GB"/>
        </w:rPr>
        <w:lastRenderedPageBreak/>
        <w:t xml:space="preserve">discussed are targeted at processing or product criteria rather than at bird health (RIVM, 2013; </w:t>
      </w:r>
      <w:proofErr w:type="spellStart"/>
      <w:r w:rsidRPr="001038C7">
        <w:rPr>
          <w:lang w:val="en-GB"/>
        </w:rPr>
        <w:t>Foddai</w:t>
      </w:r>
      <w:proofErr w:type="spellEnd"/>
      <w:r w:rsidRPr="001038C7">
        <w:rPr>
          <w:lang w:val="en-GB"/>
        </w:rPr>
        <w:t xml:space="preserve"> et al., 2024).</w:t>
      </w:r>
    </w:p>
    <w:p w14:paraId="11FFBCC1" w14:textId="77777777" w:rsidR="00697791" w:rsidRPr="001038C7" w:rsidRDefault="00697791">
      <w:pPr>
        <w:rPr>
          <w:lang w:val="en-GB"/>
        </w:rPr>
      </w:pPr>
    </w:p>
    <w:sectPr w:rsidR="00697791" w:rsidRPr="00103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6F"/>
    <w:rsid w:val="000846ED"/>
    <w:rsid w:val="00102878"/>
    <w:rsid w:val="001038C7"/>
    <w:rsid w:val="0022054B"/>
    <w:rsid w:val="004523DB"/>
    <w:rsid w:val="00546654"/>
    <w:rsid w:val="00697791"/>
    <w:rsid w:val="00A1393D"/>
    <w:rsid w:val="00B123F6"/>
    <w:rsid w:val="00BA2021"/>
    <w:rsid w:val="00BC7A50"/>
    <w:rsid w:val="00C46ACC"/>
    <w:rsid w:val="00D15713"/>
    <w:rsid w:val="00F8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34E0"/>
  <w15:chartTrackingRefBased/>
  <w15:docId w15:val="{8C15FE87-13B0-49AA-9185-455C9702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1779</Words>
  <Characters>11031</Characters>
  <Application>Microsoft Office Word</Application>
  <DocSecurity>0</DocSecurity>
  <Lines>250</Lines>
  <Paragraphs>116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Yuri</dc:creator>
  <cp:keywords/>
  <dc:description/>
  <cp:lastModifiedBy>Yuri Yuri</cp:lastModifiedBy>
  <cp:revision>2</cp:revision>
  <dcterms:created xsi:type="dcterms:W3CDTF">2025-10-24T02:17:00Z</dcterms:created>
  <dcterms:modified xsi:type="dcterms:W3CDTF">2025-10-24T02:22:00Z</dcterms:modified>
</cp:coreProperties>
</file>