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0499D" w14:textId="77777777" w:rsidR="00D41274" w:rsidRPr="0071275B" w:rsidRDefault="00AE6A21" w:rsidP="00FA6751">
      <w:pPr>
        <w:pStyle w:val="IEEETitle"/>
      </w:pPr>
      <w:proofErr w:type="spellStart"/>
      <w:r>
        <w:t>SecureVote</w:t>
      </w:r>
      <w:proofErr w:type="spellEnd"/>
      <w:r w:rsidRPr="00AE6A21">
        <w:t>: Blockchain E-Voting System</w:t>
      </w:r>
    </w:p>
    <w:p w14:paraId="35450C77" w14:textId="77777777" w:rsidR="00D41274" w:rsidRPr="002162BB" w:rsidRDefault="00AE6A21" w:rsidP="00D41274">
      <w:pPr>
        <w:pStyle w:val="IEEEAuthorName"/>
      </w:pPr>
      <w:r>
        <w:t>Rhythm Garg</w:t>
      </w:r>
      <w:r w:rsidR="00D41274" w:rsidRPr="002162BB">
        <w:rPr>
          <w:vertAlign w:val="superscript"/>
        </w:rPr>
        <w:t>#1</w:t>
      </w:r>
      <w:r w:rsidR="00D41274" w:rsidRPr="002162BB">
        <w:t xml:space="preserve">, </w:t>
      </w:r>
      <w:r>
        <w:t>Aashish Gupta</w:t>
      </w:r>
      <w:r>
        <w:rPr>
          <w:vertAlign w:val="superscript"/>
        </w:rPr>
        <w:t>#</w:t>
      </w:r>
      <w:r w:rsidR="00D41274" w:rsidRPr="002162BB">
        <w:rPr>
          <w:vertAlign w:val="superscript"/>
        </w:rPr>
        <w:t>2</w:t>
      </w:r>
    </w:p>
    <w:p w14:paraId="34FBF198" w14:textId="77777777" w:rsidR="00AE6A21" w:rsidRDefault="00AE6A21" w:rsidP="00D41274">
      <w:pPr>
        <w:pStyle w:val="IEEEAuthorAffiliation"/>
      </w:pPr>
      <w:r>
        <w:rPr>
          <w:vertAlign w:val="superscript"/>
        </w:rPr>
        <w:t>#</w:t>
      </w:r>
      <w:r w:rsidRPr="00AE6A21">
        <w:rPr>
          <w:vertAlign w:val="superscript"/>
        </w:rPr>
        <w:t>1</w:t>
      </w:r>
      <w:r>
        <w:rPr>
          <w:vertAlign w:val="superscript"/>
        </w:rPr>
        <w:t xml:space="preserve"> </w:t>
      </w:r>
      <w:r w:rsidRPr="00AE6A21">
        <w:t>Department of Computer Science, KIET Group of Institutions, Ghaziabad, India</w:t>
      </w:r>
    </w:p>
    <w:p w14:paraId="40702F2F" w14:textId="77777777" w:rsidR="00D41274" w:rsidRPr="0071275B" w:rsidRDefault="00AE6A21" w:rsidP="00D41274">
      <w:pPr>
        <w:pStyle w:val="IEEEAuthorAffiliation"/>
      </w:pPr>
      <w:r>
        <w:rPr>
          <w:vertAlign w:val="superscript"/>
        </w:rPr>
        <w:t>#2</w:t>
      </w:r>
      <w:r>
        <w:t xml:space="preserve"> </w:t>
      </w:r>
      <w:r w:rsidRPr="00AE6A21">
        <w:t>Department of Computer Science, KIET Group of Institutions, Ghaziabad, India</w:t>
      </w:r>
    </w:p>
    <w:p w14:paraId="2ACEE52F" w14:textId="77777777" w:rsidR="00D41274" w:rsidRPr="00D41274" w:rsidRDefault="00D41274" w:rsidP="00D41274"/>
    <w:p w14:paraId="5E3AFE02" w14:textId="77777777" w:rsidR="00D41274" w:rsidRDefault="00D41274" w:rsidP="00883903">
      <w:pPr>
        <w:ind w:right="-811"/>
        <w:sectPr w:rsidR="00D41274" w:rsidSect="00DD5ED4">
          <w:pgSz w:w="11906" w:h="16838"/>
          <w:pgMar w:top="1077" w:right="811" w:bottom="2438" w:left="0" w:header="709" w:footer="709" w:gutter="0"/>
          <w:cols w:space="708"/>
          <w:docGrid w:linePitch="360"/>
        </w:sectPr>
      </w:pPr>
    </w:p>
    <w:p w14:paraId="182F8CF0" w14:textId="77777777" w:rsidR="00D41274" w:rsidRDefault="00D41274" w:rsidP="00947BD3">
      <w:pPr>
        <w:pStyle w:val="IEEEAbtract"/>
      </w:pPr>
      <w:r w:rsidRPr="002162BB">
        <w:rPr>
          <w:rStyle w:val="IEEEAbstractHeadingChar"/>
        </w:rPr>
        <w:t>Ab</w:t>
      </w:r>
      <w:r w:rsidR="0064799C">
        <w:rPr>
          <w:rStyle w:val="IEEEAbstractHeadingChar"/>
        </w:rPr>
        <w:t>s</w:t>
      </w:r>
      <w:r w:rsidRPr="002162BB">
        <w:rPr>
          <w:rStyle w:val="IEEEAbstractHeadingChar"/>
        </w:rPr>
        <w:t>tract</w:t>
      </w:r>
      <w:r w:rsidRPr="002162BB">
        <w:t xml:space="preserve">— </w:t>
      </w:r>
      <w:r w:rsidR="00947BD3" w:rsidRPr="00947BD3">
        <w:t>Electronic voting, or e-voting, offers numerous advantages over traditional paper-based systems, including greater efficiency and fewer errors. E-voting has evolved into various forms, yet gaining widespread public trust in these systems remains challenging, especially when it comes to strengthening their resistance to potential vulnerabilities. Blockchain technology, with its potential to enhance the resilience of e-voting systems, is emerging as a game-changer in this field. This project leverages blockchain’s transparency and cryptographic features to create a secure and efficient e-voting infrastructure. The proposed approach meets essential requirements for electronic voting systems, such as legality, accuracy, security, and user-friendliness, and explores the design and implementation of an e-voting mechanism on the Multichain platform. However, digital voting methods still face challenges that can hinder their broader adoption. Blockchain, with its decentralized architecture and end-to-end verification, offers a promising solution to address these concerns, making it an ideal foundation for developing secure electronic voting systems.</w:t>
      </w:r>
    </w:p>
    <w:p w14:paraId="733E907A" w14:textId="77777777" w:rsidR="00AD335D" w:rsidRDefault="00AD335D" w:rsidP="00081EBE">
      <w:pPr>
        <w:pStyle w:val="IEEEHeading1"/>
      </w:pPr>
      <w:r>
        <w:t>Introduction</w:t>
      </w:r>
    </w:p>
    <w:p w14:paraId="4239887D" w14:textId="77777777" w:rsidR="00947BD3" w:rsidRDefault="00947BD3" w:rsidP="00947BD3">
      <w:pPr>
        <w:pStyle w:val="IEEEParagraph"/>
      </w:pPr>
      <w:r>
        <w:t>In any democracy, ensuring election security is vital to national security. Over the past decade, computer security experts have closely examined the potential of electronic voting systems to reduce election costs while enhancing security measures. Traditionally, democratic elections have relied on pen-and-paper voting methods. However, upgrading to modern election technology is essential for reducing fraud and enabling a traceable and verifiable voting process.</w:t>
      </w:r>
    </w:p>
    <w:p w14:paraId="3435FA1A" w14:textId="77777777" w:rsidR="00947BD3" w:rsidRDefault="00947BD3" w:rsidP="00947BD3">
      <w:pPr>
        <w:pStyle w:val="IEEEParagraph"/>
      </w:pPr>
    </w:p>
    <w:p w14:paraId="15C8975B" w14:textId="77777777" w:rsidR="00947BD3" w:rsidRDefault="00947BD3" w:rsidP="00947BD3">
      <w:pPr>
        <w:pStyle w:val="IEEEParagraph"/>
      </w:pPr>
      <w:r>
        <w:t>The paper-based approach historically increased public trust in the integrity of majority voting and played a significant role in strengthening democracy and the electoral system for selecting representatives and governments. Maintaining voter confidence is crucial, as recent studies have shown that traditional voting methods may lack certain sanitary standards, raising concerns about fairness, equality, and accurately reflecting the people’s will.</w:t>
      </w:r>
    </w:p>
    <w:p w14:paraId="4B6344B7" w14:textId="77777777" w:rsidR="003C5655" w:rsidRPr="00947BD3" w:rsidRDefault="003C5655" w:rsidP="00947BD3">
      <w:pPr>
        <w:pStyle w:val="IEEEParagraph"/>
      </w:pPr>
    </w:p>
    <w:p w14:paraId="3A500556" w14:textId="77777777" w:rsidR="00081EBE" w:rsidRDefault="001D1739" w:rsidP="00081EBE">
      <w:pPr>
        <w:pStyle w:val="IEEEHeading1"/>
      </w:pPr>
      <w:r w:rsidRPr="001D1739">
        <w:t>Background</w:t>
      </w:r>
    </w:p>
    <w:p w14:paraId="2AE97A74" w14:textId="77777777" w:rsidR="001D1739" w:rsidRDefault="001D1739" w:rsidP="001D1739">
      <w:pPr>
        <w:pStyle w:val="IEEEParagraph"/>
      </w:pPr>
      <w:r>
        <w:t>In the 1990s, Nick Szabo introduced the concept of smart contracts, defining them as digital agreements equipped with inherent protocols that facilitate execution between participating entities. Smart contracts operate as decentralized programs on the blockchain, which are essentially publicly accessible code. The outcomes of these executions are independently verified by users through a consensus mechanism. The following outlines the evolution of blockchain technology and smart contracts:</w:t>
      </w:r>
    </w:p>
    <w:p w14:paraId="5A0B6F2F" w14:textId="77777777" w:rsidR="001D1739" w:rsidRDefault="001D1739" w:rsidP="001D1739">
      <w:pPr>
        <w:pStyle w:val="IEEEParagraph"/>
      </w:pPr>
    </w:p>
    <w:p w14:paraId="03B53D03" w14:textId="77777777" w:rsidR="001D1739" w:rsidRDefault="001D1739" w:rsidP="001D1739">
      <w:pPr>
        <w:pStyle w:val="IEEEParagraph"/>
      </w:pPr>
      <w:r>
        <w:t xml:space="preserve">1. </w:t>
      </w:r>
      <w:r w:rsidRPr="001D1739">
        <w:rPr>
          <w:b/>
          <w:bCs/>
        </w:rPr>
        <w:t>The Genesis Phase</w:t>
      </w:r>
      <w:r>
        <w:t>: This phase marks the birth of blockchain technology, initiated by Satoshi Nakamoto’s creation of Bitcoin in 2009. Bitcoin was the first blockchain-based digital currency, enabling peer-to-peer transactions without intermediaries like banks.</w:t>
      </w:r>
    </w:p>
    <w:p w14:paraId="5AF254E2" w14:textId="77777777" w:rsidR="001D1739" w:rsidRDefault="001D1739" w:rsidP="001D1739">
      <w:pPr>
        <w:pStyle w:val="IEEEParagraph"/>
      </w:pPr>
    </w:p>
    <w:p w14:paraId="1DAF562B" w14:textId="77777777" w:rsidR="001D1739" w:rsidRDefault="001D1739" w:rsidP="001D1739">
      <w:pPr>
        <w:pStyle w:val="IEEEParagraph"/>
      </w:pPr>
      <w:r>
        <w:t xml:space="preserve">2. </w:t>
      </w:r>
      <w:r w:rsidRPr="001D1739">
        <w:rPr>
          <w:b/>
          <w:bCs/>
        </w:rPr>
        <w:t>The Growth Phase</w:t>
      </w:r>
      <w:r>
        <w:t>: During this period, blockchain technology gained momentum, leading to the development of various new projects with unique features and applications. In 2015, Ethereum introduced smart contracts, which are self-executing digital contracts that automate business logic and enable more complex transactions on the blockchain.</w:t>
      </w:r>
    </w:p>
    <w:p w14:paraId="6A8970F5" w14:textId="77777777" w:rsidR="001D1739" w:rsidRDefault="001D1739" w:rsidP="001D1739">
      <w:pPr>
        <w:pStyle w:val="IEEEParagraph"/>
      </w:pPr>
    </w:p>
    <w:p w14:paraId="35BF4FD4" w14:textId="77777777" w:rsidR="001D1739" w:rsidRDefault="001D1739" w:rsidP="001D1739">
      <w:pPr>
        <w:pStyle w:val="IEEEParagraph"/>
      </w:pPr>
      <w:r>
        <w:t xml:space="preserve">3. </w:t>
      </w:r>
      <w:r w:rsidRPr="001D1739">
        <w:rPr>
          <w:b/>
          <w:bCs/>
        </w:rPr>
        <w:t>The Integration Phase</w:t>
      </w:r>
      <w:r>
        <w:t>: As blockchain technology matured, more organizations recognized its potential benefits and began to integrate it into their operations. Consequently, blockchain technology found applications across various sectors, including banking, supply chains, healthcare, and more.</w:t>
      </w:r>
    </w:p>
    <w:p w14:paraId="07665647" w14:textId="77777777" w:rsidR="001D1739" w:rsidRDefault="001D1739" w:rsidP="001D1739">
      <w:pPr>
        <w:pStyle w:val="IEEEParagraph"/>
      </w:pPr>
    </w:p>
    <w:p w14:paraId="7C08A899" w14:textId="77777777" w:rsidR="001D1739" w:rsidRDefault="001D1739" w:rsidP="001D1739">
      <w:pPr>
        <w:pStyle w:val="IEEEParagraph"/>
      </w:pPr>
      <w:r>
        <w:t xml:space="preserve">4. </w:t>
      </w:r>
      <w:r w:rsidRPr="001D1739">
        <w:rPr>
          <w:b/>
          <w:bCs/>
        </w:rPr>
        <w:t>The Interoperability Phase</w:t>
      </w:r>
      <w:r>
        <w:t xml:space="preserve">: This phase addresses the compatibility between different blockchain networks. It aims to overcome blockchain fragmentation by enabling seamless connections and data exchanges among various blockchain platforms. New technologies and protocols, such as </w:t>
      </w:r>
      <w:proofErr w:type="spellStart"/>
      <w:r>
        <w:t>Polkadot</w:t>
      </w:r>
      <w:proofErr w:type="spellEnd"/>
      <w:r>
        <w:t>, Cosmos, and Ethereum 2.0, are being developed to enhance interoperability.</w:t>
      </w:r>
    </w:p>
    <w:p w14:paraId="7338E85F" w14:textId="77777777" w:rsidR="001D1739" w:rsidRDefault="001D1739" w:rsidP="001D1739">
      <w:pPr>
        <w:pStyle w:val="IEEEParagraph"/>
      </w:pPr>
    </w:p>
    <w:p w14:paraId="693768D7" w14:textId="77777777" w:rsidR="00FA6751" w:rsidRDefault="001D1739" w:rsidP="001D1739">
      <w:pPr>
        <w:pStyle w:val="IEEEParagraph"/>
      </w:pPr>
      <w:r>
        <w:t>We are only beginning to uncover the vast potential of this transformative technology. The journey of blockchain and smart contracts has been fascinating, and as more sectors embrace this technology and new use cases emerge, the potential for blockchain to revolutionize business practices and reshape the global economy becomes increasingly apparent.</w:t>
      </w:r>
    </w:p>
    <w:p w14:paraId="0DBDE257" w14:textId="77777777" w:rsidR="008E5996" w:rsidRDefault="008E5996" w:rsidP="001D1739">
      <w:pPr>
        <w:pStyle w:val="IEEEParagraph"/>
        <w:jc w:val="center"/>
      </w:pPr>
    </w:p>
    <w:p w14:paraId="48A0DC1A" w14:textId="77777777" w:rsidR="003C5655" w:rsidRDefault="003C5655" w:rsidP="001D1739">
      <w:pPr>
        <w:pStyle w:val="IEEEParagraph"/>
        <w:jc w:val="center"/>
      </w:pPr>
    </w:p>
    <w:p w14:paraId="5E28A9A2" w14:textId="77777777" w:rsidR="003C5655" w:rsidRDefault="003C5655" w:rsidP="001D1739">
      <w:pPr>
        <w:pStyle w:val="IEEEParagraph"/>
        <w:jc w:val="center"/>
      </w:pPr>
    </w:p>
    <w:p w14:paraId="5900A409" w14:textId="77777777" w:rsidR="008E5996" w:rsidRDefault="003C5655" w:rsidP="004E452A">
      <w:pPr>
        <w:pStyle w:val="IEEEHeading1"/>
      </w:pPr>
      <w:r>
        <w:lastRenderedPageBreak/>
        <w:t>Importance of Blockchain:</w:t>
      </w:r>
    </w:p>
    <w:p w14:paraId="08A1D499" w14:textId="77777777" w:rsidR="008E5996" w:rsidRDefault="003C5655" w:rsidP="00E401F8">
      <w:pPr>
        <w:pStyle w:val="IEEEParagraph"/>
      </w:pPr>
      <w:r w:rsidRPr="003C5655">
        <w:t>Information fuels business success, especially when it is timely and precise. Blockchain technology is uniquely suited to support this, offering real-time, accessible, and fully transparent data that’s recorded on an unchangeable ledger—visible only to authorized users within the network. A blockchain network can monitor a wide range of activities, such as transactions, inventory, and sales. With everyone having access to the same, verified data, users can view every aspect of a transaction from beginning to end, fostering trust and unlocking new possibilities</w:t>
      </w:r>
      <w:r w:rsidR="00A03E75">
        <w:t>.</w:t>
      </w:r>
    </w:p>
    <w:p w14:paraId="4365B791" w14:textId="77777777" w:rsidR="00C06BB4" w:rsidRDefault="003C5655" w:rsidP="00C06BB4">
      <w:pPr>
        <w:pStyle w:val="IEEEHeading2"/>
        <w:numPr>
          <w:ilvl w:val="0"/>
          <w:numId w:val="39"/>
        </w:numPr>
      </w:pPr>
      <w:r>
        <w:t xml:space="preserve">Preventing Fraud and </w:t>
      </w:r>
      <w:r w:rsidR="001F12C0">
        <w:t>Cyber-attacks</w:t>
      </w:r>
      <w:r>
        <w:t xml:space="preserve"> with Blockchain:</w:t>
      </w:r>
    </w:p>
    <w:p w14:paraId="3040022E" w14:textId="77777777" w:rsidR="00C06BB4" w:rsidRDefault="003C5655" w:rsidP="00C06BB4">
      <w:pPr>
        <w:pStyle w:val="IEEEParagraph"/>
      </w:pPr>
      <w:r w:rsidRPr="003C5655">
        <w:t>Blockchain technology addresses two significant online risks: double spending and data hacking. By requiring miner nodes to complete complex tasks (or "mining") to validate each transaction, blockchains prevent these issues. Unlike centralized databases that are vulnerable to breaches, blockchain’s decentralized consensus mechanism safeguards data, making it nearly impossible for hackers to tamper with</w:t>
      </w:r>
      <w:r w:rsidR="00A03E75">
        <w:t>.</w:t>
      </w:r>
    </w:p>
    <w:p w14:paraId="22A063A6" w14:textId="77777777" w:rsidR="00542C85" w:rsidRDefault="003C5655" w:rsidP="00542C85">
      <w:pPr>
        <w:pStyle w:val="IEEEHeading2"/>
        <w:numPr>
          <w:ilvl w:val="0"/>
          <w:numId w:val="39"/>
        </w:numPr>
      </w:pPr>
      <w:r w:rsidRPr="003C5655">
        <w:t>Essential Blockchain Tools and Consensus Mechanisms</w:t>
      </w:r>
      <w:r>
        <w:t>:</w:t>
      </w:r>
    </w:p>
    <w:p w14:paraId="7E1B8EF9" w14:textId="77777777" w:rsidR="003C5655" w:rsidRDefault="003C5655" w:rsidP="001F12C0">
      <w:pPr>
        <w:pStyle w:val="IEEEParagraph"/>
      </w:pPr>
      <w:r w:rsidRPr="003C5655">
        <w:t>Blockchain technology is underpinned by various tools and consensus protocols that secure and verify transactions. Here are a few key elements:</w:t>
      </w:r>
    </w:p>
    <w:p w14:paraId="0248E517" w14:textId="77777777" w:rsidR="003C5655" w:rsidRDefault="003C5655" w:rsidP="003C5655">
      <w:pPr>
        <w:pStyle w:val="IEEEParagraph"/>
        <w:numPr>
          <w:ilvl w:val="0"/>
          <w:numId w:val="51"/>
        </w:numPr>
      </w:pPr>
      <w:r>
        <w:t>Tools:</w:t>
      </w:r>
    </w:p>
    <w:p w14:paraId="418955EF" w14:textId="77777777" w:rsidR="003C5655" w:rsidRDefault="003C5655" w:rsidP="001F12C0">
      <w:pPr>
        <w:pStyle w:val="IEEEParagraph"/>
        <w:numPr>
          <w:ilvl w:val="0"/>
          <w:numId w:val="52"/>
        </w:numPr>
        <w:ind w:left="567" w:firstLine="9"/>
      </w:pPr>
      <w:r>
        <w:t>Wallets:</w:t>
      </w:r>
      <w:r w:rsidR="001F12C0">
        <w:t xml:space="preserve"> </w:t>
      </w:r>
      <w:r w:rsidR="001F12C0" w:rsidRPr="001F12C0">
        <w:t>Blockchain wallets are digital storage solutions that allow users to send, receive, and manage cryptocurrencies and other digital assets.</w:t>
      </w:r>
    </w:p>
    <w:p w14:paraId="4CB27C9B" w14:textId="77777777" w:rsidR="003C5655" w:rsidRDefault="003C5655" w:rsidP="001F12C0">
      <w:pPr>
        <w:pStyle w:val="IEEEParagraph"/>
        <w:numPr>
          <w:ilvl w:val="0"/>
          <w:numId w:val="52"/>
        </w:numPr>
      </w:pPr>
      <w:r>
        <w:t>Nodes:</w:t>
      </w:r>
      <w:r w:rsidR="001F12C0">
        <w:t xml:space="preserve"> </w:t>
      </w:r>
      <w:r w:rsidR="001F12C0" w:rsidRPr="001F12C0">
        <w:t>Nodes are individual computers that participate in verifying and validating transactions across the blockchain.</w:t>
      </w:r>
    </w:p>
    <w:p w14:paraId="76631B6D" w14:textId="77777777" w:rsidR="003C5655" w:rsidRDefault="003C5655" w:rsidP="003C5655">
      <w:pPr>
        <w:pStyle w:val="IEEEParagraph"/>
        <w:numPr>
          <w:ilvl w:val="0"/>
          <w:numId w:val="51"/>
        </w:numPr>
      </w:pPr>
      <w:r>
        <w:t>Blockchain Explorers:</w:t>
      </w:r>
    </w:p>
    <w:p w14:paraId="53200BA0" w14:textId="77777777" w:rsidR="001F12C0" w:rsidRPr="001F12C0" w:rsidRDefault="001F12C0" w:rsidP="001F12C0">
      <w:pPr>
        <w:numPr>
          <w:ilvl w:val="0"/>
          <w:numId w:val="52"/>
        </w:numPr>
        <w:ind w:left="567" w:firstLine="9"/>
        <w:rPr>
          <w:sz w:val="20"/>
        </w:rPr>
      </w:pPr>
      <w:r w:rsidRPr="001F12C0">
        <w:rPr>
          <w:sz w:val="20"/>
        </w:rPr>
        <w:t>These tools enable users to view and trace transactions within the blockchain. Languages like Solidity are commonly</w:t>
      </w:r>
      <w:r>
        <w:rPr>
          <w:sz w:val="20"/>
        </w:rPr>
        <w:t xml:space="preserve"> </w:t>
      </w:r>
      <w:r w:rsidRPr="001F12C0">
        <w:rPr>
          <w:sz w:val="20"/>
        </w:rPr>
        <w:t>used for creating smart contracts on Ethereum, though other blockchains may use unique programming languages for their contracts.</w:t>
      </w:r>
    </w:p>
    <w:p w14:paraId="0F6AC9AD" w14:textId="77777777" w:rsidR="003C5655" w:rsidRDefault="003C5655" w:rsidP="003C5655">
      <w:pPr>
        <w:pStyle w:val="IEEEParagraph"/>
        <w:numPr>
          <w:ilvl w:val="0"/>
          <w:numId w:val="51"/>
        </w:numPr>
      </w:pPr>
      <w:r>
        <w:t>Consensus Mechanisms:</w:t>
      </w:r>
    </w:p>
    <w:p w14:paraId="0EC7AF71" w14:textId="77777777" w:rsidR="003C5655" w:rsidRDefault="003C5655" w:rsidP="001F12C0">
      <w:pPr>
        <w:pStyle w:val="IEEEParagraph"/>
        <w:numPr>
          <w:ilvl w:val="0"/>
          <w:numId w:val="52"/>
        </w:numPr>
        <w:ind w:left="567" w:firstLine="9"/>
      </w:pPr>
      <w:r>
        <w:t xml:space="preserve">Proof of </w:t>
      </w:r>
      <w:r w:rsidR="001F12C0">
        <w:t xml:space="preserve">Work: </w:t>
      </w:r>
      <w:r w:rsidR="001F12C0" w:rsidRPr="001F12C0">
        <w:t>The original consensus model, used by Bitcoin, in which miners compete to solve complex puzzles to validate transactions and add blocks.</w:t>
      </w:r>
    </w:p>
    <w:p w14:paraId="1DA2415E" w14:textId="77777777" w:rsidR="001F12C0" w:rsidRDefault="001F12C0" w:rsidP="001F12C0">
      <w:pPr>
        <w:pStyle w:val="IEEEParagraph"/>
        <w:numPr>
          <w:ilvl w:val="0"/>
          <w:numId w:val="52"/>
        </w:numPr>
        <w:ind w:left="567" w:firstLine="9"/>
      </w:pPr>
      <w:r>
        <w:t xml:space="preserve">Proof of Stake: </w:t>
      </w:r>
      <w:r w:rsidRPr="001F12C0">
        <w:t xml:space="preserve">In </w:t>
      </w:r>
      <w:proofErr w:type="spellStart"/>
      <w:r w:rsidRPr="001F12C0">
        <w:t>PoS</w:t>
      </w:r>
      <w:proofErr w:type="spellEnd"/>
      <w:r w:rsidRPr="001F12C0">
        <w:t>, validators are chosen based on the amount they "stake" in the network, making them eligible to confirm transactions.</w:t>
      </w:r>
    </w:p>
    <w:p w14:paraId="74B27947" w14:textId="77777777" w:rsidR="001F12C0" w:rsidRDefault="001F12C0" w:rsidP="001F12C0">
      <w:pPr>
        <w:pStyle w:val="IEEEParagraph"/>
        <w:numPr>
          <w:ilvl w:val="0"/>
          <w:numId w:val="52"/>
        </w:numPr>
        <w:ind w:left="709" w:hanging="133"/>
      </w:pPr>
      <w:r>
        <w:t xml:space="preserve">Byzantine Fault Tolerance: </w:t>
      </w:r>
      <w:r w:rsidRPr="001F12C0">
        <w:t>A robust consensus model designed to handle malicious actors in a decentralized network, often used in private blockchains.</w:t>
      </w:r>
    </w:p>
    <w:p w14:paraId="7DE39997" w14:textId="77777777" w:rsidR="001F12C0" w:rsidRDefault="001F12C0" w:rsidP="001F12C0">
      <w:pPr>
        <w:pStyle w:val="IEEEParagraph"/>
      </w:pPr>
      <w:r w:rsidRPr="001F12C0">
        <w:t>The tools and consensus algorithms used in blockchain vary by platform and application, and as blockchain technology advances, we can expect even more innovative approaches to emerge</w:t>
      </w:r>
      <w:r>
        <w:t>.</w:t>
      </w:r>
    </w:p>
    <w:p w14:paraId="43525268" w14:textId="16189CD4" w:rsidR="000D34D6" w:rsidRDefault="000D34D6" w:rsidP="000D34D6">
      <w:pPr>
        <w:pStyle w:val="IEEEHeading1"/>
      </w:pPr>
      <w:r>
        <w:t>Electronic Voting Requirements</w:t>
      </w:r>
      <w:r>
        <w:t>:</w:t>
      </w:r>
    </w:p>
    <w:p w14:paraId="3AC2CA85" w14:textId="77777777" w:rsidR="000D34D6" w:rsidRDefault="000D34D6" w:rsidP="000D34D6">
      <w:pPr>
        <w:pStyle w:val="IEEEParagraph"/>
      </w:pPr>
      <w:r>
        <w:t>The core specifications for an electronic voting system were outlined, and the proposed solution aligns with each requirement, ensuring a secure and reliable process. Below is an overview of the key criteria and how the system addresses them:</w:t>
      </w:r>
    </w:p>
    <w:p w14:paraId="5DE0244F" w14:textId="77777777" w:rsidR="000D34D6" w:rsidRDefault="000D34D6" w:rsidP="000D34D6">
      <w:pPr>
        <w:pStyle w:val="IEEEParagraph"/>
      </w:pPr>
    </w:p>
    <w:p w14:paraId="7ADDDC4A" w14:textId="20A8C9A8" w:rsidR="000D34D6" w:rsidRDefault="000D34D6" w:rsidP="000D34D6">
      <w:pPr>
        <w:pStyle w:val="IEEEParagraph"/>
      </w:pPr>
      <w:r>
        <w:t>1. Ensuring Voter Privacy</w:t>
      </w:r>
      <w:r>
        <w:t>:</w:t>
      </w:r>
    </w:p>
    <w:p w14:paraId="2C58EACF" w14:textId="77777777" w:rsidR="000D34D6" w:rsidRDefault="000D34D6" w:rsidP="000D34D6">
      <w:pPr>
        <w:pStyle w:val="IEEEParagraph"/>
      </w:pPr>
      <w:r>
        <w:t>Maintaining the confidentiality of each voter's choice is paramount. The proposed solution leverages blockchain technology’s cryptographic capabilities to safeguard voter privacy. When a voter registers, the system generates a unique voter hash that serves as their identifier within the blockchain network. Thanks to the collision-resistant nature of cryptographic hashing, this identifier cannot be exploited or traced back to the voter. This ensures that votes remain anonymous and secure, especially in situations where voter confidentiality could be at risk.</w:t>
      </w:r>
    </w:p>
    <w:p w14:paraId="6A34DEA3" w14:textId="77777777" w:rsidR="000D34D6" w:rsidRDefault="000D34D6" w:rsidP="000D34D6">
      <w:pPr>
        <w:pStyle w:val="IEEEParagraph"/>
      </w:pPr>
    </w:p>
    <w:p w14:paraId="094E1272" w14:textId="064CEC2E" w:rsidR="000D34D6" w:rsidRDefault="000D34D6" w:rsidP="000D34D6">
      <w:pPr>
        <w:pStyle w:val="IEEEParagraph"/>
      </w:pPr>
      <w:r>
        <w:t>2. Preventing Unauthorized or Duplicate Voting</w:t>
      </w:r>
      <w:r>
        <w:t>:</w:t>
      </w:r>
    </w:p>
    <w:p w14:paraId="1326633A" w14:textId="77777777" w:rsidR="000D34D6" w:rsidRDefault="000D34D6" w:rsidP="000D34D6">
      <w:pPr>
        <w:pStyle w:val="IEEEParagraph"/>
      </w:pPr>
      <w:r>
        <w:t>The system ensures that only registered voters can participate and restricts each individual to a single vote. To achieve this, voters must register using official documents and special IDs, which are verified through a robust multi-layered approach. This process, combined with biometric authentication methods like fingerprint scanning, not only confirms voter eligibility but also eliminates the possibility of duplicate voting, thereby upholding the integrity of the election.</w:t>
      </w:r>
    </w:p>
    <w:p w14:paraId="42B96A4F" w14:textId="77777777" w:rsidR="000D34D6" w:rsidRDefault="000D34D6" w:rsidP="000D34D6">
      <w:pPr>
        <w:pStyle w:val="IEEEParagraph"/>
      </w:pPr>
    </w:p>
    <w:p w14:paraId="1B345FF7" w14:textId="77974641" w:rsidR="000D34D6" w:rsidRDefault="000D34D6" w:rsidP="000D34D6">
      <w:pPr>
        <w:pStyle w:val="IEEEParagraph"/>
      </w:pPr>
      <w:r>
        <w:t>The proposed e-voting system effectively meets two critical requirements: protecting voter anonymity with blockchain cryptography and ensuring voting legitimacy through advanced identification and authentication mechanisms. These measures work together to create a fair, secure, and trustworthy voting process.</w:t>
      </w:r>
    </w:p>
    <w:p w14:paraId="4269032C" w14:textId="77777777" w:rsidR="000D34D6" w:rsidRDefault="000D34D6" w:rsidP="000D34D6">
      <w:pPr>
        <w:pStyle w:val="IEEEParagraph"/>
      </w:pPr>
    </w:p>
    <w:p w14:paraId="08CE9FBE" w14:textId="77777777" w:rsidR="000D34D6" w:rsidRDefault="000D34D6" w:rsidP="000D34D6">
      <w:pPr>
        <w:pStyle w:val="IEEEParagraph"/>
      </w:pPr>
    </w:p>
    <w:p w14:paraId="2A636862" w14:textId="77777777" w:rsidR="000D34D6" w:rsidRDefault="000D34D6" w:rsidP="000D34D6">
      <w:pPr>
        <w:pStyle w:val="IEEEParagraph"/>
      </w:pPr>
    </w:p>
    <w:p w14:paraId="40E859E1" w14:textId="2C27E963" w:rsidR="000D34D6" w:rsidRDefault="000D34D6" w:rsidP="000D34D6">
      <w:pPr>
        <w:pStyle w:val="IEEEHeading1"/>
      </w:pPr>
      <w:r>
        <w:lastRenderedPageBreak/>
        <w:t>Limitations in the Existing Systems and Research Required:</w:t>
      </w:r>
    </w:p>
    <w:p w14:paraId="0C08D4F5" w14:textId="77777777" w:rsidR="000D34D6" w:rsidRDefault="000D34D6" w:rsidP="000D34D6">
      <w:pPr>
        <w:pStyle w:val="IEEEParagraph"/>
      </w:pPr>
      <w:r>
        <w:t>The realm of electronic voting systems faces significant challenges and limitations that must be addressed to ensure their effectiveness and acceptance:</w:t>
      </w:r>
    </w:p>
    <w:p w14:paraId="49DE6E41" w14:textId="77777777" w:rsidR="000D34D6" w:rsidRDefault="000D34D6" w:rsidP="000D34D6">
      <w:pPr>
        <w:pStyle w:val="IEEEParagraph"/>
      </w:pPr>
    </w:p>
    <w:p w14:paraId="753896BE" w14:textId="7951160E" w:rsidR="000D34D6" w:rsidRPr="000D34D6" w:rsidRDefault="000D34D6" w:rsidP="000D34D6">
      <w:pPr>
        <w:pStyle w:val="IEEEParagraph"/>
        <w:rPr>
          <w:b/>
          <w:bCs/>
        </w:rPr>
      </w:pPr>
      <w:r w:rsidRPr="000D34D6">
        <w:rPr>
          <w:b/>
          <w:bCs/>
        </w:rPr>
        <w:t>1. Accurate Voter Registration and Data Privacy</w:t>
      </w:r>
      <w:r>
        <w:rPr>
          <w:b/>
          <w:bCs/>
        </w:rPr>
        <w:t>:</w:t>
      </w:r>
    </w:p>
    <w:p w14:paraId="16FBDCC7" w14:textId="77777777" w:rsidR="000D34D6" w:rsidRDefault="000D34D6" w:rsidP="000D34D6">
      <w:pPr>
        <w:pStyle w:val="IEEEParagraph"/>
      </w:pPr>
      <w:r>
        <w:t>One major technical challenge is ensuring that all eligible voters are correctly registered and their data is in a format suitable for digital processing. Safeguarding personal identifying information is equally critical to maintain confidentiality and protect voter privacy.</w:t>
      </w:r>
    </w:p>
    <w:p w14:paraId="57518B8B" w14:textId="77777777" w:rsidR="000D34D6" w:rsidRPr="000D34D6" w:rsidRDefault="000D34D6" w:rsidP="000D34D6">
      <w:pPr>
        <w:pStyle w:val="IEEEParagraph"/>
        <w:rPr>
          <w:b/>
          <w:bCs/>
        </w:rPr>
      </w:pPr>
    </w:p>
    <w:p w14:paraId="6E6337BF" w14:textId="36C80E4C" w:rsidR="000D34D6" w:rsidRPr="000D34D6" w:rsidRDefault="000D34D6" w:rsidP="000D34D6">
      <w:pPr>
        <w:pStyle w:val="IEEEParagraph"/>
        <w:rPr>
          <w:b/>
          <w:bCs/>
        </w:rPr>
      </w:pPr>
      <w:r w:rsidRPr="000D34D6">
        <w:rPr>
          <w:b/>
          <w:bCs/>
        </w:rPr>
        <w:t>2. Casting Anonymous Votes</w:t>
      </w:r>
      <w:r w:rsidRPr="000D34D6">
        <w:rPr>
          <w:b/>
          <w:bCs/>
        </w:rPr>
        <w:t>:</w:t>
      </w:r>
    </w:p>
    <w:p w14:paraId="6F5E9BEF" w14:textId="77777777" w:rsidR="000D34D6" w:rsidRDefault="000D34D6" w:rsidP="000D34D6">
      <w:pPr>
        <w:pStyle w:val="IEEEParagraph"/>
      </w:pPr>
      <w:r>
        <w:t>Maintaining voter anonymity during and after the voting process is paramount. Once submitted, each vote must remain private, inaccessible even to system administrators. This ensures both the confidentiality and integrity of the electoral process.</w:t>
      </w:r>
    </w:p>
    <w:p w14:paraId="1B912247" w14:textId="77777777" w:rsidR="000D34D6" w:rsidRDefault="000D34D6" w:rsidP="000D34D6">
      <w:pPr>
        <w:pStyle w:val="IEEEParagraph"/>
      </w:pPr>
    </w:p>
    <w:p w14:paraId="29DCBA69" w14:textId="33D95326" w:rsidR="000D34D6" w:rsidRPr="000D34D6" w:rsidRDefault="000D34D6" w:rsidP="000D34D6">
      <w:pPr>
        <w:pStyle w:val="IEEEParagraph"/>
        <w:rPr>
          <w:b/>
          <w:bCs/>
        </w:rPr>
      </w:pPr>
      <w:r w:rsidRPr="000D34D6">
        <w:rPr>
          <w:b/>
          <w:bCs/>
        </w:rPr>
        <w:t>3. Representing Votes Securely</w:t>
      </w:r>
      <w:r>
        <w:rPr>
          <w:b/>
          <w:bCs/>
        </w:rPr>
        <w:t>:</w:t>
      </w:r>
    </w:p>
    <w:p w14:paraId="13E825F7" w14:textId="77777777" w:rsidR="000D34D6" w:rsidRDefault="000D34D6" w:rsidP="000D34D6">
      <w:pPr>
        <w:pStyle w:val="IEEEParagraph"/>
      </w:pPr>
      <w:r>
        <w:t>Determining the best method for representing votes in online systems remains a topic of debate. Clear text communication risks compromising anonymity and integrity, while hashed tokens offer a potential solution. However, linking tokens to voters without compromising anonymity poses a complex challenge.</w:t>
      </w:r>
    </w:p>
    <w:p w14:paraId="4C0523B6" w14:textId="77777777" w:rsidR="000D34D6" w:rsidRDefault="000D34D6" w:rsidP="000D34D6">
      <w:pPr>
        <w:pStyle w:val="IEEEParagraph"/>
      </w:pPr>
    </w:p>
    <w:p w14:paraId="7C37D2AF" w14:textId="77777777" w:rsidR="000D34D6" w:rsidRPr="000D34D6" w:rsidRDefault="000D34D6" w:rsidP="000D34D6">
      <w:pPr>
        <w:pStyle w:val="IEEEParagraph"/>
        <w:rPr>
          <w:b/>
          <w:bCs/>
        </w:rPr>
      </w:pPr>
      <w:r w:rsidRPr="000D34D6">
        <w:rPr>
          <w:b/>
          <w:bCs/>
        </w:rPr>
        <w:t>4. Voter Verifiability</w:t>
      </w:r>
    </w:p>
    <w:p w14:paraId="049A6E0D" w14:textId="77777777" w:rsidR="000D34D6" w:rsidRDefault="000D34D6" w:rsidP="000D34D6">
      <w:pPr>
        <w:pStyle w:val="IEEEParagraph"/>
      </w:pPr>
      <w:r>
        <w:t>Voters should be able to review and verify their ballots during submission. This feature builds confidence in the voting system and serves as a safeguard against potential manipulation or errors.</w:t>
      </w:r>
    </w:p>
    <w:p w14:paraId="337CA08C" w14:textId="77777777" w:rsidR="000D34D6" w:rsidRDefault="000D34D6" w:rsidP="000D34D6">
      <w:pPr>
        <w:pStyle w:val="IEEEParagraph"/>
      </w:pPr>
    </w:p>
    <w:p w14:paraId="4F27DAB3" w14:textId="3357B4F8" w:rsidR="000D34D6" w:rsidRPr="000D34D6" w:rsidRDefault="000D34D6" w:rsidP="000D34D6">
      <w:pPr>
        <w:pStyle w:val="IEEEParagraph"/>
        <w:rPr>
          <w:b/>
          <w:bCs/>
        </w:rPr>
      </w:pPr>
      <w:r w:rsidRPr="000D34D6">
        <w:rPr>
          <w:b/>
          <w:bCs/>
        </w:rPr>
        <w:t>5. High Initial Setup Costs</w:t>
      </w:r>
      <w:r>
        <w:rPr>
          <w:b/>
          <w:bCs/>
        </w:rPr>
        <w:t>:</w:t>
      </w:r>
    </w:p>
    <w:p w14:paraId="46FDD593" w14:textId="77777777" w:rsidR="000D34D6" w:rsidRDefault="000D34D6" w:rsidP="000D34D6">
      <w:pPr>
        <w:pStyle w:val="IEEEParagraph"/>
      </w:pPr>
      <w:r>
        <w:t>Although electronic voting systems may be cost-efficient in the long term, their initial deployment can be prohibitively expensive, particularly for smaller organizations or enterprises.</w:t>
      </w:r>
    </w:p>
    <w:p w14:paraId="12F74C5C" w14:textId="77777777" w:rsidR="000D34D6" w:rsidRDefault="000D34D6" w:rsidP="000D34D6">
      <w:pPr>
        <w:pStyle w:val="IEEEParagraph"/>
      </w:pPr>
    </w:p>
    <w:p w14:paraId="343924BD" w14:textId="46C6519B" w:rsidR="000D34D6" w:rsidRPr="000D34D6" w:rsidRDefault="000D34D6" w:rsidP="000D34D6">
      <w:pPr>
        <w:pStyle w:val="IEEEParagraph"/>
        <w:rPr>
          <w:b/>
          <w:bCs/>
        </w:rPr>
      </w:pPr>
      <w:r w:rsidRPr="000D34D6">
        <w:rPr>
          <w:b/>
          <w:bCs/>
        </w:rPr>
        <w:t>6. Rising Security Concerns</w:t>
      </w:r>
      <w:r>
        <w:rPr>
          <w:b/>
          <w:bCs/>
        </w:rPr>
        <w:t>:</w:t>
      </w:r>
    </w:p>
    <w:p w14:paraId="0F432CCC" w14:textId="77777777" w:rsidR="000D34D6" w:rsidRDefault="000D34D6" w:rsidP="000D34D6">
      <w:pPr>
        <w:pStyle w:val="IEEEParagraph"/>
      </w:pPr>
      <w:r>
        <w:t>Cybersecurity threats, such as DDoS attacks and hacking, pose serious risks to the integrity of public elections. Protecting against tampering, ensuring data integrity, and maintaining transparency while safeguarding privacy are essential.</w:t>
      </w:r>
    </w:p>
    <w:p w14:paraId="1F1A4230" w14:textId="77777777" w:rsidR="000D34D6" w:rsidRDefault="000D34D6" w:rsidP="000D34D6">
      <w:pPr>
        <w:pStyle w:val="IEEEParagraph"/>
      </w:pPr>
    </w:p>
    <w:p w14:paraId="4D69E821" w14:textId="41357409" w:rsidR="000D34D6" w:rsidRPr="000D34D6" w:rsidRDefault="000D34D6" w:rsidP="000D34D6">
      <w:pPr>
        <w:pStyle w:val="IEEEParagraph"/>
        <w:rPr>
          <w:b/>
          <w:bCs/>
        </w:rPr>
      </w:pPr>
      <w:r w:rsidRPr="000D34D6">
        <w:rPr>
          <w:b/>
          <w:bCs/>
        </w:rPr>
        <w:t>7. Lack of Public Trust and Transparency</w:t>
      </w:r>
      <w:r>
        <w:rPr>
          <w:b/>
          <w:bCs/>
        </w:rPr>
        <w:t>:</w:t>
      </w:r>
    </w:p>
    <w:p w14:paraId="72FB18C5" w14:textId="77777777" w:rsidR="000D34D6" w:rsidRDefault="000D34D6" w:rsidP="000D34D6">
      <w:pPr>
        <w:pStyle w:val="IEEEParagraph"/>
      </w:pPr>
      <w:r>
        <w:t>Winning public trust in the outcomes of digital elections can be difficult. Establishing a perception of transparency and reliability in a fully digital process is a major challenge that electronic voting systems must overcome.</w:t>
      </w:r>
    </w:p>
    <w:p w14:paraId="25F23527" w14:textId="77777777" w:rsidR="000D34D6" w:rsidRDefault="000D34D6" w:rsidP="000D34D6">
      <w:pPr>
        <w:pStyle w:val="IEEEParagraph"/>
      </w:pPr>
    </w:p>
    <w:p w14:paraId="57EDEF1C" w14:textId="3AB1571C" w:rsidR="000D34D6" w:rsidRPr="000D34D6" w:rsidRDefault="000D34D6" w:rsidP="000D34D6">
      <w:pPr>
        <w:pStyle w:val="IEEEParagraph"/>
        <w:rPr>
          <w:b/>
          <w:bCs/>
        </w:rPr>
      </w:pPr>
      <w:r w:rsidRPr="000D34D6">
        <w:rPr>
          <w:b/>
          <w:bCs/>
        </w:rPr>
        <w:t>8. Remote Voting Delays and Inefficiencies</w:t>
      </w:r>
      <w:r>
        <w:rPr>
          <w:b/>
          <w:bCs/>
        </w:rPr>
        <w:t>:</w:t>
      </w:r>
    </w:p>
    <w:p w14:paraId="5DFAEC1F" w14:textId="77777777" w:rsidR="000D34D6" w:rsidRDefault="000D34D6" w:rsidP="000D34D6">
      <w:pPr>
        <w:pStyle w:val="IEEEParagraph"/>
      </w:pPr>
      <w:r>
        <w:t>Remote voting relies heavily on stable, high-performance technology and infrastructure to ensure synchronous participation. Any inefficiencies or delays in this setup can undermine the process and voter trust.</w:t>
      </w:r>
    </w:p>
    <w:p w14:paraId="7E415120" w14:textId="77777777" w:rsidR="000D34D6" w:rsidRDefault="000D34D6" w:rsidP="000D34D6">
      <w:pPr>
        <w:pStyle w:val="IEEEParagraph"/>
      </w:pPr>
    </w:p>
    <w:p w14:paraId="2CCCF6D7" w14:textId="2AD24019" w:rsidR="000D34D6" w:rsidRDefault="000D34D6" w:rsidP="000D34D6">
      <w:pPr>
        <w:pStyle w:val="IEEEParagraph"/>
      </w:pPr>
      <w:r>
        <w:t>Addressing these challenges is essential for electronic voting systems to be widely adopted, ensuring both their technical reliability and public confidence.</w:t>
      </w:r>
    </w:p>
    <w:p w14:paraId="46CCFBE5" w14:textId="77777777" w:rsidR="000D34D6" w:rsidRDefault="000D34D6" w:rsidP="000D34D6">
      <w:pPr>
        <w:pStyle w:val="IEEEParagraph"/>
      </w:pPr>
    </w:p>
    <w:p w14:paraId="2A1E8A37" w14:textId="77777777" w:rsidR="000D34D6" w:rsidRDefault="000D34D6" w:rsidP="000D34D6">
      <w:pPr>
        <w:pStyle w:val="IEEEParagraph"/>
      </w:pPr>
    </w:p>
    <w:p w14:paraId="7C2C4FC2" w14:textId="77777777" w:rsidR="001F12C0" w:rsidRPr="006D1C2A" w:rsidRDefault="001F12C0" w:rsidP="000D34D6">
      <w:pPr>
        <w:pStyle w:val="IEEEParagraph"/>
        <w:ind w:firstLine="0"/>
      </w:pPr>
    </w:p>
    <w:p w14:paraId="4AFCB4D2" w14:textId="77777777" w:rsidR="0062033E" w:rsidRDefault="0062033E" w:rsidP="0062033E">
      <w:pPr>
        <w:pStyle w:val="IEEEHeading1"/>
        <w:rPr>
          <w:lang w:val="en-US"/>
        </w:rPr>
      </w:pPr>
      <w:r>
        <w:rPr>
          <w:lang w:val="en-US"/>
        </w:rPr>
        <w:t>Conclusions</w:t>
      </w:r>
    </w:p>
    <w:p w14:paraId="5BB1B321" w14:textId="77777777" w:rsidR="0062033E" w:rsidRDefault="00E65018" w:rsidP="00502E89">
      <w:pPr>
        <w:pStyle w:val="IEEEParagraph"/>
        <w:rPr>
          <w:lang w:val="en-US"/>
        </w:rPr>
      </w:pPr>
      <w:r>
        <w:rPr>
          <w:lang w:val="en-US"/>
        </w:rPr>
        <w:t xml:space="preserve">The </w:t>
      </w:r>
      <w:r w:rsidR="00ED61CB">
        <w:rPr>
          <w:lang w:val="en-US"/>
        </w:rPr>
        <w:t>version of this template is V</w:t>
      </w:r>
      <w:r w:rsidR="009926BC">
        <w:rPr>
          <w:lang w:val="en-US"/>
        </w:rPr>
        <w:t>2</w:t>
      </w:r>
      <w:r>
        <w:rPr>
          <w:lang w:val="en-US"/>
        </w:rPr>
        <w:t xml:space="preserve">.  </w:t>
      </w:r>
      <w:r w:rsidR="0062033E">
        <w:rPr>
          <w:lang w:val="en-US"/>
        </w:rPr>
        <w:t>Most of the formatting instructions in this document have been compiled by Causal Productions from the IEEE La</w:t>
      </w:r>
      <w:r w:rsidR="00A75671">
        <w:rPr>
          <w:lang w:val="en-US"/>
        </w:rPr>
        <w:t>T</w:t>
      </w:r>
      <w:r w:rsidR="0062033E">
        <w:rPr>
          <w:lang w:val="en-US"/>
        </w:rPr>
        <w:t>e</w:t>
      </w:r>
      <w:r w:rsidR="00A75671">
        <w:rPr>
          <w:lang w:val="en-US"/>
        </w:rPr>
        <w:t>X</w:t>
      </w:r>
      <w:r w:rsidR="0062033E">
        <w:rPr>
          <w:lang w:val="en-US"/>
        </w:rPr>
        <w:t xml:space="preserve"> style files.  </w:t>
      </w:r>
      <w:r w:rsidR="002C1A7F">
        <w:rPr>
          <w:lang w:val="en-US"/>
        </w:rPr>
        <w:t>Causal Productions offers</w:t>
      </w:r>
      <w:r w:rsidR="00C65F3F">
        <w:rPr>
          <w:lang w:val="en-US"/>
        </w:rPr>
        <w:t xml:space="preserve"> </w:t>
      </w:r>
      <w:r w:rsidR="00ED61CB">
        <w:rPr>
          <w:lang w:val="en-US"/>
        </w:rPr>
        <w:t xml:space="preserve">both </w:t>
      </w:r>
      <w:r w:rsidR="00C65F3F">
        <w:rPr>
          <w:lang w:val="en-US"/>
        </w:rPr>
        <w:t>A4</w:t>
      </w:r>
      <w:r w:rsidR="002C1A7F">
        <w:rPr>
          <w:lang w:val="en-US"/>
        </w:rPr>
        <w:t xml:space="preserve"> template</w:t>
      </w:r>
      <w:r w:rsidR="00C65F3F">
        <w:rPr>
          <w:lang w:val="en-US"/>
        </w:rPr>
        <w:t>s</w:t>
      </w:r>
      <w:r w:rsidR="00ED61CB">
        <w:rPr>
          <w:lang w:val="en-US"/>
        </w:rPr>
        <w:t xml:space="preserve"> and US Letter templates</w:t>
      </w:r>
      <w:r w:rsidR="002C1A7F">
        <w:rPr>
          <w:lang w:val="en-US"/>
        </w:rPr>
        <w:t xml:space="preserve"> </w:t>
      </w:r>
      <w:r w:rsidR="00A75671">
        <w:rPr>
          <w:lang w:val="en-US"/>
        </w:rPr>
        <w:t>for</w:t>
      </w:r>
      <w:r w:rsidR="002C1A7F">
        <w:rPr>
          <w:lang w:val="en-US"/>
        </w:rPr>
        <w:t xml:space="preserve"> La</w:t>
      </w:r>
      <w:r w:rsidR="00A75671">
        <w:rPr>
          <w:lang w:val="en-US"/>
        </w:rPr>
        <w:t>T</w:t>
      </w:r>
      <w:r w:rsidR="002C1A7F">
        <w:rPr>
          <w:lang w:val="en-US"/>
        </w:rPr>
        <w:t>e</w:t>
      </w:r>
      <w:r w:rsidR="00A75671">
        <w:rPr>
          <w:lang w:val="en-US"/>
        </w:rPr>
        <w:t>X</w:t>
      </w:r>
      <w:r w:rsidR="00C65F3F">
        <w:rPr>
          <w:lang w:val="en-US"/>
        </w:rPr>
        <w:t xml:space="preserve"> and Micr</w:t>
      </w:r>
      <w:r w:rsidR="00ED61CB">
        <w:rPr>
          <w:lang w:val="en-US"/>
        </w:rPr>
        <w:t>osoft Word</w:t>
      </w:r>
      <w:r w:rsidR="006B47CA">
        <w:rPr>
          <w:lang w:val="en-US"/>
        </w:rPr>
        <w:t>.</w:t>
      </w:r>
      <w:r w:rsidR="00502E89">
        <w:rPr>
          <w:lang w:val="en-US"/>
        </w:rPr>
        <w:t xml:space="preserve">  </w:t>
      </w:r>
      <w:r w:rsidR="00502E89" w:rsidRPr="00502E89">
        <w:rPr>
          <w:lang w:val="en-US"/>
        </w:rPr>
        <w:t>The LaTeX templates depend on the official</w:t>
      </w:r>
      <w:r w:rsidR="00502E89">
        <w:rPr>
          <w:lang w:val="en-US"/>
        </w:rPr>
        <w:t xml:space="preserve"> </w:t>
      </w:r>
      <w:r w:rsidR="00502E89" w:rsidRPr="00502E89">
        <w:rPr>
          <w:lang w:val="en-US"/>
        </w:rPr>
        <w:t>IEEEtran.cls and IEEEtran.bst</w:t>
      </w:r>
      <w:r w:rsidR="00502E89">
        <w:rPr>
          <w:lang w:val="en-US"/>
        </w:rPr>
        <w:t xml:space="preserve"> files</w:t>
      </w:r>
      <w:r w:rsidR="00502E89" w:rsidRPr="00502E89">
        <w:rPr>
          <w:lang w:val="en-US"/>
        </w:rPr>
        <w:t>, whereas the Microsoft</w:t>
      </w:r>
      <w:r w:rsidR="00502E89">
        <w:rPr>
          <w:lang w:val="en-US"/>
        </w:rPr>
        <w:t xml:space="preserve"> </w:t>
      </w:r>
      <w:r w:rsidR="00ED61CB">
        <w:rPr>
          <w:lang w:val="en-US"/>
        </w:rPr>
        <w:t>Word</w:t>
      </w:r>
      <w:r w:rsidR="00502E89" w:rsidRPr="00502E89">
        <w:rPr>
          <w:lang w:val="en-US"/>
        </w:rPr>
        <w:t xml:space="preserve"> templates</w:t>
      </w:r>
      <w:r w:rsidR="00502E89">
        <w:rPr>
          <w:lang w:val="en-US"/>
        </w:rPr>
        <w:t xml:space="preserve"> </w:t>
      </w:r>
      <w:r w:rsidR="00502E89" w:rsidRPr="00502E89">
        <w:rPr>
          <w:lang w:val="en-US"/>
        </w:rPr>
        <w:t xml:space="preserve">are self-contained.  </w:t>
      </w:r>
      <w:r w:rsidR="0062033E">
        <w:rPr>
          <w:lang w:val="en-US"/>
        </w:rPr>
        <w:t xml:space="preserve">Causal Productions has </w:t>
      </w:r>
      <w:r w:rsidR="005D7B9E">
        <w:rPr>
          <w:lang w:val="en-US"/>
        </w:rPr>
        <w:t xml:space="preserve">used </w:t>
      </w:r>
      <w:r w:rsidR="0062033E">
        <w:rPr>
          <w:lang w:val="en-US"/>
        </w:rPr>
        <w:t>its best ef</w:t>
      </w:r>
      <w:r w:rsidR="00A75671">
        <w:rPr>
          <w:lang w:val="en-US"/>
        </w:rPr>
        <w:t>forts to ensure that the</w:t>
      </w:r>
      <w:r w:rsidR="0062033E">
        <w:rPr>
          <w:lang w:val="en-US"/>
        </w:rPr>
        <w:t xml:space="preserve"> templates</w:t>
      </w:r>
      <w:r w:rsidR="00502E89">
        <w:rPr>
          <w:lang w:val="en-US"/>
        </w:rPr>
        <w:t xml:space="preserve"> have the same appearance</w:t>
      </w:r>
      <w:r w:rsidR="0062033E">
        <w:rPr>
          <w:lang w:val="en-US"/>
        </w:rPr>
        <w:t>.</w:t>
      </w:r>
    </w:p>
    <w:p w14:paraId="4B31E6D5" w14:textId="77777777" w:rsidR="0062033E" w:rsidRDefault="0062033E" w:rsidP="0062033E">
      <w:pPr>
        <w:pStyle w:val="IEEEParagraph"/>
        <w:rPr>
          <w:lang w:val="en-US"/>
        </w:rPr>
      </w:pPr>
      <w:r>
        <w:rPr>
          <w:lang w:val="en-US"/>
        </w:rPr>
        <w:t>Causal Productions permits the distribution and revision of these templates on the condition that Causal Productions is credited in the revised template as follows</w:t>
      </w:r>
      <w:proofErr w:type="gramStart"/>
      <w:r>
        <w:rPr>
          <w:lang w:val="en-US"/>
        </w:rPr>
        <w:t>:  “</w:t>
      </w:r>
      <w:proofErr w:type="gramEnd"/>
      <w:r>
        <w:rPr>
          <w:lang w:val="en-US"/>
        </w:rPr>
        <w:t>original version of this template was provided by courtesy of Causal Productions (www.causalproductions.com)”</w:t>
      </w:r>
      <w:r w:rsidR="00FA3899">
        <w:rPr>
          <w:lang w:val="en-US"/>
        </w:rPr>
        <w:t>.</w:t>
      </w:r>
    </w:p>
    <w:p w14:paraId="54715E28" w14:textId="77777777" w:rsidR="003950A4" w:rsidRDefault="00CA4CE3" w:rsidP="000C013C">
      <w:pPr>
        <w:pStyle w:val="IEEEHeading1"/>
        <w:numPr>
          <w:ilvl w:val="0"/>
          <w:numId w:val="0"/>
        </w:numPr>
        <w:rPr>
          <w:lang w:val="en-US"/>
        </w:rPr>
      </w:pPr>
      <w:r>
        <w:rPr>
          <w:lang w:val="en-US"/>
        </w:rPr>
        <w:t>Acknowledgment</w:t>
      </w:r>
    </w:p>
    <w:p w14:paraId="1C360A23" w14:textId="77777777" w:rsidR="00D311F8" w:rsidRDefault="0062033E" w:rsidP="00D311F8">
      <w:pPr>
        <w:pStyle w:val="IEEEParagraph"/>
        <w:rPr>
          <w:lang w:val="en-GB"/>
        </w:rPr>
      </w:pPr>
      <w:r>
        <w:rPr>
          <w:lang w:val="en-GB"/>
        </w:rPr>
        <w:t xml:space="preserve">The </w:t>
      </w:r>
      <w:r w:rsidR="002C1A7F">
        <w:rPr>
          <w:lang w:val="en-GB"/>
        </w:rPr>
        <w:t xml:space="preserve">heading of the </w:t>
      </w:r>
      <w:r w:rsidR="00074AC8">
        <w:rPr>
          <w:lang w:val="en-GB"/>
        </w:rPr>
        <w:t>A</w:t>
      </w:r>
      <w:r>
        <w:rPr>
          <w:lang w:val="en-GB"/>
        </w:rPr>
        <w:t>cknowledg</w:t>
      </w:r>
      <w:r w:rsidR="000C013C" w:rsidRPr="000C013C">
        <w:rPr>
          <w:lang w:val="en-GB"/>
        </w:rPr>
        <w:t>me</w:t>
      </w:r>
      <w:r>
        <w:rPr>
          <w:lang w:val="en-GB"/>
        </w:rPr>
        <w:t xml:space="preserve">nt </w:t>
      </w:r>
      <w:r w:rsidR="00074AC8">
        <w:rPr>
          <w:lang w:val="en-GB"/>
        </w:rPr>
        <w:t xml:space="preserve">section </w:t>
      </w:r>
      <w:r w:rsidR="00A75671">
        <w:rPr>
          <w:lang w:val="en-GB"/>
        </w:rPr>
        <w:t xml:space="preserve">and </w:t>
      </w:r>
      <w:r w:rsidR="00074AC8">
        <w:rPr>
          <w:lang w:val="en-GB"/>
        </w:rPr>
        <w:t>the R</w:t>
      </w:r>
      <w:r w:rsidR="00A75671">
        <w:rPr>
          <w:lang w:val="en-GB"/>
        </w:rPr>
        <w:t xml:space="preserve">eferences </w:t>
      </w:r>
      <w:r w:rsidR="002C1A7F">
        <w:rPr>
          <w:lang w:val="en-GB"/>
        </w:rPr>
        <w:t xml:space="preserve">section </w:t>
      </w:r>
      <w:r>
        <w:rPr>
          <w:lang w:val="en-GB"/>
        </w:rPr>
        <w:t>must</w:t>
      </w:r>
      <w:r w:rsidR="002C559D">
        <w:rPr>
          <w:lang w:val="en-GB"/>
        </w:rPr>
        <w:t xml:space="preserve"> not be numbered.</w:t>
      </w:r>
    </w:p>
    <w:p w14:paraId="602F9FE1" w14:textId="77777777" w:rsidR="00A9318B" w:rsidRDefault="00D311F8" w:rsidP="00074AC8">
      <w:pPr>
        <w:pStyle w:val="IEEEParagraph"/>
      </w:pPr>
      <w:r w:rsidRPr="00D311F8">
        <w:lastRenderedPageBreak/>
        <w:t xml:space="preserve">Causal Productions wishes to acknowledge Michael Shell and other contributors for developing and maintaining the IEEE LaTeX style files which have been used in the preparation of this template.  </w:t>
      </w:r>
      <w:r w:rsidR="00074AC8">
        <w:t>T</w:t>
      </w:r>
      <w:r w:rsidR="00074AC8" w:rsidRPr="00D311F8">
        <w:t>o see the list of contributors</w:t>
      </w:r>
      <w:r w:rsidR="00074AC8">
        <w:t>, p</w:t>
      </w:r>
      <w:r w:rsidRPr="00D311F8">
        <w:t xml:space="preserve">lease refer to the top of file IEEETran.cls </w:t>
      </w:r>
      <w:r w:rsidR="00F74B89">
        <w:t>in the IEEE LaTeX distribution</w:t>
      </w:r>
      <w:r w:rsidRPr="00D311F8">
        <w:t>.</w:t>
      </w:r>
    </w:p>
    <w:p w14:paraId="1E15594D" w14:textId="77777777" w:rsidR="001928FB" w:rsidRDefault="001928FB" w:rsidP="00F06A72">
      <w:pPr>
        <w:pStyle w:val="IEEEHeading1"/>
        <w:numPr>
          <w:ilvl w:val="0"/>
          <w:numId w:val="0"/>
        </w:numPr>
      </w:pPr>
      <w:r>
        <w:t>References</w:t>
      </w:r>
    </w:p>
    <w:p w14:paraId="340F9B4A" w14:textId="77777777" w:rsidR="008B6AE3" w:rsidRDefault="0062033E" w:rsidP="008B6AE3">
      <w:pPr>
        <w:pStyle w:val="IEEEReferenceItem"/>
      </w:pPr>
      <w:r>
        <w:rPr>
          <w:lang w:val="en-AU"/>
        </w:rPr>
        <w:t xml:space="preserve">S. M. </w:t>
      </w:r>
      <w:proofErr w:type="spellStart"/>
      <w:r w:rsidRPr="0062033E">
        <w:rPr>
          <w:lang w:val="en-AU"/>
        </w:rPr>
        <w:t>Metev</w:t>
      </w:r>
      <w:proofErr w:type="spellEnd"/>
      <w:r w:rsidRPr="0062033E">
        <w:rPr>
          <w:lang w:val="en-AU"/>
        </w:rPr>
        <w:t xml:space="preserve"> and V. P. </w:t>
      </w:r>
      <w:proofErr w:type="spellStart"/>
      <w:r w:rsidRPr="0062033E">
        <w:rPr>
          <w:lang w:val="en-AU"/>
        </w:rPr>
        <w:t>Veiko</w:t>
      </w:r>
      <w:proofErr w:type="spellEnd"/>
      <w:r w:rsidRPr="0062033E">
        <w:rPr>
          <w:lang w:val="en-AU"/>
        </w:rPr>
        <w:t xml:space="preserve">, </w:t>
      </w:r>
      <w:r w:rsidRPr="0062033E">
        <w:rPr>
          <w:i/>
          <w:iCs/>
          <w:lang w:val="en-AU"/>
        </w:rPr>
        <w:t>Laser Assisted Microtechnology</w:t>
      </w:r>
      <w:r w:rsidRPr="0062033E">
        <w:rPr>
          <w:lang w:val="en-AU"/>
        </w:rPr>
        <w:t>, 2nd ed.,</w:t>
      </w:r>
      <w:r>
        <w:rPr>
          <w:lang w:val="en-AU"/>
        </w:rPr>
        <w:t xml:space="preserve"> </w:t>
      </w:r>
      <w:r w:rsidR="008B6AE3">
        <w:t xml:space="preserve">R. M. Osgood, Jr., Ed.  </w:t>
      </w:r>
      <w:smartTag w:uri="urn:schemas-microsoft-com:office:smarttags" w:element="place">
        <w:smartTag w:uri="urn:schemas-microsoft-com:office:smarttags" w:element="City">
          <w:r w:rsidRPr="0062033E">
            <w:t>Berlin</w:t>
          </w:r>
        </w:smartTag>
        <w:r w:rsidRPr="0062033E">
          <w:t xml:space="preserve">, </w:t>
        </w:r>
        <w:smartTag w:uri="urn:schemas-microsoft-com:office:smarttags" w:element="country-region">
          <w:r w:rsidRPr="0062033E">
            <w:t>Germany</w:t>
          </w:r>
        </w:smartTag>
      </w:smartTag>
      <w:r w:rsidRPr="0062033E">
        <w:t>: Springer-Verlag, 1998.</w:t>
      </w:r>
    </w:p>
    <w:p w14:paraId="55C54830" w14:textId="77777777" w:rsidR="008B6AE3" w:rsidRDefault="0062033E" w:rsidP="008B6AE3">
      <w:pPr>
        <w:pStyle w:val="IEEEReferenceItem"/>
      </w:pPr>
      <w:r w:rsidRPr="008B6AE3">
        <w:t xml:space="preserve">J. Breckling, Ed., </w:t>
      </w:r>
      <w:r w:rsidR="008B6AE3" w:rsidRPr="008B6AE3">
        <w:rPr>
          <w:i/>
          <w:iCs/>
        </w:rPr>
        <w:t xml:space="preserve">The </w:t>
      </w:r>
      <w:r w:rsidRPr="008B6AE3">
        <w:rPr>
          <w:i/>
          <w:iCs/>
        </w:rPr>
        <w:t>Analysis of Directional Time Series: Applications</w:t>
      </w:r>
      <w:r w:rsidR="008B6AE3" w:rsidRPr="008B6AE3">
        <w:rPr>
          <w:i/>
          <w:iCs/>
        </w:rPr>
        <w:t xml:space="preserve"> to Wind Speed and Direction</w:t>
      </w:r>
      <w:r w:rsidR="008B6AE3" w:rsidRPr="008B6AE3">
        <w:t>, ser. Lecture Not</w:t>
      </w:r>
      <w:r w:rsidR="008B6AE3">
        <w:t xml:space="preserve">es in Statistics.  </w:t>
      </w:r>
      <w:smartTag w:uri="urn:schemas-microsoft-com:office:smarttags" w:element="place">
        <w:smartTag w:uri="urn:schemas-microsoft-com:office:smarttags" w:element="City">
          <w:r w:rsidR="008B6AE3" w:rsidRPr="008B6AE3">
            <w:t>Berlin</w:t>
          </w:r>
        </w:smartTag>
        <w:r w:rsidR="008B6AE3" w:rsidRPr="008B6AE3">
          <w:t xml:space="preserve">, </w:t>
        </w:r>
        <w:smartTag w:uri="urn:schemas-microsoft-com:office:smarttags" w:element="country-region">
          <w:r w:rsidR="008B6AE3" w:rsidRPr="008B6AE3">
            <w:t>Germany</w:t>
          </w:r>
        </w:smartTag>
      </w:smartTag>
      <w:r w:rsidR="008B6AE3" w:rsidRPr="008B6AE3">
        <w:t>: Springer, 1989, vol. 61.</w:t>
      </w:r>
    </w:p>
    <w:p w14:paraId="0C6F3F45" w14:textId="77777777" w:rsidR="008B6AE3" w:rsidRDefault="008B6AE3" w:rsidP="008B6AE3">
      <w:pPr>
        <w:pStyle w:val="IEEEReferenceItem"/>
      </w:pPr>
      <w:r w:rsidRPr="008B6AE3">
        <w:t xml:space="preserve">S. Zhang, C. Zhu, J. K. O. Sin, and P. K. T. Mok, “A novel ultrathin elevated channel low-temperature poly-Si TFT,” </w:t>
      </w:r>
      <w:r w:rsidRPr="008B6AE3">
        <w:rPr>
          <w:i/>
          <w:iCs/>
        </w:rPr>
        <w:t>IEEE Electron Device Lett.</w:t>
      </w:r>
      <w:r w:rsidRPr="008B6AE3">
        <w:t>, vol. 20, pp. 569–571, Nov. 1999.</w:t>
      </w:r>
    </w:p>
    <w:p w14:paraId="22DAE7C6" w14:textId="77777777" w:rsidR="008B6AE3" w:rsidRPr="008B6AE3" w:rsidRDefault="008B6AE3" w:rsidP="008B6AE3">
      <w:pPr>
        <w:pStyle w:val="IEEEReferenceItem"/>
      </w:pPr>
      <w:r w:rsidRPr="008B6AE3">
        <w:t xml:space="preserve">M. </w:t>
      </w:r>
      <w:proofErr w:type="spellStart"/>
      <w:r w:rsidRPr="008B6AE3">
        <w:t>Wegmuller</w:t>
      </w:r>
      <w:proofErr w:type="spellEnd"/>
      <w:r w:rsidRPr="008B6AE3">
        <w:t>, J. P. von der Weid, P. Oberson, and N. Gisin, “High</w:t>
      </w:r>
      <w:r>
        <w:t xml:space="preserve"> </w:t>
      </w:r>
      <w:r w:rsidRPr="008B6AE3">
        <w:t xml:space="preserve">resolution fiber distributed measurements with coherent OFDR,” in </w:t>
      </w:r>
      <w:r w:rsidRPr="008B6AE3">
        <w:rPr>
          <w:i/>
          <w:iCs/>
        </w:rPr>
        <w:t>Proc. ECOC’00</w:t>
      </w:r>
      <w:r w:rsidRPr="008B6AE3">
        <w:t>, 2000, paper 11.3.4, p. 109.</w:t>
      </w:r>
    </w:p>
    <w:p w14:paraId="42FA6920" w14:textId="77777777" w:rsidR="0003296C" w:rsidRPr="0003296C" w:rsidRDefault="0003296C" w:rsidP="0003296C">
      <w:pPr>
        <w:pStyle w:val="IEEEReferenceItem"/>
        <w:rPr>
          <w:lang w:val="en-AU"/>
        </w:rPr>
      </w:pPr>
      <w:r w:rsidRPr="0003296C">
        <w:t>R. E. Sorace, V. S. Reinhardt, and S. A. Vaughn, “High-speed</w:t>
      </w:r>
      <w:r>
        <w:t xml:space="preserve"> digital-to-RF converter,” </w:t>
      </w:r>
      <w:r w:rsidRPr="0003296C">
        <w:rPr>
          <w:lang w:val="en-AU"/>
        </w:rPr>
        <w:t>U.S. Patent 5 668 842, Sept. 16, 1997.</w:t>
      </w:r>
    </w:p>
    <w:p w14:paraId="1B9FD46F" w14:textId="77777777" w:rsidR="008B6AE3" w:rsidRPr="00074AC8" w:rsidRDefault="006D1C2A" w:rsidP="00074AC8">
      <w:pPr>
        <w:pStyle w:val="IEEEReferenceItem"/>
        <w:rPr>
          <w:lang w:val="en-AU"/>
        </w:rPr>
      </w:pPr>
      <w:r>
        <w:t xml:space="preserve"> </w:t>
      </w:r>
      <w:r w:rsidR="00ED61CB" w:rsidRPr="00ED61CB">
        <w:rPr>
          <w:lang w:val="en-AU"/>
        </w:rPr>
        <w:t>(2002) The IEEE website. [Online].</w:t>
      </w:r>
      <w:r w:rsidR="00074AC8">
        <w:rPr>
          <w:lang w:val="en-AU"/>
        </w:rPr>
        <w:t xml:space="preserve"> Available: http://www.ieee.org</w:t>
      </w:r>
      <w:r w:rsidR="008B6AE3" w:rsidRPr="008B6AE3">
        <w:t>/</w:t>
      </w:r>
    </w:p>
    <w:p w14:paraId="5DA557B3" w14:textId="77777777" w:rsidR="0003296C" w:rsidRPr="0003296C" w:rsidRDefault="0003296C" w:rsidP="0003296C">
      <w:pPr>
        <w:pStyle w:val="IEEEReferenceItem"/>
        <w:rPr>
          <w:lang w:val="en-AU"/>
        </w:rPr>
      </w:pPr>
      <w:r w:rsidRPr="0003296C">
        <w:rPr>
          <w:lang w:val="en-AU"/>
        </w:rPr>
        <w:t xml:space="preserve">M. Shell. (2002) </w:t>
      </w:r>
      <w:proofErr w:type="spellStart"/>
      <w:r w:rsidRPr="0003296C">
        <w:rPr>
          <w:lang w:val="en-AU"/>
        </w:rPr>
        <w:t>IEEEtran</w:t>
      </w:r>
      <w:proofErr w:type="spellEnd"/>
      <w:r w:rsidRPr="0003296C">
        <w:rPr>
          <w:lang w:val="en-AU"/>
        </w:rPr>
        <w:t xml:space="preserve"> homepage on</w:t>
      </w:r>
      <w:r>
        <w:rPr>
          <w:lang w:val="en-AU"/>
        </w:rPr>
        <w:t xml:space="preserve"> CTAN. </w:t>
      </w:r>
      <w:r w:rsidRPr="0003296C">
        <w:t>[Online]. Available: http://www.ctan.org/</w:t>
      </w:r>
      <w:r>
        <w:t>tex-archive/</w:t>
      </w:r>
      <w:r w:rsidRPr="0003296C">
        <w:rPr>
          <w:lang w:val="en-AU"/>
        </w:rPr>
        <w:t>macros/latex/contrib/supported/IEEEtran/</w:t>
      </w:r>
    </w:p>
    <w:p w14:paraId="2B2262C4" w14:textId="77777777" w:rsidR="0003296C" w:rsidRPr="0003296C" w:rsidRDefault="0003296C" w:rsidP="0003296C">
      <w:pPr>
        <w:pStyle w:val="IEEEReferenceItem"/>
        <w:rPr>
          <w:lang w:val="en-AU"/>
        </w:rPr>
      </w:pPr>
      <w:proofErr w:type="spellStart"/>
      <w:r w:rsidRPr="0003296C">
        <w:rPr>
          <w:i/>
          <w:iCs/>
          <w:lang w:val="en-AU"/>
        </w:rPr>
        <w:t>FLEXChip</w:t>
      </w:r>
      <w:proofErr w:type="spellEnd"/>
      <w:r w:rsidRPr="0003296C">
        <w:rPr>
          <w:i/>
          <w:iCs/>
          <w:lang w:val="en-AU"/>
        </w:rPr>
        <w:t xml:space="preserve"> Signal Processor (MC68175/D)</w:t>
      </w:r>
      <w:r w:rsidRPr="0003296C">
        <w:rPr>
          <w:lang w:val="en-AU"/>
        </w:rPr>
        <w:t>, Motorola, 1996.</w:t>
      </w:r>
    </w:p>
    <w:p w14:paraId="6133D2E4" w14:textId="77777777" w:rsidR="0003296C" w:rsidRPr="0003296C" w:rsidRDefault="0003296C" w:rsidP="0003296C">
      <w:pPr>
        <w:pStyle w:val="IEEEReferenceItem"/>
        <w:rPr>
          <w:lang w:val="en-AU"/>
        </w:rPr>
      </w:pPr>
      <w:r w:rsidRPr="0003296C">
        <w:rPr>
          <w:lang w:val="en-AU"/>
        </w:rPr>
        <w:t xml:space="preserve">“PDCA12-70 data sheet,” </w:t>
      </w:r>
      <w:proofErr w:type="spellStart"/>
      <w:r w:rsidRPr="0003296C">
        <w:rPr>
          <w:lang w:val="en-AU"/>
        </w:rPr>
        <w:t>Opto</w:t>
      </w:r>
      <w:proofErr w:type="spellEnd"/>
      <w:r w:rsidRPr="0003296C">
        <w:rPr>
          <w:lang w:val="en-AU"/>
        </w:rPr>
        <w:t xml:space="preserve"> Speed SA, </w:t>
      </w:r>
      <w:smartTag w:uri="urn:schemas-microsoft-com:office:smarttags" w:element="place">
        <w:smartTag w:uri="urn:schemas-microsoft-com:office:smarttags" w:element="City">
          <w:r w:rsidRPr="0003296C">
            <w:rPr>
              <w:lang w:val="en-AU"/>
            </w:rPr>
            <w:t>Mezzovico</w:t>
          </w:r>
        </w:smartTag>
        <w:r w:rsidRPr="0003296C">
          <w:rPr>
            <w:lang w:val="en-AU"/>
          </w:rPr>
          <w:t xml:space="preserve">, </w:t>
        </w:r>
        <w:smartTag w:uri="urn:schemas-microsoft-com:office:smarttags" w:element="country-region">
          <w:r w:rsidRPr="0003296C">
            <w:rPr>
              <w:lang w:val="en-AU"/>
            </w:rPr>
            <w:t>Switzerland</w:t>
          </w:r>
        </w:smartTag>
      </w:smartTag>
      <w:r w:rsidRPr="0003296C">
        <w:rPr>
          <w:lang w:val="en-AU"/>
        </w:rPr>
        <w:t>.</w:t>
      </w:r>
    </w:p>
    <w:p w14:paraId="1C2E5EEE" w14:textId="77777777" w:rsidR="0003296C" w:rsidRPr="0003296C" w:rsidRDefault="0003296C" w:rsidP="0003296C">
      <w:pPr>
        <w:pStyle w:val="IEEEReferenceItem"/>
      </w:pPr>
      <w:r w:rsidRPr="0003296C">
        <w:t>A. Karnik, “Performance of TCP congestion control with rate feedback:</w:t>
      </w:r>
      <w:r>
        <w:t xml:space="preserve"> </w:t>
      </w:r>
      <w:r w:rsidRPr="0003296C">
        <w:rPr>
          <w:lang w:val="en-AU"/>
        </w:rPr>
        <w:t>TCP/ABR and rate adaptive TCP/IP,” M. Eng. thesis, Indian Institute of</w:t>
      </w:r>
      <w:r>
        <w:rPr>
          <w:lang w:val="en-AU"/>
        </w:rPr>
        <w:t xml:space="preserve"> </w:t>
      </w:r>
      <w:r w:rsidRPr="0003296C">
        <w:t xml:space="preserve">Science, </w:t>
      </w:r>
      <w:smartTag w:uri="urn:schemas-microsoft-com:office:smarttags" w:element="place">
        <w:smartTag w:uri="urn:schemas-microsoft-com:office:smarttags" w:element="City">
          <w:r w:rsidRPr="0003296C">
            <w:t>Bangalore</w:t>
          </w:r>
        </w:smartTag>
        <w:r w:rsidRPr="0003296C">
          <w:t xml:space="preserve">, </w:t>
        </w:r>
        <w:smartTag w:uri="urn:schemas-microsoft-com:office:smarttags" w:element="country-region">
          <w:r w:rsidRPr="0003296C">
            <w:t>India</w:t>
          </w:r>
        </w:smartTag>
      </w:smartTag>
      <w:r w:rsidRPr="0003296C">
        <w:t>, Jan. 1999.</w:t>
      </w:r>
    </w:p>
    <w:p w14:paraId="39FC8BBB" w14:textId="77777777" w:rsidR="0003296C" w:rsidRPr="0003296C" w:rsidRDefault="0003296C" w:rsidP="0003296C">
      <w:pPr>
        <w:pStyle w:val="IEEEReferenceItem"/>
      </w:pPr>
      <w:r w:rsidRPr="0003296C">
        <w:t xml:space="preserve">J. Padhye, V. </w:t>
      </w:r>
      <w:proofErr w:type="spellStart"/>
      <w:r w:rsidRPr="0003296C">
        <w:t>Firoiu</w:t>
      </w:r>
      <w:proofErr w:type="spellEnd"/>
      <w:r w:rsidRPr="0003296C">
        <w:t>, and D. Towsley, “A stochastic model of TCP Reno</w:t>
      </w:r>
      <w:r>
        <w:t xml:space="preserve"> </w:t>
      </w:r>
      <w:r w:rsidRPr="0003296C">
        <w:rPr>
          <w:lang w:val="en-AU"/>
        </w:rPr>
        <w:t xml:space="preserve">congestion avoidance and control,” </w:t>
      </w:r>
      <w:smartTag w:uri="urn:schemas-microsoft-com:office:smarttags" w:element="PlaceType">
        <w:r w:rsidRPr="0003296C">
          <w:rPr>
            <w:lang w:val="en-AU"/>
          </w:rPr>
          <w:t>Univ.</w:t>
        </w:r>
      </w:smartTag>
      <w:r w:rsidRPr="0003296C">
        <w:rPr>
          <w:lang w:val="en-AU"/>
        </w:rPr>
        <w:t xml:space="preserve"> of </w:t>
      </w:r>
      <w:smartTag w:uri="urn:schemas-microsoft-com:office:smarttags" w:element="PlaceName">
        <w:r w:rsidRPr="0003296C">
          <w:rPr>
            <w:lang w:val="en-AU"/>
          </w:rPr>
          <w:t>Massachusetts</w:t>
        </w:r>
      </w:smartTag>
      <w:r w:rsidRPr="0003296C">
        <w:rPr>
          <w:lang w:val="en-AU"/>
        </w:rPr>
        <w:t xml:space="preserve">, </w:t>
      </w:r>
      <w:smartTag w:uri="urn:schemas-microsoft-com:office:smarttags" w:element="place">
        <w:smartTag w:uri="urn:schemas-microsoft-com:office:smarttags" w:element="City">
          <w:r w:rsidRPr="0003296C">
            <w:rPr>
              <w:lang w:val="en-AU"/>
            </w:rPr>
            <w:t>Amherst</w:t>
          </w:r>
        </w:smartTag>
        <w:r w:rsidRPr="0003296C">
          <w:rPr>
            <w:lang w:val="en-AU"/>
          </w:rPr>
          <w:t>,</w:t>
        </w:r>
        <w:r>
          <w:rPr>
            <w:lang w:val="en-AU"/>
          </w:rPr>
          <w:t xml:space="preserve"> </w:t>
        </w:r>
        <w:smartTag w:uri="urn:schemas-microsoft-com:office:smarttags" w:element="State">
          <w:r w:rsidRPr="0003296C">
            <w:t>MA</w:t>
          </w:r>
        </w:smartTag>
      </w:smartTag>
      <w:r w:rsidRPr="0003296C">
        <w:t>, CMPSCI Tech. Rep. 99-02, 1999.</w:t>
      </w:r>
    </w:p>
    <w:p w14:paraId="28895269" w14:textId="77777777" w:rsidR="00877D4C" w:rsidRDefault="0003296C" w:rsidP="00877D4C">
      <w:pPr>
        <w:pStyle w:val="IEEEReferenceItem"/>
      </w:pPr>
      <w:r w:rsidRPr="0003296C">
        <w:rPr>
          <w:i/>
          <w:iCs/>
        </w:rPr>
        <w:t>Wireless LAN Medium Access Control (MAC) and Physical Layer (PHY) Specification</w:t>
      </w:r>
      <w:r w:rsidRPr="0003296C">
        <w:rPr>
          <w:lang w:val="en-AU"/>
        </w:rPr>
        <w:t>,</w:t>
      </w:r>
      <w:r>
        <w:rPr>
          <w:lang w:val="en-AU"/>
        </w:rPr>
        <w:t xml:space="preserve"> </w:t>
      </w:r>
      <w:r w:rsidRPr="0003296C">
        <w:t>IEEE Std. 802.11, 1997.</w:t>
      </w:r>
    </w:p>
    <w:p w14:paraId="372B58F1" w14:textId="77777777" w:rsidR="00877D4C" w:rsidRDefault="00877D4C" w:rsidP="00877D4C">
      <w:pPr>
        <w:pStyle w:val="IEEEReferenceItem"/>
        <w:numPr>
          <w:ilvl w:val="0"/>
          <w:numId w:val="0"/>
        </w:numPr>
        <w:sectPr w:rsidR="00877D4C" w:rsidSect="00DD5ED4">
          <w:type w:val="continuous"/>
          <w:pgSz w:w="11906" w:h="16838"/>
          <w:pgMar w:top="1077" w:right="811" w:bottom="2438" w:left="811" w:header="709" w:footer="709" w:gutter="0"/>
          <w:cols w:space="238"/>
          <w:docGrid w:linePitch="360"/>
        </w:sectPr>
      </w:pPr>
    </w:p>
    <w:p w14:paraId="14FFE461" w14:textId="77777777" w:rsidR="00877D4C" w:rsidRPr="0003296C" w:rsidRDefault="00877D4C" w:rsidP="009926BC">
      <w:pPr>
        <w:pStyle w:val="IEEEReferenceItem"/>
        <w:numPr>
          <w:ilvl w:val="0"/>
          <w:numId w:val="0"/>
        </w:numPr>
      </w:pPr>
    </w:p>
    <w:p>
      <w:r>
        <w:br/>
        <w:t>### VI. Objectives and the Problem</w:t>
        <w:br/>
        <w:t>This project aims to harness blockchain technology to overcome the current challenges of electronic voting systems. The primary objectives are:</w:t>
        <w:br/>
        <w:t>1. Integrating a secure digital identity management system to verify voters.</w:t>
        <w:br/>
        <w:t>2. Ensuring anonymity in the voting process while maintaining fairness.</w:t>
        <w:br/>
        <w:t>3. Designing custom procedures to prevent tampering and ensure vote accuracy.</w:t>
        <w:br/>
        <w:t>4. Establishing independently verifiable mechanisms for voter confidence.</w:t>
        <w:br/>
        <w:t>5. Exploring cost-effective deployment strategies to reduce initial implementation expenses.</w:t>
        <w:br/>
        <w:t>6. Enhancing cybersecurity measures to mitigate threats such as DDoS attacks and hacking.</w:t>
        <w:br/>
        <w:t>7. Ensuring transparency and trust in the voting process using blockchain's immutable ledger.</w:t>
        <w:br/>
        <w:t>8. Optimizing remote voting systems to improve efficiency and reduce delays.</w:t>
        <w:br/>
      </w:r>
    </w:p>
    <w:p>
      <w:r>
        <w:br/>
        <w:t>### VII. Overcoming These Challenges</w:t>
        <w:br/>
        <w:t>To address the outlined obstacles, the system incorporates blockchain’s strengths, such as transparency and immutability. Key approaches include:</w:t>
        <w:br/>
        <w:t>1. **Enhanced Transparency**: Making the voting process verifiable and publicly auditable to inspire trust in the results.</w:t>
        <w:br/>
        <w:t>2. **Fraud Prevention**: Implementing mechanisms that ensure every vote is recorded accurately without duplication or tampering.</w:t>
        <w:br/>
        <w:t>3. **Eligibility Verification**: Using biometric and cryptographic methods to validate voter identities and prevent unauthorized access.</w:t>
        <w:br/>
        <w:t>4. **Countering Influence**: Structuring the system to neutralize undue influence from external entities.</w:t>
        <w:br/>
        <w:t>5. **Immutable Records**: Ensuring votes recorded on the blockchain are tamper-proof, protecting their integrity.</w:t>
        <w:br/>
        <w:t>6. **Verifiability**: Allowing voters to confirm their votes without exposing their choices.</w:t>
        <w:br/>
      </w:r>
    </w:p>
    <w:p>
      <w:r>
        <w:br/>
        <w:t>### VIII. Framework for the Proposed System</w:t>
        <w:br/>
        <w:t>The proposed e-voting framework draws inspiration from the Prêt à Voter system, ensuring essential features like privacy, eligibility, receipt-freeness, and verifiability. Key elements include:</w:t>
        <w:br/>
        <w:t>- A user-friendly web-based interface for seamless voting.</w:t>
        <w:br/>
        <w:t>- Cryptographic hashes for vote verification while maintaining voter anonymity.</w:t>
        <w:br/>
        <w:t>- Biometric-based mechanisms to prevent duplicate voting.</w:t>
        <w:br/>
        <w:t>- Administrative tools for efficient management of voters, constituencies, and candidates.</w:t>
        <w:br/>
        <w:t>- Voter confirmation via email containing transaction IDs, ensuring transparency and confidence in the system.</w:t>
        <w:br/>
      </w:r>
    </w:p>
    <w:sectPr w:rsidR="00877D4C" w:rsidRPr="0003296C" w:rsidSect="00DD5ED4">
      <w:type w:val="continuous"/>
      <w:pgSz w:w="11906" w:h="16838"/>
      <w:pgMar w:top="1077" w:right="811" w:bottom="2438" w:left="811" w:header="709" w:footer="709" w:gutter="0"/>
      <w:cols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A6A6D830"/>
    <w:lvl w:ilvl="0">
      <w:start w:val="1"/>
      <w:numFmt w:val="decimal"/>
      <w:lvlText w:val="[%1]"/>
      <w:lvlJc w:val="left"/>
      <w:pPr>
        <w:tabs>
          <w:tab w:val="num" w:pos="643"/>
        </w:tabs>
        <w:ind w:left="643" w:hanging="360"/>
      </w:pPr>
      <w:rPr>
        <w:rFonts w:hint="default"/>
      </w:rPr>
    </w:lvl>
  </w:abstractNum>
  <w:abstractNum w:abstractNumId="1" w15:restartNumberingAfterBreak="0">
    <w:nsid w:val="0228720A"/>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2D3103A"/>
    <w:multiLevelType w:val="multilevel"/>
    <w:tmpl w:val="4F0CE718"/>
    <w:lvl w:ilvl="0">
      <w:start w:val="1"/>
      <w:numFmt w:val="decimal"/>
      <w:suff w:val="space"/>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4D17172"/>
    <w:multiLevelType w:val="multilevel"/>
    <w:tmpl w:val="595A58D8"/>
    <w:lvl w:ilvl="0">
      <w:start w:val="1"/>
      <w:numFmt w:val="upperLetter"/>
      <w:lvlText w:val="%1."/>
      <w:lvlJc w:val="left"/>
      <w:pPr>
        <w:tabs>
          <w:tab w:val="num" w:pos="288"/>
        </w:tabs>
        <w:ind w:left="288" w:hanging="288"/>
      </w:pPr>
      <w:rPr>
        <w:rFonts w:ascii="Times New Roman" w:eastAsia="Arial Unicode MS" w:hAnsi="Times New Roman" w:cs="Times New Roman" w:hint="default"/>
        <w:bCs/>
        <w:i w:val="0"/>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8F95CD1"/>
    <w:multiLevelType w:val="multilevel"/>
    <w:tmpl w:val="5C5A6CA8"/>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C041A38"/>
    <w:multiLevelType w:val="multilevel"/>
    <w:tmpl w:val="00DEC102"/>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0D3D0BD5"/>
    <w:multiLevelType w:val="multilevel"/>
    <w:tmpl w:val="848C60F2"/>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D5470D7"/>
    <w:multiLevelType w:val="multilevel"/>
    <w:tmpl w:val="1A4C29C6"/>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F166FED"/>
    <w:multiLevelType w:val="multilevel"/>
    <w:tmpl w:val="850A4502"/>
    <w:lvl w:ilvl="0">
      <w:start w:val="1"/>
      <w:numFmt w:val="upperRoman"/>
      <w:lvlText w:val="%1."/>
      <w:lvlJc w:val="right"/>
      <w:pPr>
        <w:tabs>
          <w:tab w:val="num" w:pos="288"/>
        </w:tabs>
        <w:ind w:left="288"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02D4E5F"/>
    <w:multiLevelType w:val="hybridMultilevel"/>
    <w:tmpl w:val="E67EFB3C"/>
    <w:lvl w:ilvl="0" w:tplc="CE9CDEDA">
      <w:start w:val="1"/>
      <w:numFmt w:val="decimal"/>
      <w:lvlText w:val="%1)"/>
      <w:lvlJc w:val="left"/>
      <w:pPr>
        <w:ind w:left="576" w:hanging="360"/>
      </w:pPr>
      <w:rPr>
        <w:rFonts w:hint="default"/>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12" w15:restartNumberingAfterBreak="0">
    <w:nsid w:val="126677AE"/>
    <w:multiLevelType w:val="multilevel"/>
    <w:tmpl w:val="842C0658"/>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3" w15:restartNumberingAfterBreak="0">
    <w:nsid w:val="1378069A"/>
    <w:multiLevelType w:val="multilevel"/>
    <w:tmpl w:val="376A5D80"/>
    <w:lvl w:ilvl="0">
      <w:start w:val="1"/>
      <w:numFmt w:val="upperLetter"/>
      <w:lvlText w:val="%1."/>
      <w:lvlJc w:val="left"/>
      <w:pPr>
        <w:tabs>
          <w:tab w:val="num" w:pos="216"/>
        </w:tabs>
        <w:ind w:left="21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3FF5B9E"/>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ABC526C"/>
    <w:multiLevelType w:val="multilevel"/>
    <w:tmpl w:val="8E76E9E2"/>
    <w:lvl w:ilvl="0">
      <w:start w:val="1"/>
      <w:numFmt w:val="bullet"/>
      <w:lvlText w:val=""/>
      <w:lvlJc w:val="left"/>
      <w:pPr>
        <w:tabs>
          <w:tab w:val="num" w:pos="360"/>
        </w:tabs>
        <w:ind w:left="360" w:hanging="360"/>
      </w:pPr>
      <w:rPr>
        <w:rFonts w:ascii="Times New Roman" w:hAnsi="Times New Roman" w:cs="Times New Roman" w:hint="default"/>
        <w:b w:val="0"/>
        <w:i w:val="0"/>
        <w:sz w:val="20"/>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 w15:restartNumberingAfterBreak="0">
    <w:nsid w:val="211F63B8"/>
    <w:multiLevelType w:val="hybridMultilevel"/>
    <w:tmpl w:val="4DF0477C"/>
    <w:lvl w:ilvl="0" w:tplc="A772601A">
      <w:start w:val="1"/>
      <w:numFmt w:val="bullet"/>
      <w:lvlText w:val="-"/>
      <w:lvlJc w:val="left"/>
      <w:pPr>
        <w:ind w:left="936" w:hanging="360"/>
      </w:pPr>
      <w:rPr>
        <w:rFonts w:ascii="Times New Roman" w:eastAsia="SimSun" w:hAnsi="Times New Roman" w:cs="Times New Roman"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7" w15:restartNumberingAfterBreak="0">
    <w:nsid w:val="25C54037"/>
    <w:multiLevelType w:val="multilevel"/>
    <w:tmpl w:val="1EB0C610"/>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26B068EF"/>
    <w:multiLevelType w:val="multilevel"/>
    <w:tmpl w:val="0642711A"/>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9" w15:restartNumberingAfterBreak="0">
    <w:nsid w:val="283F32F7"/>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1" w15:restartNumberingAfterBreak="0">
    <w:nsid w:val="301558E7"/>
    <w:multiLevelType w:val="multilevel"/>
    <w:tmpl w:val="5540DDB8"/>
    <w:lvl w:ilvl="0">
      <w:start w:val="1"/>
      <w:numFmt w:val="decimal"/>
      <w:suff w:val="nothing"/>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2" w15:restartNumberingAfterBreak="0">
    <w:nsid w:val="328273D7"/>
    <w:multiLevelType w:val="multilevel"/>
    <w:tmpl w:val="9C8E938C"/>
    <w:numStyleLink w:val="IEEEBullet1"/>
  </w:abstractNum>
  <w:abstractNum w:abstractNumId="23" w15:restartNumberingAfterBreak="0">
    <w:nsid w:val="34B07CB4"/>
    <w:multiLevelType w:val="multilevel"/>
    <w:tmpl w:val="1E3A134A"/>
    <w:lvl w:ilvl="0">
      <w:start w:val="1"/>
      <w:numFmt w:val="upperRoman"/>
      <w:lvlText w:val="%1."/>
      <w:lvlJc w:val="left"/>
      <w:pPr>
        <w:tabs>
          <w:tab w:val="num" w:pos="504"/>
        </w:tabs>
        <w:ind w:left="504"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7A200C6"/>
    <w:multiLevelType w:val="multilevel"/>
    <w:tmpl w:val="9C8E938C"/>
    <w:numStyleLink w:val="IEEEBullet1"/>
  </w:abstractNum>
  <w:abstractNum w:abstractNumId="25" w15:restartNumberingAfterBreak="0">
    <w:nsid w:val="37FA2940"/>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0D57A98"/>
    <w:multiLevelType w:val="multilevel"/>
    <w:tmpl w:val="1286F25C"/>
    <w:lvl w:ilvl="0">
      <w:start w:val="1"/>
      <w:numFmt w:val="upperRoman"/>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41807ECF"/>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41FF1343"/>
    <w:multiLevelType w:val="multilevel"/>
    <w:tmpl w:val="CA5008E4"/>
    <w:lvl w:ilvl="0">
      <w:start w:val="1"/>
      <w:numFmt w:val="decimal"/>
      <w:suff w:val="space"/>
      <w:lvlText w:val="[%1]"/>
      <w:lvlJc w:val="left"/>
      <w:pPr>
        <w:ind w:left="288" w:hanging="288"/>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9" w15:restartNumberingAfterBreak="0">
    <w:nsid w:val="4366657E"/>
    <w:multiLevelType w:val="multilevel"/>
    <w:tmpl w:val="595A58D8"/>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hAnsi="Symbol" w:hint="default"/>
        <w:b/>
        <w:bCs/>
        <w:i w:val="0"/>
        <w:iCs w:val="0"/>
        <w:caps/>
        <w:strike w:val="0"/>
        <w:dstrike w:val="0"/>
        <w:vanish w:val="0"/>
        <w:color w:val="000000"/>
        <w:spacing w:val="0"/>
        <w:kern w:val="0"/>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 w15:restartNumberingAfterBreak="0">
    <w:nsid w:val="4CF21919"/>
    <w:multiLevelType w:val="multilevel"/>
    <w:tmpl w:val="D908C808"/>
    <w:lvl w:ilvl="0">
      <w:start w:val="1"/>
      <w:numFmt w:val="decimal"/>
      <w:lvlText w:val="%1)"/>
      <w:lvlJc w:val="left"/>
      <w:pPr>
        <w:tabs>
          <w:tab w:val="num" w:pos="216"/>
        </w:tabs>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2" w15:restartNumberingAfterBreak="0">
    <w:nsid w:val="4F0A0856"/>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51590241"/>
    <w:multiLevelType w:val="multilevel"/>
    <w:tmpl w:val="9C62DC70"/>
    <w:lvl w:ilvl="0">
      <w:start w:val="1"/>
      <w:numFmt w:val="decimal"/>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5" w15:restartNumberingAfterBreak="0">
    <w:nsid w:val="53BC2548"/>
    <w:multiLevelType w:val="multilevel"/>
    <w:tmpl w:val="595A58D8"/>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hAnsi="Symbol" w:hint="default"/>
        <w:b/>
        <w:bCs/>
        <w:i w:val="0"/>
        <w:iCs w:val="0"/>
        <w:caps/>
        <w:strike w:val="0"/>
        <w:dstrike w:val="0"/>
        <w:vanish w:val="0"/>
        <w:color w:val="000000"/>
        <w:spacing w:val="0"/>
        <w:kern w:val="0"/>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54A2257E"/>
    <w:multiLevelType w:val="multilevel"/>
    <w:tmpl w:val="AD807452"/>
    <w:lvl w:ilvl="0">
      <w:start w:val="1"/>
      <w:numFmt w:val="upperRoman"/>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59A71AA9"/>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5AAF2D51"/>
    <w:multiLevelType w:val="multilevel"/>
    <w:tmpl w:val="C994D254"/>
    <w:lvl w:ilvl="0">
      <w:start w:val="1"/>
      <w:numFmt w:val="upperRoman"/>
      <w:lvlText w:val="%1."/>
      <w:lvlJc w:val="center"/>
      <w:pPr>
        <w:tabs>
          <w:tab w:val="num" w:pos="576"/>
        </w:tabs>
        <w:ind w:left="57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5B894DCE"/>
    <w:multiLevelType w:val="multilevel"/>
    <w:tmpl w:val="06262128"/>
    <w:lvl w:ilvl="0">
      <w:start w:val="1"/>
      <w:numFmt w:val="upperRoman"/>
      <w:lvlText w:val="%1."/>
      <w:lvlJc w:val="center"/>
      <w:pPr>
        <w:tabs>
          <w:tab w:val="num" w:pos="504"/>
        </w:tabs>
        <w:ind w:left="504" w:hanging="14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607B06C9"/>
    <w:multiLevelType w:val="multilevel"/>
    <w:tmpl w:val="3828D25C"/>
    <w:lvl w:ilvl="0">
      <w:start w:val="1"/>
      <w:numFmt w:val="upperRoman"/>
      <w:lvlText w:val="%1."/>
      <w:lvlJc w:val="left"/>
      <w:pPr>
        <w:tabs>
          <w:tab w:val="num" w:pos="504"/>
        </w:tabs>
        <w:ind w:left="504" w:hanging="50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67C66B6D"/>
    <w:multiLevelType w:val="multilevel"/>
    <w:tmpl w:val="62BAD17C"/>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720"/>
        </w:tabs>
        <w:ind w:left="720" w:hanging="432"/>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6A4705E7"/>
    <w:multiLevelType w:val="multilevel"/>
    <w:tmpl w:val="595A58D8"/>
    <w:lvl w:ilvl="0">
      <w:start w:val="1"/>
      <w:numFmt w:val="upperLetter"/>
      <w:lvlText w:val="%1."/>
      <w:lvlJc w:val="left"/>
      <w:pPr>
        <w:tabs>
          <w:tab w:val="num" w:pos="288"/>
        </w:tabs>
        <w:ind w:left="288" w:hanging="288"/>
      </w:pPr>
      <w:rPr>
        <w:rFonts w:ascii="Times New Roman" w:eastAsia="Arial Unicode MS" w:hAnsi="Times New Roman" w:cs="Times New Roman" w:hint="default"/>
        <w:bCs/>
        <w:i w:val="0"/>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4" w15:restartNumberingAfterBreak="0">
    <w:nsid w:val="6BFC6865"/>
    <w:multiLevelType w:val="multilevel"/>
    <w:tmpl w:val="9C8E938C"/>
    <w:numStyleLink w:val="IEEEBullet1"/>
  </w:abstractNum>
  <w:abstractNum w:abstractNumId="45" w15:restartNumberingAfterBreak="0">
    <w:nsid w:val="70996FC9"/>
    <w:multiLevelType w:val="multilevel"/>
    <w:tmpl w:val="B058D2D4"/>
    <w:lvl w:ilvl="0">
      <w:start w:val="1"/>
      <w:numFmt w:val="upperRoman"/>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7230658B"/>
    <w:multiLevelType w:val="multilevel"/>
    <w:tmpl w:val="53844C2A"/>
    <w:lvl w:ilvl="0">
      <w:start w:val="1"/>
      <w:numFmt w:val="upperRoman"/>
      <w:lvlText w:val="%1."/>
      <w:lvlJc w:val="center"/>
      <w:pPr>
        <w:tabs>
          <w:tab w:val="num" w:pos="432"/>
        </w:tabs>
        <w:ind w:left="432" w:hanging="7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15:restartNumberingAfterBreak="0">
    <w:nsid w:val="75434BE1"/>
    <w:multiLevelType w:val="multilevel"/>
    <w:tmpl w:val="21FE80A4"/>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936"/>
        </w:tabs>
        <w:ind w:left="936" w:hanging="57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15:restartNumberingAfterBreak="0">
    <w:nsid w:val="7F9B35D5"/>
    <w:multiLevelType w:val="multilevel"/>
    <w:tmpl w:val="924E5DBA"/>
    <w:lvl w:ilvl="0">
      <w:start w:val="1"/>
      <w:numFmt w:val="upperLetter"/>
      <w:lvlText w:val="%1."/>
      <w:lvlJc w:val="left"/>
      <w:pPr>
        <w:tabs>
          <w:tab w:val="num" w:pos="288"/>
        </w:tabs>
        <w:ind w:left="288" w:hanging="288"/>
      </w:pPr>
      <w:rPr>
        <w:rFonts w:ascii="Times" w:eastAsia="Arial Unicode MS" w:hAnsi="Times" w:cs="Times New Roman" w:hint="default"/>
        <w:b w:val="0"/>
        <w:bCs/>
        <w:i w:val="0"/>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425155067">
    <w:abstractNumId w:val="24"/>
  </w:num>
  <w:num w:numId="2" w16cid:durableId="800463008">
    <w:abstractNumId w:val="36"/>
  </w:num>
  <w:num w:numId="3" w16cid:durableId="1592663881">
    <w:abstractNumId w:val="46"/>
  </w:num>
  <w:num w:numId="4" w16cid:durableId="1646202798">
    <w:abstractNumId w:val="4"/>
  </w:num>
  <w:num w:numId="5" w16cid:durableId="706217416">
    <w:abstractNumId w:val="24"/>
    <w:lvlOverride w:ilvl="0">
      <w:startOverride w:val="1"/>
    </w:lvlOverride>
  </w:num>
  <w:num w:numId="6" w16cid:durableId="51781690">
    <w:abstractNumId w:val="38"/>
  </w:num>
  <w:num w:numId="7" w16cid:durableId="396440107">
    <w:abstractNumId w:val="39"/>
  </w:num>
  <w:num w:numId="8" w16cid:durableId="1688675305">
    <w:abstractNumId w:val="23"/>
  </w:num>
  <w:num w:numId="9" w16cid:durableId="1400399521">
    <w:abstractNumId w:val="40"/>
  </w:num>
  <w:num w:numId="10" w16cid:durableId="190728317">
    <w:abstractNumId w:val="45"/>
  </w:num>
  <w:num w:numId="11" w16cid:durableId="808788756">
    <w:abstractNumId w:val="26"/>
  </w:num>
  <w:num w:numId="12" w16cid:durableId="1568882080">
    <w:abstractNumId w:val="6"/>
  </w:num>
  <w:num w:numId="13" w16cid:durableId="1871071200">
    <w:abstractNumId w:val="10"/>
  </w:num>
  <w:num w:numId="14" w16cid:durableId="823400765">
    <w:abstractNumId w:val="33"/>
  </w:num>
  <w:num w:numId="15" w16cid:durableId="1671446263">
    <w:abstractNumId w:val="8"/>
  </w:num>
  <w:num w:numId="16" w16cid:durableId="1453790109">
    <w:abstractNumId w:val="13"/>
  </w:num>
  <w:num w:numId="17" w16cid:durableId="793257253">
    <w:abstractNumId w:val="27"/>
  </w:num>
  <w:num w:numId="18" w16cid:durableId="1075512818">
    <w:abstractNumId w:val="14"/>
  </w:num>
  <w:num w:numId="19" w16cid:durableId="1474561566">
    <w:abstractNumId w:val="47"/>
  </w:num>
  <w:num w:numId="20" w16cid:durableId="1393239161">
    <w:abstractNumId w:val="41"/>
  </w:num>
  <w:num w:numId="21" w16cid:durableId="1724254276">
    <w:abstractNumId w:val="37"/>
  </w:num>
  <w:num w:numId="22" w16cid:durableId="1067461731">
    <w:abstractNumId w:val="31"/>
  </w:num>
  <w:num w:numId="23" w16cid:durableId="301890468">
    <w:abstractNumId w:val="19"/>
  </w:num>
  <w:num w:numId="24" w16cid:durableId="390080273">
    <w:abstractNumId w:val="43"/>
  </w:num>
  <w:num w:numId="25" w16cid:durableId="1892381468">
    <w:abstractNumId w:val="18"/>
  </w:num>
  <w:num w:numId="26" w16cid:durableId="1375930051">
    <w:abstractNumId w:val="1"/>
  </w:num>
  <w:num w:numId="27" w16cid:durableId="657002161">
    <w:abstractNumId w:val="12"/>
  </w:num>
  <w:num w:numId="28" w16cid:durableId="1352224280">
    <w:abstractNumId w:val="3"/>
  </w:num>
  <w:num w:numId="29" w16cid:durableId="952129180">
    <w:abstractNumId w:val="21"/>
  </w:num>
  <w:num w:numId="30" w16cid:durableId="1998654543">
    <w:abstractNumId w:val="32"/>
  </w:num>
  <w:num w:numId="31" w16cid:durableId="1638993443">
    <w:abstractNumId w:val="9"/>
  </w:num>
  <w:num w:numId="32" w16cid:durableId="53819126">
    <w:abstractNumId w:val="25"/>
  </w:num>
  <w:num w:numId="33" w16cid:durableId="665523775">
    <w:abstractNumId w:val="5"/>
  </w:num>
  <w:num w:numId="34" w16cid:durableId="356271256">
    <w:abstractNumId w:val="35"/>
  </w:num>
  <w:num w:numId="35" w16cid:durableId="1130322315">
    <w:abstractNumId w:val="7"/>
  </w:num>
  <w:num w:numId="36" w16cid:durableId="1608341858">
    <w:abstractNumId w:val="17"/>
  </w:num>
  <w:num w:numId="37" w16cid:durableId="1525679419">
    <w:abstractNumId w:val="33"/>
  </w:num>
  <w:num w:numId="38" w16cid:durableId="1217667499">
    <w:abstractNumId w:val="48"/>
  </w:num>
  <w:num w:numId="39" w16cid:durableId="116250918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299383650">
    <w:abstractNumId w:val="29"/>
  </w:num>
  <w:num w:numId="41" w16cid:durableId="549001776">
    <w:abstractNumId w:val="42"/>
  </w:num>
  <w:num w:numId="42" w16cid:durableId="1813785493">
    <w:abstractNumId w:val="15"/>
  </w:num>
  <w:num w:numId="43" w16cid:durableId="587151367">
    <w:abstractNumId w:val="30"/>
  </w:num>
  <w:num w:numId="44" w16cid:durableId="783842990">
    <w:abstractNumId w:val="44"/>
  </w:num>
  <w:num w:numId="45" w16cid:durableId="929388570">
    <w:abstractNumId w:val="22"/>
  </w:num>
  <w:num w:numId="46" w16cid:durableId="354624108">
    <w:abstractNumId w:val="2"/>
  </w:num>
  <w:num w:numId="47" w16cid:durableId="902183105">
    <w:abstractNumId w:val="20"/>
  </w:num>
  <w:num w:numId="48" w16cid:durableId="1926303395">
    <w:abstractNumId w:val="28"/>
  </w:num>
  <w:num w:numId="49" w16cid:durableId="991177289">
    <w:abstractNumId w:val="0"/>
  </w:num>
  <w:num w:numId="50" w16cid:durableId="1905094252">
    <w:abstractNumId w:val="34"/>
  </w:num>
  <w:num w:numId="51" w16cid:durableId="1914195697">
    <w:abstractNumId w:val="11"/>
  </w:num>
  <w:num w:numId="52" w16cid:durableId="103940120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en-GB" w:vendorID="64" w:dllVersion="4096" w:nlCheck="1" w:checkStyle="0"/>
  <w:activeWritingStyle w:appName="MSWord" w:lang="en-AU"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17719"/>
    <w:rsid w:val="00027F1D"/>
    <w:rsid w:val="0003296C"/>
    <w:rsid w:val="00042F9F"/>
    <w:rsid w:val="00054421"/>
    <w:rsid w:val="00062E46"/>
    <w:rsid w:val="00074AC8"/>
    <w:rsid w:val="00081408"/>
    <w:rsid w:val="00081EBE"/>
    <w:rsid w:val="00086EDC"/>
    <w:rsid w:val="000B36A3"/>
    <w:rsid w:val="000C013C"/>
    <w:rsid w:val="000D34D6"/>
    <w:rsid w:val="000E3F84"/>
    <w:rsid w:val="001041D3"/>
    <w:rsid w:val="001056DF"/>
    <w:rsid w:val="00114025"/>
    <w:rsid w:val="001160D2"/>
    <w:rsid w:val="001348A5"/>
    <w:rsid w:val="00151B8E"/>
    <w:rsid w:val="00182170"/>
    <w:rsid w:val="001928FB"/>
    <w:rsid w:val="00192BC7"/>
    <w:rsid w:val="001A50EA"/>
    <w:rsid w:val="001D1739"/>
    <w:rsid w:val="001F12C0"/>
    <w:rsid w:val="001F16CD"/>
    <w:rsid w:val="001F47D2"/>
    <w:rsid w:val="0022285A"/>
    <w:rsid w:val="00224C61"/>
    <w:rsid w:val="0027227B"/>
    <w:rsid w:val="00273AC7"/>
    <w:rsid w:val="00273D2C"/>
    <w:rsid w:val="00285ECD"/>
    <w:rsid w:val="00290E1B"/>
    <w:rsid w:val="00291B17"/>
    <w:rsid w:val="002A6742"/>
    <w:rsid w:val="002C1A7F"/>
    <w:rsid w:val="002C4239"/>
    <w:rsid w:val="002C559D"/>
    <w:rsid w:val="002D2D42"/>
    <w:rsid w:val="002F72D0"/>
    <w:rsid w:val="003003AB"/>
    <w:rsid w:val="00311C49"/>
    <w:rsid w:val="0032119E"/>
    <w:rsid w:val="00321304"/>
    <w:rsid w:val="00331F84"/>
    <w:rsid w:val="003950A4"/>
    <w:rsid w:val="003C5655"/>
    <w:rsid w:val="003E3577"/>
    <w:rsid w:val="003F3A61"/>
    <w:rsid w:val="00410A5D"/>
    <w:rsid w:val="00414909"/>
    <w:rsid w:val="00425A6A"/>
    <w:rsid w:val="00426FBB"/>
    <w:rsid w:val="0047429A"/>
    <w:rsid w:val="0048374C"/>
    <w:rsid w:val="0048771D"/>
    <w:rsid w:val="004A0E11"/>
    <w:rsid w:val="004A6605"/>
    <w:rsid w:val="004C45FA"/>
    <w:rsid w:val="004E1BD8"/>
    <w:rsid w:val="004E452A"/>
    <w:rsid w:val="004E78E3"/>
    <w:rsid w:val="005004BF"/>
    <w:rsid w:val="00502E89"/>
    <w:rsid w:val="00510E95"/>
    <w:rsid w:val="00527D56"/>
    <w:rsid w:val="0053221F"/>
    <w:rsid w:val="00536FAE"/>
    <w:rsid w:val="00542C85"/>
    <w:rsid w:val="00552E86"/>
    <w:rsid w:val="00553510"/>
    <w:rsid w:val="00554186"/>
    <w:rsid w:val="00585769"/>
    <w:rsid w:val="00591130"/>
    <w:rsid w:val="005A3F28"/>
    <w:rsid w:val="005A40BE"/>
    <w:rsid w:val="005B13E2"/>
    <w:rsid w:val="005B47D7"/>
    <w:rsid w:val="005C5526"/>
    <w:rsid w:val="005C62C6"/>
    <w:rsid w:val="005D7B9E"/>
    <w:rsid w:val="005F0834"/>
    <w:rsid w:val="005F6DC3"/>
    <w:rsid w:val="00601A8E"/>
    <w:rsid w:val="0062033E"/>
    <w:rsid w:val="00624482"/>
    <w:rsid w:val="0064799C"/>
    <w:rsid w:val="00654156"/>
    <w:rsid w:val="006B47CA"/>
    <w:rsid w:val="006C7AAA"/>
    <w:rsid w:val="006D1C2A"/>
    <w:rsid w:val="006D264F"/>
    <w:rsid w:val="006E2A8D"/>
    <w:rsid w:val="006E7574"/>
    <w:rsid w:val="00703430"/>
    <w:rsid w:val="007069BE"/>
    <w:rsid w:val="00745C86"/>
    <w:rsid w:val="007476BB"/>
    <w:rsid w:val="007570AE"/>
    <w:rsid w:val="00764603"/>
    <w:rsid w:val="0076604D"/>
    <w:rsid w:val="00790909"/>
    <w:rsid w:val="007B5A07"/>
    <w:rsid w:val="007D3E71"/>
    <w:rsid w:val="007E5D6A"/>
    <w:rsid w:val="007E645D"/>
    <w:rsid w:val="007F75CA"/>
    <w:rsid w:val="00821E08"/>
    <w:rsid w:val="00834EFD"/>
    <w:rsid w:val="00844B24"/>
    <w:rsid w:val="0084515F"/>
    <w:rsid w:val="0085092D"/>
    <w:rsid w:val="00877D4C"/>
    <w:rsid w:val="00883903"/>
    <w:rsid w:val="0089763B"/>
    <w:rsid w:val="008B4C61"/>
    <w:rsid w:val="008B6AE3"/>
    <w:rsid w:val="008D1045"/>
    <w:rsid w:val="008E5996"/>
    <w:rsid w:val="00901AE1"/>
    <w:rsid w:val="009205B4"/>
    <w:rsid w:val="00947BD3"/>
    <w:rsid w:val="00955B59"/>
    <w:rsid w:val="00992262"/>
    <w:rsid w:val="009926BC"/>
    <w:rsid w:val="009A4319"/>
    <w:rsid w:val="009A6C3F"/>
    <w:rsid w:val="009B73F2"/>
    <w:rsid w:val="009C12BD"/>
    <w:rsid w:val="009C50FE"/>
    <w:rsid w:val="00A03E75"/>
    <w:rsid w:val="00A32BFA"/>
    <w:rsid w:val="00A45FCE"/>
    <w:rsid w:val="00A75671"/>
    <w:rsid w:val="00A773CC"/>
    <w:rsid w:val="00A9318B"/>
    <w:rsid w:val="00A94AC1"/>
    <w:rsid w:val="00AB18B7"/>
    <w:rsid w:val="00AD335D"/>
    <w:rsid w:val="00AE6A21"/>
    <w:rsid w:val="00AF792B"/>
    <w:rsid w:val="00B55D5E"/>
    <w:rsid w:val="00B94516"/>
    <w:rsid w:val="00BB2855"/>
    <w:rsid w:val="00BD19C1"/>
    <w:rsid w:val="00BD25B8"/>
    <w:rsid w:val="00BF7D94"/>
    <w:rsid w:val="00C012E1"/>
    <w:rsid w:val="00C06BB4"/>
    <w:rsid w:val="00C10D20"/>
    <w:rsid w:val="00C12E0C"/>
    <w:rsid w:val="00C21916"/>
    <w:rsid w:val="00C457CA"/>
    <w:rsid w:val="00C57FB7"/>
    <w:rsid w:val="00C65F3F"/>
    <w:rsid w:val="00C72414"/>
    <w:rsid w:val="00C8667B"/>
    <w:rsid w:val="00CA4CE3"/>
    <w:rsid w:val="00CD4F3F"/>
    <w:rsid w:val="00CF70B8"/>
    <w:rsid w:val="00D311F8"/>
    <w:rsid w:val="00D36B52"/>
    <w:rsid w:val="00D377C8"/>
    <w:rsid w:val="00D41274"/>
    <w:rsid w:val="00D43BF3"/>
    <w:rsid w:val="00D767BB"/>
    <w:rsid w:val="00D939B0"/>
    <w:rsid w:val="00DB0D8D"/>
    <w:rsid w:val="00DB16E0"/>
    <w:rsid w:val="00DB2DF9"/>
    <w:rsid w:val="00DB7E63"/>
    <w:rsid w:val="00DC2055"/>
    <w:rsid w:val="00DD5ED4"/>
    <w:rsid w:val="00DD71E8"/>
    <w:rsid w:val="00DD7F83"/>
    <w:rsid w:val="00E0641E"/>
    <w:rsid w:val="00E06664"/>
    <w:rsid w:val="00E304BC"/>
    <w:rsid w:val="00E32853"/>
    <w:rsid w:val="00E401F8"/>
    <w:rsid w:val="00E46425"/>
    <w:rsid w:val="00E47D0E"/>
    <w:rsid w:val="00E65018"/>
    <w:rsid w:val="00E8625A"/>
    <w:rsid w:val="00E94339"/>
    <w:rsid w:val="00E97563"/>
    <w:rsid w:val="00EB0B63"/>
    <w:rsid w:val="00EC265C"/>
    <w:rsid w:val="00ED61CB"/>
    <w:rsid w:val="00F06A72"/>
    <w:rsid w:val="00F136F0"/>
    <w:rsid w:val="00F20BBB"/>
    <w:rsid w:val="00F43BD8"/>
    <w:rsid w:val="00F562F3"/>
    <w:rsid w:val="00F74B89"/>
    <w:rsid w:val="00F75133"/>
    <w:rsid w:val="00FA3899"/>
    <w:rsid w:val="00FA4909"/>
    <w:rsid w:val="00FA6751"/>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State"/>
  <w:shapeDefaults>
    <o:shapedefaults v:ext="edit" spidmax="1026"/>
    <o:shapelayout v:ext="edit">
      <o:idmap v:ext="edit" data="1"/>
    </o:shapelayout>
  </w:shapeDefaults>
  <w:decimalSymbol w:val="."/>
  <w:listSeparator w:val=","/>
  <w14:docId w14:val="4CCCFABF"/>
  <w15:chartTrackingRefBased/>
  <w15:docId w15:val="{F988D5A2-8E7C-4B22-8069-4EA57EE1C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47"/>
      </w:numPr>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7"/>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6"/>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4"/>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4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rFonts w:eastAsia="SimSun"/>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4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1998">
      <w:bodyDiv w:val="1"/>
      <w:marLeft w:val="0"/>
      <w:marRight w:val="0"/>
      <w:marTop w:val="0"/>
      <w:marBottom w:val="0"/>
      <w:divBdr>
        <w:top w:val="none" w:sz="0" w:space="0" w:color="auto"/>
        <w:left w:val="none" w:sz="0" w:space="0" w:color="auto"/>
        <w:bottom w:val="none" w:sz="0" w:space="0" w:color="auto"/>
        <w:right w:val="none" w:sz="0" w:space="0" w:color="auto"/>
      </w:divBdr>
    </w:div>
    <w:div w:id="23335103">
      <w:bodyDiv w:val="1"/>
      <w:marLeft w:val="0"/>
      <w:marRight w:val="0"/>
      <w:marTop w:val="0"/>
      <w:marBottom w:val="0"/>
      <w:divBdr>
        <w:top w:val="none" w:sz="0" w:space="0" w:color="auto"/>
        <w:left w:val="none" w:sz="0" w:space="0" w:color="auto"/>
        <w:bottom w:val="none" w:sz="0" w:space="0" w:color="auto"/>
        <w:right w:val="none" w:sz="0" w:space="0" w:color="auto"/>
      </w:divBdr>
    </w:div>
    <w:div w:id="355468757">
      <w:bodyDiv w:val="1"/>
      <w:marLeft w:val="0"/>
      <w:marRight w:val="0"/>
      <w:marTop w:val="0"/>
      <w:marBottom w:val="0"/>
      <w:divBdr>
        <w:top w:val="none" w:sz="0" w:space="0" w:color="auto"/>
        <w:left w:val="none" w:sz="0" w:space="0" w:color="auto"/>
        <w:bottom w:val="none" w:sz="0" w:space="0" w:color="auto"/>
        <w:right w:val="none" w:sz="0" w:space="0" w:color="auto"/>
      </w:divBdr>
    </w:div>
    <w:div w:id="443772301">
      <w:bodyDiv w:val="1"/>
      <w:marLeft w:val="0"/>
      <w:marRight w:val="0"/>
      <w:marTop w:val="0"/>
      <w:marBottom w:val="0"/>
      <w:divBdr>
        <w:top w:val="none" w:sz="0" w:space="0" w:color="auto"/>
        <w:left w:val="none" w:sz="0" w:space="0" w:color="auto"/>
        <w:bottom w:val="none" w:sz="0" w:space="0" w:color="auto"/>
        <w:right w:val="none" w:sz="0" w:space="0" w:color="auto"/>
      </w:divBdr>
    </w:div>
    <w:div w:id="1680233803">
      <w:bodyDiv w:val="1"/>
      <w:marLeft w:val="0"/>
      <w:marRight w:val="0"/>
      <w:marTop w:val="0"/>
      <w:marBottom w:val="0"/>
      <w:divBdr>
        <w:top w:val="none" w:sz="0" w:space="0" w:color="auto"/>
        <w:left w:val="none" w:sz="0" w:space="0" w:color="auto"/>
        <w:bottom w:val="none" w:sz="0" w:space="0" w:color="auto"/>
        <w:right w:val="none" w:sz="0" w:space="0" w:color="auto"/>
      </w:divBdr>
    </w:div>
    <w:div w:id="1949316039">
      <w:bodyDiv w:val="1"/>
      <w:marLeft w:val="0"/>
      <w:marRight w:val="0"/>
      <w:marTop w:val="0"/>
      <w:marBottom w:val="0"/>
      <w:divBdr>
        <w:top w:val="none" w:sz="0" w:space="0" w:color="auto"/>
        <w:left w:val="none" w:sz="0" w:space="0" w:color="auto"/>
        <w:bottom w:val="none" w:sz="0" w:space="0" w:color="auto"/>
        <w:right w:val="none" w:sz="0" w:space="0" w:color="auto"/>
      </w:divBdr>
    </w:div>
    <w:div w:id="198819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2083</Words>
  <Characters>11879</Characters>
  <Application>Microsoft Office Word</Application>
  <DocSecurity>0</DocSecurity>
  <Lines>98</Lines>
  <Paragraphs>27</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
  <LinksUpToDate>false</LinksUpToDate>
  <CharactersWithSpaces>13935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Fantastic Lord</cp:lastModifiedBy>
  <cp:revision>2</cp:revision>
  <cp:lastPrinted>2008-12-31T06:59:00Z</cp:lastPrinted>
  <dcterms:created xsi:type="dcterms:W3CDTF">2024-11-18T15:01:00Z</dcterms:created>
  <dcterms:modified xsi:type="dcterms:W3CDTF">2024-11-18T15:01:00Z</dcterms:modified>
</cp:coreProperties>
</file>