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3.pdf" ContentType="application/pdf"/>
  <Override PartName="/word/media/rId12.jpg" ContentType="image/jpeg"/>
  <Override PartName="/word/media/rId9.jpg" ContentType="image/jpeg"/>
  <Override PartName="/word/media/rId102.pdf" ContentType="application/pdf"/>
  <Override PartName="/word/media/rId96.pdf" ContentType="application/pdf"/>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drawing>
          <wp:inline>
            <wp:extent cx="681643" cy="602672"/>
            <wp:effectExtent b="0" l="0" r="0" t="0"/>
            <wp:docPr descr="image" title="" id="10" name="Picture"/>
            <a:graphic>
              <a:graphicData uri="http://schemas.openxmlformats.org/drawingml/2006/picture">
                <pic:pic>
                  <pic:nvPicPr>
                    <pic:cNvPr descr="resources/images/duth-logo.jpg" id="11" name="Picture"/>
                    <pic:cNvPicPr>
                      <a:picLocks noChangeArrowheads="1" noChangeAspect="1"/>
                    </pic:cNvPicPr>
                  </pic:nvPicPr>
                  <pic:blipFill>
                    <a:blip r:embed="rId9"/>
                    <a:stretch>
                      <a:fillRect/>
                    </a:stretch>
                  </pic:blipFill>
                  <pic:spPr bwMode="auto">
                    <a:xfrm>
                      <a:off x="0" y="0"/>
                      <a:ext cx="681643" cy="602672"/>
                    </a:xfrm>
                    <a:prstGeom prst="rect">
                      <a:avLst/>
                    </a:prstGeom>
                    <a:noFill/>
                    <a:ln w="9525">
                      <a:noFill/>
                      <a:headEnd/>
                      <a:tailEnd/>
                    </a:ln>
                  </pic:spPr>
                </pic:pic>
              </a:graphicData>
            </a:graphic>
          </wp:inline>
        </w:drawing>
      </w:r>
    </w:p>
    <w:p>
      <w:pPr>
        <w:pStyle w:val="BodyText"/>
      </w:pPr>
      <w:r>
        <w:t xml:space="preserve">DEMOCRITUS UNIVERSITY OF THRACE</w:t>
      </w:r>
      <w:r>
        <w:br/>
      </w:r>
      <w:r>
        <w:t xml:space="preserve">FACULTY OF HEALTH SCIENCES</w:t>
      </w:r>
      <w:r>
        <w:br/>
      </w:r>
      <w:r>
        <w:t xml:space="preserve">SCHOOL OF MEDICINE</w:t>
      </w:r>
    </w:p>
    <w:p>
      <w:pPr>
        <w:pStyle w:val="BodyText"/>
      </w:pPr>
      <w:r>
        <w:drawing>
          <wp:inline>
            <wp:extent cx="581890" cy="565265"/>
            <wp:effectExtent b="0" l="0" r="0" t="0"/>
            <wp:docPr descr="image" title="" id="13" name="Picture"/>
            <a:graphic>
              <a:graphicData uri="http://schemas.openxmlformats.org/drawingml/2006/picture">
                <pic:pic>
                  <pic:nvPicPr>
                    <pic:cNvPr descr="resources/images/athena-logo.jpg" id="14" name="Picture"/>
                    <pic:cNvPicPr>
                      <a:picLocks noChangeArrowheads="1" noChangeAspect="1"/>
                    </pic:cNvPicPr>
                  </pic:nvPicPr>
                  <pic:blipFill>
                    <a:blip r:embed="rId12"/>
                    <a:stretch>
                      <a:fillRect/>
                    </a:stretch>
                  </pic:blipFill>
                  <pic:spPr bwMode="auto">
                    <a:xfrm>
                      <a:off x="0" y="0"/>
                      <a:ext cx="581890" cy="565265"/>
                    </a:xfrm>
                    <a:prstGeom prst="rect">
                      <a:avLst/>
                    </a:prstGeom>
                    <a:noFill/>
                    <a:ln w="9525">
                      <a:noFill/>
                      <a:headEnd/>
                      <a:tailEnd/>
                    </a:ln>
                  </pic:spPr>
                </pic:pic>
              </a:graphicData>
            </a:graphic>
          </wp:inline>
        </w:drawing>
      </w:r>
    </w:p>
    <w:p>
      <w:pPr>
        <w:pStyle w:val="BodyText"/>
      </w:pPr>
      <w:r>
        <w:t xml:space="preserve">ATHENA</w:t>
      </w:r>
      <w:r>
        <w:br/>
      </w:r>
      <w:r>
        <w:t xml:space="preserve">RESEARCH AND INNOVATION CENTER IN</w:t>
      </w:r>
      <w:r>
        <w:br/>
      </w:r>
      <w:r>
        <w:t xml:space="preserve">INFORMATION COMMUNICATION AND KNOWLEDGE</w:t>
      </w:r>
      <w:r>
        <w:br/>
      </w:r>
      <w:r>
        <w:t xml:space="preserve">TECHNOLOGIES</w:t>
      </w:r>
    </w:p>
    <w:p>
      <w:pPr>
        <w:pStyle w:val="BodyText"/>
      </w:pPr>
      <w:r>
        <w:t xml:space="preserve">Design and Evaluation of a Retrieval Augmented Biomedical Platform for Thrombosis Risk Factor Extraction: Continuous PubMed Scheduling and Human in the Loop</w:t>
      </w:r>
    </w:p>
    <w:p>
      <w:pPr>
        <w:pStyle w:val="BodyText"/>
      </w:pPr>
      <w:r>
        <w:t xml:space="preserve">MSc THESIS</w:t>
      </w:r>
    </w:p>
    <w:p>
      <w:pPr>
        <w:pStyle w:val="BodyText"/>
      </w:pPr>
      <w:r>
        <w:t xml:space="preserve">MSc in</w:t>
      </w:r>
    </w:p>
    <w:p>
      <w:pPr>
        <w:pStyle w:val="BodyText"/>
      </w:pPr>
      <w:r>
        <w:t xml:space="preserve">BIOMEDICAL INFORMATICS</w:t>
      </w:r>
    </w:p>
    <w:p>
      <w:pPr>
        <w:pStyle w:val="BodyText"/>
      </w:pPr>
      <w:r>
        <w:t xml:space="preserve">Nikolaos Chaikalis</w:t>
      </w:r>
    </w:p>
    <w:p>
      <w:pPr>
        <w:pStyle w:val="BodyText"/>
      </w:pPr>
      <w:r>
        <w:t xml:space="preserve">Supervisor:</w:t>
      </w:r>
      <w:r>
        <w:br/>
      </w:r>
      <w:r>
        <w:t xml:space="preserve">Eleni Kaldoudi</w:t>
      </w:r>
      <w:r>
        <w:br/>
      </w:r>
      <w:r>
        <w:t xml:space="preserve">Professor of Medical Physics and Medical Informatics</w:t>
      </w:r>
      <w:r>
        <w:br/>
      </w:r>
      <w:r>
        <w:t xml:space="preserve">School of Medicine, Democritus University of Thrace, Greece</w:t>
      </w:r>
    </w:p>
    <w:p>
      <w:pPr>
        <w:pStyle w:val="BodyText"/>
      </w:pPr>
      <w:r>
        <w:t xml:space="preserve">Supervising PhD Candidate:</w:t>
      </w:r>
      <w:r>
        <w:br/>
      </w:r>
      <w:r>
        <w:t xml:space="preserve">Nikolaos Portokalidis</w:t>
      </w:r>
      <w:r>
        <w:br/>
      </w:r>
      <w:r>
        <w:t xml:space="preserve">ATHENA Research and Innovation Center, Greece</w:t>
      </w:r>
    </w:p>
    <w:p>
      <w:pPr>
        <w:pStyle w:val="BodyText"/>
      </w:pPr>
      <w:r>
        <w:t xml:space="preserve">ALEXANDROUPOLI, GREECE</w:t>
      </w:r>
      <w:r>
        <w:br/>
      </w:r>
      <w:r>
        <w:t xml:space="preserve">JUNE 2026</w:t>
      </w:r>
    </w:p>
    <w:p>
      <w:pPr>
        <w:pStyle w:val="BodyText"/>
      </w:pPr>
      <w:r>
        <w:t xml:space="preserve">MSc Thesis</w:t>
      </w:r>
    </w:p>
    <w:p>
      <w:pPr>
        <w:pStyle w:val="BodyText"/>
      </w:pPr>
      <w:r>
        <w:t xml:space="preserve">Submitted for the Degree of Master of Science in Biomedical Informatics,</w:t>
      </w:r>
    </w:p>
    <w:p>
      <w:pPr>
        <w:pStyle w:val="BodyText"/>
      </w:pPr>
      <w:r>
        <w:t xml:space="preserve">Jointly Organized by the</w:t>
      </w:r>
    </w:p>
    <w:p>
      <w:pPr>
        <w:pStyle w:val="BodyText"/>
      </w:pPr>
      <w:r>
        <w:t xml:space="preserve">School of Medicine, Democritus University of Thrace and</w:t>
      </w:r>
    </w:p>
    <w:p>
      <w:pPr>
        <w:pStyle w:val="BodyText"/>
      </w:pPr>
      <w:r>
        <w:t xml:space="preserve">ATHENA Research and Innovation Centre in Information</w:t>
      </w:r>
    </w:p>
    <w:p>
      <w:pPr>
        <w:pStyle w:val="BodyText"/>
      </w:pPr>
      <w:r>
        <w:t xml:space="preserve">Communication and Knowledge Technologies</w:t>
      </w:r>
    </w:p>
    <w:p>
      <w:pPr>
        <w:pStyle w:val="BodyText"/>
      </w:pPr>
      <w:r>
        <w:t xml:space="preserve">Design and Evaluation of a Retrieval Augmented Biomedical Platform for Thrombosis Risk Factor Extraction: Continuous PubMed Scheduling and Human in the Loop</w:t>
      </w:r>
    </w:p>
    <w:p>
      <w:pPr>
        <w:pStyle w:val="BodyText"/>
      </w:pPr>
      <w:r>
        <w:t xml:space="preserve">by</w:t>
      </w:r>
    </w:p>
    <w:p>
      <w:pPr>
        <w:pStyle w:val="BodyText"/>
      </w:pPr>
      <w:r>
        <w:t xml:space="preserve">Nikolaos Chaikalis</w:t>
      </w:r>
    </w:p>
    <w:p>
      <w:pPr>
        <w:pStyle w:val="BodyText"/>
      </w:pPr>
      <w:r>
        <w:t xml:space="preserve">Supervised by</w:t>
      </w:r>
    </w:p>
    <w:p>
      <w:pPr>
        <w:pStyle w:val="BodyText"/>
      </w:pPr>
      <w:r>
        <w:t xml:space="preserve">Eleni Kaldoudi</w:t>
      </w:r>
    </w:p>
    <w:p>
      <w:pPr>
        <w:pStyle w:val="BodyText"/>
      </w:pPr>
      <w:r>
        <w:t xml:space="preserve">Professor of Medical Physics and Medical Informatics</w:t>
      </w:r>
    </w:p>
    <w:p>
      <w:pPr>
        <w:pStyle w:val="BodyText"/>
      </w:pPr>
      <w:r>
        <w:t xml:space="preserve">School of Medicine</w:t>
      </w:r>
    </w:p>
    <w:p>
      <w:pPr>
        <w:pStyle w:val="BodyText"/>
      </w:pPr>
      <w:r>
        <w:t xml:space="preserve">Democritus University of Thrace, Greece</w:t>
      </w:r>
    </w:p>
    <w:p>
      <w:pPr>
        <w:pStyle w:val="BodyText"/>
      </w:pPr>
      <w:r>
        <w:t xml:space="preserve">Approved on June 2026 by the Examination Committee:</w:t>
      </w:r>
    </w:p>
    <w:p>
      <w:pPr>
        <w:pStyle w:val="BodyText"/>
      </w:pPr>
      <w:r>
        <w:t xml:space="preserve">Eleni Kaldoudi</w:t>
      </w:r>
      <w:r>
        <w:br/>
      </w:r>
      <w:r>
        <w:t xml:space="preserve">Professor</w:t>
      </w:r>
      <w:r>
        <w:br/>
      </w:r>
      <w:r>
        <w:t xml:space="preserve">School of Medicine,</w:t>
      </w:r>
      <w:r>
        <w:br/>
      </w:r>
      <w:r>
        <w:t xml:space="preserve">Democritus University of</w:t>
      </w:r>
      <w:r>
        <w:br/>
      </w:r>
      <w:r>
        <w:t xml:space="preserve">Thrace, Greece</w:t>
      </w:r>
    </w:p>
    <w:p>
      <w:pPr>
        <w:pStyle w:val="BodyText"/>
      </w:pPr>
      <w:r>
        <w:t xml:space="preserve">Stylianos Didaskalou</w:t>
      </w:r>
      <w:r>
        <w:br/>
      </w:r>
      <w:r>
        <w:t xml:space="preserve">Associate Researcher</w:t>
      </w:r>
      <w:r>
        <w:br/>
      </w:r>
      <w:r>
        <w:t xml:space="preserve">ATHENA Research and</w:t>
      </w:r>
      <w:r>
        <w:br/>
      </w:r>
      <w:r>
        <w:t xml:space="preserve">Innovation, Greece</w:t>
      </w:r>
    </w:p>
    <w:p>
      <w:pPr>
        <w:pStyle w:val="BodyText"/>
      </w:pPr>
      <w:r>
        <w:t xml:space="preserve">Aliki Fiska</w:t>
      </w:r>
      <w:r>
        <w:br/>
      </w:r>
      <w:r>
        <w:t xml:space="preserve">Professor</w:t>
      </w:r>
      <w:r>
        <w:br/>
      </w:r>
      <w:r>
        <w:t xml:space="preserve">School of Medicine,</w:t>
      </w:r>
      <w:r>
        <w:br/>
      </w:r>
      <w:r>
        <w:t xml:space="preserve">Democritus University of</w:t>
      </w:r>
      <w:r>
        <w:br/>
      </w:r>
      <w:r>
        <w:t xml:space="preserve">Thrace, Greece</w:t>
      </w:r>
    </w:p>
    <w:p>
      <w:pPr>
        <w:pStyle w:val="BodyText"/>
      </w:pPr>
      <w:r>
        <w:t xml:space="preserve">Nikolaos Portokalidis</w:t>
      </w:r>
      <w:r>
        <w:br/>
      </w:r>
      <w:r>
        <w:t xml:space="preserve">PhD Candidate</w:t>
      </w:r>
      <w:r>
        <w:br/>
      </w:r>
      <w:r>
        <w:t xml:space="preserve">ATHENA Research and</w:t>
      </w:r>
      <w:r>
        <w:br/>
      </w:r>
      <w:r>
        <w:t xml:space="preserve">Innovation, Greece</w:t>
      </w:r>
    </w:p>
    <w:p>
      <w:pPr>
        <w:pStyle w:val="BodyText"/>
      </w:pPr>
      <w:r>
        <w:t xml:space="preserve">Copyright © by Nikolaos Chaikalis, 2026</w:t>
      </w:r>
      <w:r>
        <w:br/>
      </w:r>
      <w:r>
        <w:t xml:space="preserve">All rights reserved.</w:t>
      </w:r>
    </w:p>
    <w:p>
      <w:pPr>
        <w:numPr>
          <w:ilvl w:val="0"/>
          <w:numId w:val="1001"/>
        </w:numPr>
      </w:pPr>
      <w:r>
        <w:t xml:space="preserve">Does not breach copyright or other intellectual property rights of a third party.</w:t>
      </w:r>
    </w:p>
    <w:p>
      <w:pPr>
        <w:numPr>
          <w:ilvl w:val="0"/>
          <w:numId w:val="1001"/>
        </w:numPr>
      </w:pPr>
      <w:r>
        <w:t xml:space="preserve">Does not contain material previously published or written by a third party, except where this is appropriately cited through full and accurate referencing.</w:t>
      </w:r>
    </w:p>
    <w:p>
      <w:pPr>
        <w:numPr>
          <w:ilvl w:val="0"/>
          <w:numId w:val="1001"/>
        </w:numPr>
      </w:pPr>
      <w:r>
        <w:t xml:space="preserve">Does not contain material which to a substantial extent has been accepted for the qualification of any other degree or diploma of a university or other institution of higher learning.</w:t>
      </w:r>
    </w:p>
    <w:p>
      <w:pPr>
        <w:numPr>
          <w:ilvl w:val="0"/>
          <w:numId w:val="1001"/>
        </w:numPr>
      </w:pPr>
      <w:r>
        <w:t xml:space="preserve">Does not contain substantial portions of third-party copyright material, including but not limited to charts, diagrams, graphs, photographs or maps, or in instances where it does the author has obtained permission to use such material and allow it to be made accessible worldwide via the Internet as part of this thesis.</w:t>
      </w:r>
    </w:p>
    <w:bookmarkStart w:id="15" w:name="abstract"/>
    <w:p>
      <w:pPr>
        <w:pStyle w:val="Heading1"/>
      </w:pPr>
      <w:r>
        <w:t xml:space="preserve">Abstract</w:t>
      </w:r>
    </w:p>
    <w:p>
      <w:pPr>
        <w:pStyle w:val="FirstParagraph"/>
      </w:pPr>
      <w:r>
        <w:t xml:space="preserve">Thrombosis is a major contributor to cardiovascular morbidity and mortality worldwide. Biomedical knowledge related to thrombosis risk factors evolves continuously through new scientific publications, yet clinicians and researchers primarily rely on static literature reviews and keyword based search systems. These traditional approaches lack semantic understanding, structured retrieval, automated knowledge freshness monitoring, and integrated validation workflows.</w:t>
      </w:r>
    </w:p>
    <w:p>
      <w:pPr>
        <w:pStyle w:val="BodyText"/>
      </w:pPr>
      <w:r>
        <w:t xml:space="preserve">This thesis presents the design, implementation, and evaluation of a domain adapted Retrieval Augmented Generation platform tailored for thrombosis risk factor extraction from PubMed literature. The proposed system integrates semantic embedding based retrieval, vector database storage, configurable large language model generation, and a continuous DOI level ingestion scheduler. A human in the loop curation workflow is incorporated through annotation tooling, enabling validation and iterative improvement of extracted knowledge.</w:t>
      </w:r>
    </w:p>
    <w:p>
      <w:pPr>
        <w:pStyle w:val="BodyText"/>
      </w:pPr>
      <w:r>
        <w:t xml:space="preserve">The platform follows modular architectural principles emphasizing reproducibility, observability, and configuration driven experimentation. A multi phase evaluation framework assesses retrieval quality, answer grounding, extraction accuracy, and operational reproducibility using qrels based ranking metrics, RAGAS metrics, extraction metrics, and recorded run artifacts. The June 2026 generation benchmark evaluates 25 thrombosis oriented questions across LLM only, RAG without HyDE, and RAG with HyDE modes, with extraction metrics reported only for the 13 questions that have derived gold factors, while the finalized June 2026 retrieval benchmark reports qrels based ranking metrics from a separate 25-query independent retrieval phase.</w:t>
      </w:r>
    </w:p>
    <w:p>
      <w:pPr>
        <w:pStyle w:val="BodyText"/>
      </w:pPr>
      <w:r>
        <w:t xml:space="preserve">The thesis contributes a reproducible biomedical RAG architecture, an incremental PubMed scheduling mechanism, a human in the loop integration pipeline, and a structured evaluation methodology. The empirical findings are interpreted conservatively: the platform demonstrates auditable experimental architecture and reproducible benchmark artifacts, not clinical readiness.</w:t>
      </w:r>
    </w:p>
    <w:bookmarkEnd w:id="15"/>
    <w:bookmarkStart w:id="16" w:name="acknowledgements"/>
    <w:p>
      <w:pPr>
        <w:pStyle w:val="Heading1"/>
      </w:pPr>
      <w:r>
        <w:t xml:space="preserve">Acknowledgements</w:t>
      </w:r>
    </w:p>
    <w:p>
      <w:pPr>
        <w:pStyle w:val="FirstParagraph"/>
      </w:pPr>
      <w:r>
        <w:t xml:space="preserve">I would like to express my sincere gratitude to my supervisor, Professor Eleni Kaldoudi, for her guidance, academic insight, and continuous support throughout the development of this thesis.</w:t>
      </w:r>
    </w:p>
    <w:p>
      <w:pPr>
        <w:pStyle w:val="BodyText"/>
      </w:pPr>
      <w:r>
        <w:t xml:space="preserve">I also thank the supervising PhD candidate, Nikolaos Portoakalidis, for his constructive feedback and technical discussions during the implementation and evaluation phases.</w:t>
      </w:r>
    </w:p>
    <w:p>
      <w:pPr>
        <w:pStyle w:val="BodyText"/>
      </w:pPr>
      <w:r>
        <w:t xml:space="preserve">I am grateful to the faculty and colleagues of the MSc Biomedical Informatics program for fostering an interdisciplinary academic environment.</w:t>
      </w:r>
    </w:p>
    <w:p>
      <w:pPr>
        <w:pStyle w:val="BodyText"/>
      </w:pPr>
      <w:r>
        <w:t xml:space="preserve">Finally, I would like to thank my family and close friends for their continuous support and encouragement. I would also like to thank my dog for patiently tolerating the postponed walks and for providing moments of balance and perspective throughout this journey.</w:t>
      </w:r>
    </w:p>
    <w:bookmarkEnd w:id="16"/>
    <w:bookmarkStart w:id="22" w:name="introduction"/>
    <w:p>
      <w:pPr>
        <w:pStyle w:val="Heading1"/>
      </w:pPr>
      <w:r>
        <w:t xml:space="preserve">Introduction</w:t>
      </w:r>
    </w:p>
    <w:bookmarkStart w:id="17" w:name="background-and-motivation"/>
    <w:p>
      <w:pPr>
        <w:pStyle w:val="Heading2"/>
      </w:pPr>
      <w:r>
        <w:t xml:space="preserve">Background and Motivation</w:t>
      </w:r>
    </w:p>
    <w:p>
      <w:pPr>
        <w:pStyle w:val="FirstParagraph"/>
      </w:pPr>
      <w:r>
        <w:t xml:space="preserve">Biomedical knowledge production has reached a scale that challenges conventional approaches to evidence access and synthesis. Clinicians, biomedical researchers, and applied data scientists routinely work in domains where relevant findings are distributed across large and constantly expanding publication streams </w:t>
      </w:r>
      <w:r>
        <w:t xml:space="preserve">(</w:t>
      </w:r>
      <w:r>
        <w:rPr>
          <w:b/>
          <w:bCs/>
        </w:rPr>
        <w:t xml:space="preserve">sayers2022eutilities?</w:t>
      </w:r>
      <w:r>
        <w:t xml:space="preserve">)</w:t>
      </w:r>
      <w:r>
        <w:t xml:space="preserve">. Under these conditions, the practical bottleneck is no longer simple document availability. The dominant challenge is the ability to identify relevant evidence, map it to a specific question, and preserve traceability between retrieved sources and generated analytical conclusions.</w:t>
      </w:r>
    </w:p>
    <w:p>
      <w:pPr>
        <w:pStyle w:val="BodyText"/>
      </w:pPr>
      <w:r>
        <w:t xml:space="preserve">Traditional keyword search systems remain valuable for broad exploration and bibliographic retrieval </w:t>
      </w:r>
      <w:r>
        <w:t xml:space="preserve">(</w:t>
      </w:r>
      <w:r>
        <w:rPr>
          <w:b/>
          <w:bCs/>
        </w:rPr>
        <w:t xml:space="preserve">fiorini2018bestmatch?</w:t>
      </w:r>
      <w:r>
        <w:t xml:space="preserve">)</w:t>
      </w:r>
      <w:r>
        <w:t xml:space="preserve">, but they tend to degrade when user intent is semantically rich, context dependent, or expressed in non-standard terminology. In biomedical settings, this limitation is amplified by terminological variation, evolving nomenclature, and heterogeneous reporting styles across journals and subdisciplines. A question phrased from a clinical perspective may require retrieval of evidence described with mechanistic terminology, and vice versa. As a result, lexical matching alone often produces either incomplete recall or noisy result sets that increase downstream interpretation cost.</w:t>
      </w:r>
    </w:p>
    <w:p>
      <w:pPr>
        <w:pStyle w:val="BodyText"/>
      </w:pPr>
      <w:r>
        <w:t xml:space="preserve">At the same time, standalone generative methods have introduced a second class of limitations. A model can produce fluent and coherent responses while remaining insufficiently anchored to verifiable evidence. For general-purpose tasks this may be acceptable in exploratory settings; for biomedical decision support it is not. Biomedical workflows require justifiable outputs, explicit provenance, and reproducible behavior under controlled conditions. Consequently, retrieval quality and generation quality cannot be evaluated independently if the system is intended for evidence-grounded use.</w:t>
      </w:r>
    </w:p>
    <w:p>
      <w:pPr>
        <w:pStyle w:val="BodyText"/>
      </w:pPr>
      <w:r>
        <w:t xml:space="preserve">Retrieval Augmented Generation (RAG) has emerged as a response to this gap by coupling retrieval and synthesis within a single inference pipeline </w:t>
      </w:r>
      <w:r>
        <w:t xml:space="preserve">(</w:t>
      </w:r>
      <w:r>
        <w:rPr>
          <w:b/>
          <w:bCs/>
        </w:rPr>
        <w:t xml:space="preserve">lewis2020rag?</w:t>
      </w:r>
      <w:r>
        <w:t xml:space="preserve">)</w:t>
      </w:r>
      <w:r>
        <w:t xml:space="preserve">. In this paradigm, the model response is conditioned on context retrieved at query time, rather than relying exclusively on parametric memory. This coupling creates a stronger basis for verifiability because candidate evidence can be inspected and linked to answer content. For biomedical informatics, this is a meaningful shift: it aligns computational response generation with core requirements of evidence-aware reasoning, source transparency, and update sensitivity.</w:t>
      </w:r>
    </w:p>
    <w:p>
      <w:pPr>
        <w:pStyle w:val="BodyText"/>
      </w:pPr>
      <w:r>
        <w:t xml:space="preserve">The motivation of this thesis is therefore not limited to building another search interface or another generative application. The central motivation is to define and evaluate a system architecture that can sustain continuous biomedical ingestion, semantically robust retrieval, and explicit evaluation of retrieval-generation behavior under reproducible experimental conditions. This motivation places architecture, operations, and evaluation methodology on equal footing. In this view, model quality is necessary but insufficient without lifecycle control and traceable measurement.</w:t>
      </w:r>
    </w:p>
    <w:bookmarkEnd w:id="17"/>
    <w:bookmarkStart w:id="18" w:name="problem-statement"/>
    <w:p>
      <w:pPr>
        <w:pStyle w:val="Heading2"/>
      </w:pPr>
      <w:r>
        <w:t xml:space="preserve">Problem Statement</w:t>
      </w:r>
    </w:p>
    <w:p>
      <w:pPr>
        <w:pStyle w:val="FirstParagraph"/>
      </w:pPr>
      <w:r>
        <w:t xml:space="preserve">This thesis addresses the integrated problem of continuous knowledge acquisition, structured indexing, and reproducible evaluation for biomedical question answering supported by retrieval augmentation. The emphasis on integration is essential. Each stage can be implemented in isolation, yet isolated optimization frequently produces systems that are difficult to validate, hard to compare, and fragile under operational change.</w:t>
      </w:r>
    </w:p>
    <w:p>
      <w:pPr>
        <w:pStyle w:val="BodyText"/>
      </w:pPr>
      <w:r>
        <w:t xml:space="preserve">The first dimension of the problem concerns knowledge freshness. Biomedical evidence changes continuously, and any static corpus—the collection of structured text documents used for retrieval—progressively diverges from current literature. A platform that cannot update systematically will eventually produce answers based on stale context, even when retrieval and generation components are individually strong. Freshness, therefore, is not a convenience feature; it is a validity requirement.</w:t>
      </w:r>
    </w:p>
    <w:p>
      <w:pPr>
        <w:pStyle w:val="BodyText"/>
      </w:pPr>
      <w:r>
        <w:t xml:space="preserve">The second dimension concerns representational suitability for retrieval. New documents must be transformed into indexable units that preserve enough semantic signal for meaningful nearest-neighbor retrieval while remaining computationally tractable. This requires decisions about document granularity, metadata retention, and update semantics. Inadequate representation introduces hidden bias into retrieval, which then propagates into synthesis quality.</w:t>
      </w:r>
    </w:p>
    <w:p>
      <w:pPr>
        <w:pStyle w:val="BodyText"/>
      </w:pPr>
      <w:r>
        <w:t xml:space="preserve">The third dimension concerns empirical validity. A system that produces compelling demonstrations but lacks reproducible evaluation procedures cannot support rigorous comparative analysis. Retrieval and generation behavior must be measured through repeatable experimental stages with preserved intermediate artifacts, so that observed performance can be interpreted as a property of the system configuration rather than an artifact of uncontrolled execution.</w:t>
      </w:r>
    </w:p>
    <w:p>
      <w:pPr>
        <w:pStyle w:val="BodyText"/>
      </w:pPr>
      <w:r>
        <w:t xml:space="preserve">Existing approaches commonly privilege one dimension at the expense of the others. Static retrieval systems tend to support stable indexing but offer limited mechanisms for continuous acquisition. Standalone generative systems can deliver fluent responses but weaken evidence accountability when retrieval grounding is absent or inconsistent. Ad hoc evaluation scripts may provide snapshots of performance but often fail to preserve sufficient process traceability for robust replication. The central research problem of this thesis is therefore architectural: how to design a biomedical platform that unifies continuous ingestion, retrieval-grounded synthesis, and reproducible evaluation without collapsing these requirements into disconnected tooling.</w:t>
      </w:r>
    </w:p>
    <w:bookmarkEnd w:id="18"/>
    <w:bookmarkStart w:id="19" w:name="research-objectives"/>
    <w:p>
      <w:pPr>
        <w:pStyle w:val="Heading2"/>
      </w:pPr>
      <w:r>
        <w:t xml:space="preserve">Research Objectives</w:t>
      </w:r>
    </w:p>
    <w:p>
      <w:pPr>
        <w:pStyle w:val="FirstParagraph"/>
      </w:pPr>
      <w:r>
        <w:t xml:space="preserve">The first objective is to design a modular biomedical RAG architecture that separates acquisition, retrieval, synthesis, and evaluation concerns while preserving explicit integration boundaries. Modularity is treated as a methodological objective rather than only a software engineering preference. It enables controlled replacement of components, supports clearer attribution of observed behavior, and reduces confounding effects during comparative experimentation.</w:t>
      </w:r>
    </w:p>
    <w:p>
      <w:pPr>
        <w:pStyle w:val="BodyText"/>
      </w:pPr>
      <w:r>
        <w:t xml:space="preserve">The second objective is to enable automated literature ingestion from PubMed through scheduled execution. This objective includes systematic handling of document identity through Digital Object Identifier (DOI) and PubMed Identifier (PMID) workflows, because identifier consistency directly affects deduplication, update tracking, and downstream reproducibility. Automated ingestion is framed here as a mechanism for maintaining evidence continuity, not merely as a convenience for operational automation.</w:t>
      </w:r>
    </w:p>
    <w:p>
      <w:pPr>
        <w:pStyle w:val="BodyText"/>
      </w:pPr>
      <w:r>
        <w:t xml:space="preserve">The third objective is to define a reproducible evaluation framework for both retrieval and generation behavior. This objective requires stage-level artifact production, explicit run organization, and metrics-oriented execution paths that allow reanalysis. The intent is to ensure that reported behavior can be interpreted through transparent process history rather than isolated endpoint measurements.</w:t>
      </w:r>
    </w:p>
    <w:p>
      <w:pPr>
        <w:pStyle w:val="BodyText"/>
      </w:pPr>
      <w:r>
        <w:t xml:space="preserve">The fourth objective is to support evidence-grounded question answering with configurable retrieval strategies, including Hypothetical Document Embeddings (HyDE) </w:t>
      </w:r>
      <w:r>
        <w:t xml:space="preserve">(</w:t>
      </w:r>
      <w:r>
        <w:rPr>
          <w:b/>
          <w:bCs/>
        </w:rPr>
        <w:t xml:space="preserve">gao2023hyde?</w:t>
      </w:r>
      <w:r>
        <w:t xml:space="preserve">)</w:t>
      </w:r>
      <w:r>
        <w:t xml:space="preserve">, while preserving observability of system behavior. This objective introduces a deliberate tradeoff: advanced retrieval augmentation can improve semantic recall in difficult queries, yet it may increase latency variance and dependence on additional generation steps. The thesis therefore treats configurability and measurement as inseparable.</w:t>
      </w:r>
    </w:p>
    <w:p>
      <w:pPr>
        <w:pStyle w:val="BodyText"/>
      </w:pPr>
      <w:r>
        <w:t xml:space="preserve">Collectively, these objectives prioritize scientific validity, reproducibility, and architectural clarity over isolated model-centric optimization. The expected outcome is a thesis-level research artifact in which design decisions can be connected to measurable system behavior with defensible methodological grounding.</w:t>
      </w:r>
    </w:p>
    <w:bookmarkEnd w:id="19"/>
    <w:bookmarkStart w:id="20" w:name="contributions-of-the-thesis"/>
    <w:p>
      <w:pPr>
        <w:pStyle w:val="Heading2"/>
      </w:pPr>
      <w:r>
        <w:t xml:space="preserve">Contributions of the Thesis</w:t>
      </w:r>
    </w:p>
    <w:p>
      <w:pPr>
        <w:pStyle w:val="FirstParagraph"/>
      </w:pPr>
      <w:r>
        <w:t xml:space="preserve">This thesis makes four principal contributions within the scope defined above. First, it contributes a system architecture for biomedical RAG that treats ingestion, retrieval, synthesis, and evaluation as coordinated subsystems rather than disconnected modules. The contribution is architectural: it specifies how component boundaries and interaction contracts can support both operational execution and research-grade analysis.</w:t>
      </w:r>
    </w:p>
    <w:p>
      <w:pPr>
        <w:pStyle w:val="BodyText"/>
      </w:pPr>
      <w:r>
        <w:t xml:space="preserve">Second, it contributes an automated scheduling approach for recurrent PubMed ingestion. This contribution operationalizes continuous acquisition and directly addresses corpus staleness as a structural risk in biomedical question answering. By integrating scheduling with downstream ingestion workflows, the thesis frames freshness management as an architectural responsibility.</w:t>
      </w:r>
    </w:p>
    <w:p>
      <w:pPr>
        <w:pStyle w:val="BodyText"/>
      </w:pPr>
      <w:r>
        <w:t xml:space="preserve">Third, it contributes a reproducible evaluation framework that structures retrieval and generation analysis into staged experimental pipelines. This contribution is methodological: it enables performance interpretation through preserved intermediate outputs and repeatable execution logic, thereby strengthening the internal validity of empirical conclusions.</w:t>
      </w:r>
    </w:p>
    <w:p>
      <w:pPr>
        <w:pStyle w:val="BodyText"/>
      </w:pPr>
      <w:r>
        <w:t xml:space="preserve">Fourth, it contributes an empirical analysis framework for evidence-grounded answer generation under realistic operational constraints. The contribution is not presented as a claim of universal superiority over alternative systems; rather, it provides a controlled basis for discussing how architectural choices influence retrieval behavior, synthesis quality, and reproducibility characteristics.</w:t>
      </w:r>
    </w:p>
    <w:p>
      <w:pPr>
        <w:pStyle w:val="BodyText"/>
      </w:pPr>
      <w:r>
        <w:t xml:space="preserve">Fifth, it introduces a repository-aware engineering process, materialized through an Engineering Wiki philosophy, that grounds development and documentation in verified repository artifacts. This ensures that architectural claims and evaluation metrics are directly traceable to the underlying configuration and implementation.</w:t>
      </w:r>
    </w:p>
    <w:p>
      <w:pPr>
        <w:pStyle w:val="BodyText"/>
      </w:pPr>
      <w:r>
        <w:t xml:space="preserve">These contributions are deliberately framed with conservative scope. The thesis does not claim to eliminate all limitations of biomedical question answering, nor does it claim generalization beyond the evaluated setup. Its contribution is a rigorously structured foundation for subsequent extension, replication, and comparative study.</w:t>
      </w:r>
    </w:p>
    <w:bookmarkEnd w:id="20"/>
    <w:bookmarkStart w:id="21" w:name="thesis-structure"/>
    <w:p>
      <w:pPr>
        <w:pStyle w:val="Heading2"/>
      </w:pPr>
      <w:r>
        <w:t xml:space="preserve">Thesis Structure</w:t>
      </w:r>
    </w:p>
    <w:p>
      <w:pPr>
        <w:pStyle w:val="FirstParagraph"/>
      </w:pPr>
      <w:r>
        <w:t xml:space="preserve">The remainder of the thesis is organized to move from conceptual grounding to architectural definition, then to implementation and empirical analysis. Chapter 2 reviews related literature and establishes the scientific context for retrieval-augmented biomedical question answering. It clarifies how existing retrieval and generation paradigms motivate the architectural direction adopted in this work.</w:t>
      </w:r>
    </w:p>
    <w:p>
      <w:pPr>
        <w:pStyle w:val="BodyText"/>
      </w:pPr>
      <w:r>
        <w:t xml:space="preserve">Chapter 3 presents the system architecture, including subsystem responsibilities, workflow design, and operational constraints. It explains why the platform is structured as coordinated services and how architectural tradeoffs are handled with respect to reproducibility, observability, and evidence grounding.</w:t>
      </w:r>
    </w:p>
    <w:p>
      <w:pPr>
        <w:pStyle w:val="BodyText"/>
      </w:pPr>
      <w:r>
        <w:t xml:space="preserve">Chapter 4 describes the configuration management strategy, highlighting how externalized configuration files and version locking support reproducibility and experimental control.</w:t>
      </w:r>
    </w:p>
    <w:p>
      <w:pPr>
        <w:pStyle w:val="BodyText"/>
      </w:pPr>
      <w:r>
        <w:t xml:space="preserve">Chapter 5 defines the experimental methodology. It specifies evaluation objectives, dataset protocols, and the reproducibility strategy, ensuring that empirical claims in later chapters can be interpreted within a transparent framework.</w:t>
      </w:r>
    </w:p>
    <w:p>
      <w:pPr>
        <w:pStyle w:val="BodyText"/>
      </w:pPr>
      <w:r>
        <w:t xml:space="preserve">Chapter 6 reports the implementation details of the architecture. This chapter maps conceptual components to concrete service behavior, focusing on retrieval logic, human-in-the-loop curation, and error handling.</w:t>
      </w:r>
    </w:p>
    <w:p>
      <w:pPr>
        <w:pStyle w:val="BodyText"/>
      </w:pPr>
      <w:r>
        <w:t xml:space="preserve">Chapter 7 provides the evaluation results, examining retrieval and generation behavior through the defined methodology. It relies on canonical artifacts to present quantitative metrics.</w:t>
      </w:r>
    </w:p>
    <w:p>
      <w:pPr>
        <w:pStyle w:val="BodyText"/>
      </w:pPr>
      <w:r>
        <w:t xml:space="preserve">Chapter 8 provides discussion, including implications for biomedical information access and system design. It connects empirical findings to broader methodological questions and architectural limitations.</w:t>
      </w:r>
    </w:p>
    <w:p>
      <w:pPr>
        <w:pStyle w:val="BodyText"/>
      </w:pPr>
      <w:r>
        <w:t xml:space="preserve">Chapter 9 concludes the thesis by summarizing the problem framing, contributions, and principal findings. It restates the significance of integrating continuous ingestion, retrieval-grounded synthesis, and reproducible evaluation in a single biomedical platform.</w:t>
      </w:r>
    </w:p>
    <w:p>
      <w:pPr>
        <w:pStyle w:val="BodyText"/>
      </w:pPr>
      <w:r>
        <w:t xml:space="preserve">Appendix A provides supplementary material covering repository structure, configuration and deployment excerpts, evaluation-pipeline details, Engineering Wiki, reproducibility notes, and the observed Label Studio export structure.</w:t>
      </w:r>
    </w:p>
    <w:p>
      <w:pPr>
        <w:pStyle w:val="BodyText"/>
      </w:pPr>
      <w:r>
        <w:t xml:space="preserve">This chapter progression is designed to preserve argumentative continuity: each chapter establishes prerequisites for the next, ensuring that final conclusions are grounded in explicit architectural reasoning and empirically traceable methodology.</w:t>
      </w:r>
    </w:p>
    <w:bookmarkEnd w:id="21"/>
    <w:bookmarkEnd w:id="22"/>
    <w:bookmarkStart w:id="30" w:name="background-and-related-work"/>
    <w:p>
      <w:pPr>
        <w:pStyle w:val="Heading1"/>
      </w:pPr>
      <w:r>
        <w:t xml:space="preserve">Background and Related Work</w:t>
      </w:r>
    </w:p>
    <w:bookmarkStart w:id="23" w:name="biomedical-information-retrieval"/>
    <w:p>
      <w:pPr>
        <w:pStyle w:val="Heading2"/>
      </w:pPr>
      <w:r>
        <w:t xml:space="preserve">Biomedical Information Retrieval</w:t>
      </w:r>
    </w:p>
    <w:p>
      <w:pPr>
        <w:pStyle w:val="FirstParagraph"/>
      </w:pPr>
      <w:r>
        <w:t xml:space="preserve">Biomedical information retrieval provides the evidence-access layer on which this thesis builds. Its purpose is to identify literature that can support a biomedical question while preserving enough provenance for later inspection. PubMed and the wider Entrez ecosystem provide a programmatic route into biomedical bibliographic data through the National Center for Biotechnology Information (NCBI) E-utilities, which support search and retrieval over databases including PubMed</w:t>
      </w:r>
      <w:r>
        <w:t xml:space="preserve"> </w:t>
      </w:r>
      <w:r>
        <w:t xml:space="preserve">(</w:t>
      </w:r>
      <w:r>
        <w:rPr>
          <w:b/>
          <w:bCs/>
        </w:rPr>
        <w:t xml:space="preserve">sayers2022eutilities?</w:t>
      </w:r>
      <w:r>
        <w:t xml:space="preserve">)</w:t>
      </w:r>
      <w:r>
        <w:t xml:space="preserve">. This matters for the present thesis because the implemented scheduler service and ingestion workflow depend on stable literature identifiers, especially Digital Object Identifiers (DOIs) and PubMed Identifiers (PMIDs), rather than treating documents as anonymous text fragments.</w:t>
      </w:r>
    </w:p>
    <w:p>
      <w:pPr>
        <w:pStyle w:val="BodyText"/>
      </w:pPr>
      <w:r>
        <w:t xml:space="preserve">Classical biomedical search is not a weak baseline. PubMed Best Match demonstrates that production biomedical retrieval can combine lexical candidate generation with learned reranking: its architecture first retrieves using BM25-style term weighting and then reranks candidates using LambdaMART learning-to-rank features</w:t>
      </w:r>
      <w:r>
        <w:t xml:space="preserve"> </w:t>
      </w:r>
      <w:r>
        <w:t xml:space="preserve">(</w:t>
      </w:r>
      <w:r>
        <w:rPr>
          <w:b/>
          <w:bCs/>
        </w:rPr>
        <w:t xml:space="preserve">fiorini2018bestmatch?</w:t>
      </w:r>
      <w:r>
        <w:t xml:space="preserve">)</w:t>
      </w:r>
      <w:r>
        <w:t xml:space="preserve">. This design is important because it separates candidate recall from final ranking quality. A RAG system that relies on dense vector retrieval makes a different representation choice, but it faces the same operational requirement: retrieve a sufficiently broad candidate pool, rank evidence effectively, and expose the top-ranked content under bounded latency and context-size constraints.</w:t>
      </w:r>
    </w:p>
    <w:p>
      <w:pPr>
        <w:pStyle w:val="BodyText"/>
      </w:pPr>
      <w:r>
        <w:t xml:space="preserve">Biomedical information retrieval also has a long benchmark tradition. BioASQ framed large-scale biomedical semantic indexing and question answering as a combined retrieval and synthesis problem over biomedical literature, with expert-created questions, retrieved snippets, and ideal answers</w:t>
      </w:r>
      <w:r>
        <w:t xml:space="preserve"> </w:t>
      </w:r>
      <w:r>
        <w:t xml:space="preserve">(</w:t>
      </w:r>
      <w:r>
        <w:rPr>
          <w:b/>
          <w:bCs/>
        </w:rPr>
        <w:t xml:space="preserve">tsatsaronis2015bioasq?</w:t>
      </w:r>
      <w:r>
        <w:t xml:space="preserve">)</w:t>
      </w:r>
      <w:r>
        <w:t xml:space="preserve">. The TREC Precision Medicine Track similarly emphasized retrieval for clinically structured cases, where evidence ranking must account for disease, gene, variant, and treatment relevance rather than superficial textual overlap</w:t>
      </w:r>
      <w:r>
        <w:t xml:space="preserve"> </w:t>
      </w:r>
      <w:r>
        <w:t xml:space="preserve">(</w:t>
      </w:r>
      <w:r>
        <w:rPr>
          <w:b/>
          <w:bCs/>
        </w:rPr>
        <w:t xml:space="preserve">roberts2020trecpm?</w:t>
      </w:r>
      <w:r>
        <w:t xml:space="preserve">)</w:t>
      </w:r>
      <w:r>
        <w:t xml:space="preserve">. These benchmark traditions justify evaluating retrieval as its own stage. If relevant evidence is absent from the retrieved context, no downstream generator can reliably recover the missing source.</w:t>
      </w:r>
    </w:p>
    <w:p>
      <w:pPr>
        <w:pStyle w:val="BodyText"/>
      </w:pPr>
      <w:r>
        <w:t xml:space="preserve">Recent biomedical retrieval work has moved beyond purely lexical matching. MedCPT trains contrastive biomedical retrievers and rerankers from large-scale PubMed search logs, showing that user-query and click behavior can support zero-shot biomedical information retrieval</w:t>
      </w:r>
      <w:r>
        <w:t xml:space="preserve"> </w:t>
      </w:r>
      <w:r>
        <w:t xml:space="preserve">(</w:t>
      </w:r>
      <w:r>
        <w:rPr>
          <w:b/>
          <w:bCs/>
        </w:rPr>
        <w:t xml:space="preserve">jin2023medcpt?</w:t>
      </w:r>
      <w:r>
        <w:t xml:space="preserve">)</w:t>
      </w:r>
      <w:r>
        <w:t xml:space="preserve">. BioBERT and related biomedical language models further demonstrate that domain-specific pretraining improves biomedical text understanding compared with general-domain language representations</w:t>
      </w:r>
      <w:r>
        <w:t xml:space="preserve"> </w:t>
      </w:r>
      <w:r>
        <w:t xml:space="preserve">(</w:t>
      </w:r>
      <w:r>
        <w:rPr>
          <w:b/>
          <w:bCs/>
        </w:rPr>
        <w:t xml:space="preserve">lee2020biobert?</w:t>
      </w:r>
      <w:r>
        <w:t xml:space="preserve">)</w:t>
      </w:r>
      <w:r>
        <w:t xml:space="preserve">. Sentence-transformer architectures provide the general dense embedding basis for semantic similarity search</w:t>
      </w:r>
      <w:r>
        <w:t xml:space="preserve"> </w:t>
      </w:r>
      <w:r>
        <w:t xml:space="preserve">(</w:t>
      </w:r>
      <w:r>
        <w:rPr>
          <w:b/>
          <w:bCs/>
        </w:rPr>
        <w:t xml:space="preserve">reimers2019sentencebert?</w:t>
      </w:r>
      <w:r>
        <w:t xml:space="preserve">)</w:t>
      </w:r>
      <w:r>
        <w:t xml:space="preserve">. These lines of work support the design choice in this repository to index biomedical text as embedded chunks in a vector database, while also making clear that the chosen embedding model, chunking policy, and ranking procedure are empirical design variables rather than neutral implementation details.</w:t>
      </w:r>
    </w:p>
    <w:p>
      <w:pPr>
        <w:pStyle w:val="BodyText"/>
      </w:pPr>
      <w:r>
        <w:t xml:space="preserve">For this thesis, the practical implication is that biomedical information retrieval must preserve three properties at the same time: semantic recall, provenance, and controlled ranking depth. PubMed-derived identifiers provide provenance; chunk-level indexing provides retrievability; and top-k limits prevent unbounded prompt growth. The literature therefore motivates a retrieval layer that is explicit enough to evaluate independently and structured enough to support answer-level citation.</w:t>
      </w:r>
    </w:p>
    <w:bookmarkEnd w:id="23"/>
    <w:bookmarkStart w:id="24" w:name="retrieval-augmented-generation"/>
    <w:p>
      <w:pPr>
        <w:pStyle w:val="Heading2"/>
      </w:pPr>
      <w:r>
        <w:t xml:space="preserve">Retrieval-Augmented Generation</w:t>
      </w:r>
    </w:p>
    <w:p>
      <w:pPr>
        <w:pStyle w:val="FirstParagraph"/>
      </w:pPr>
      <w:r>
        <w:t xml:space="preserve">Retrieval-Augmented Generation (RAG) couples a parametric language model with retrieved non-parametric evidence at inference time. Lewis et al. introduced this paradigm for knowledge-intensive natural language processing tasks, arguing that retrieved passages can improve factual specificity and provide an updateable memory external to the model parameters</w:t>
      </w:r>
      <w:r>
        <w:t xml:space="preserve"> </w:t>
      </w:r>
      <w:r>
        <w:t xml:space="preserve">(</w:t>
      </w:r>
      <w:r>
        <w:rPr>
          <w:b/>
          <w:bCs/>
        </w:rPr>
        <w:t xml:space="preserve">lewis2020rag?</w:t>
      </w:r>
      <w:r>
        <w:t xml:space="preserve">)</w:t>
      </w:r>
      <w:r>
        <w:t xml:space="preserve">. This distinction is central for biomedical work. Biomedical knowledge changes continuously, and relying only on a model’s parametric memory would make the system dependent on opaque training data and a fixed knowledge cutoff.</w:t>
      </w:r>
    </w:p>
    <w:p>
      <w:pPr>
        <w:pStyle w:val="BodyText"/>
      </w:pPr>
      <w:r>
        <w:t xml:space="preserve">In a biomedical setting, RAG is best understood as an evidence-conditioning architecture rather than as a guarantee of clinical correctness. The retrieval stage selects candidate evidence from the indexed corpus (the searchable collection of embedded document chunks); the synthesis stage generates an answer conditioned on the selected context; and citation handling links answer content back to retrieved sources. The implemented biomedical RAG service follows this pattern by separating ingestion, retrieval, and answer synthesis into distinct use cases. The architecture therefore aligns with the literature’s core motivation for RAG: explicit access to external evidence and clearer provenance than closed-book generation.</w:t>
      </w:r>
    </w:p>
    <w:p>
      <w:pPr>
        <w:pStyle w:val="BodyText"/>
      </w:pPr>
      <w:r>
        <w:t xml:space="preserve">Several medical RAG systems illustrate the same direction. Clinfo.ai uses scientific literature retrieval to answer medical questions and explicitly evaluates retrieval and synthesis behavior</w:t>
      </w:r>
      <w:r>
        <w:t xml:space="preserve"> </w:t>
      </w:r>
      <w:r>
        <w:t xml:space="preserve">(</w:t>
      </w:r>
      <w:r>
        <w:rPr>
          <w:b/>
          <w:bCs/>
        </w:rPr>
        <w:t xml:space="preserve">lozano2024clinfo?</w:t>
      </w:r>
      <w:r>
        <w:t xml:space="preserve">)</w:t>
      </w:r>
      <w:r>
        <w:t xml:space="preserve">. Almanac applies retrieval-augmented language modeling to clinical medicine and includes physician evaluation over clinical scenarios</w:t>
      </w:r>
      <w:r>
        <w:t xml:space="preserve"> </w:t>
      </w:r>
      <w:r>
        <w:t xml:space="preserve">(</w:t>
      </w:r>
      <w:r>
        <w:rPr>
          <w:b/>
          <w:bCs/>
        </w:rPr>
        <w:t xml:space="preserve">zakka2024almanac?</w:t>
      </w:r>
      <w:r>
        <w:t xml:space="preserve">)</w:t>
      </w:r>
      <w:r>
        <w:t xml:space="preserve">. Benchmarking Retrieval-Augmented Generation for Medicine introduces MIRAGE and the MedRAG toolkit to compare corpora, retrievers, and models across medical question answering datasets</w:t>
      </w:r>
      <w:r>
        <w:t xml:space="preserve"> </w:t>
      </w:r>
      <w:r>
        <w:t xml:space="preserve">(</w:t>
      </w:r>
      <w:r>
        <w:rPr>
          <w:b/>
          <w:bCs/>
        </w:rPr>
        <w:t xml:space="preserve">xiong2024benchmarking?</w:t>
      </w:r>
      <w:r>
        <w:t xml:space="preserve">)</w:t>
      </w:r>
      <w:r>
        <w:t xml:space="preserve">. These systems support the thesis position that biomedical RAG should be evaluated as a pipeline of interacting components, not only as a generated-answer interface.</w:t>
      </w:r>
    </w:p>
    <w:p>
      <w:pPr>
        <w:pStyle w:val="BodyText"/>
      </w:pPr>
      <w:r>
        <w:t xml:space="preserve">The literature also motivates configurable retrieval expansion. Hypothetical Document Embeddings (HyDE) generate a synthetic answer-like passage from the query and embed that generated text to retrieve semantically related documents without requiring relevance labels</w:t>
      </w:r>
      <w:r>
        <w:t xml:space="preserve"> </w:t>
      </w:r>
      <w:r>
        <w:t xml:space="preserve">(</w:t>
      </w:r>
      <w:r>
        <w:rPr>
          <w:b/>
          <w:bCs/>
        </w:rPr>
        <w:t xml:space="preserve">gao2023hyde?</w:t>
      </w:r>
      <w:r>
        <w:t xml:space="preserve">)</w:t>
      </w:r>
      <w:r>
        <w:t xml:space="preserve">. This is relevant to the repository because HyDE is implemented as an optional retrieval mode. Its expected benefit is improved recall for underspecified questions; its risk is expansion noise when the original biomedical query is already precise. This tradeoff appears in the thesis evaluation, where no-HyDE and HyDE configurations are compared rather than treating HyDE as a universally beneficial enhancement.</w:t>
      </w:r>
    </w:p>
    <w:bookmarkEnd w:id="24"/>
    <w:bookmarkStart w:id="25" w:name="biomedical-rag-challenges"/>
    <w:p>
      <w:pPr>
        <w:pStyle w:val="Heading2"/>
      </w:pPr>
      <w:r>
        <w:t xml:space="preserve">Biomedical RAG Challenges</w:t>
      </w:r>
    </w:p>
    <w:p>
      <w:pPr>
        <w:pStyle w:val="FirstParagraph"/>
      </w:pPr>
      <w:r>
        <w:t xml:space="preserve">Biomedical RAG inherits the difficulties of biomedical information retrieval and adds generation-specific risks. The first challenge is terminology. Biomedical questions often mix clinical language, mechanistic terminology, abbreviations, disease names, procedures, and outcome measures. A thrombosis-oriented question may refer to venous thromboembolism, deep vein thrombosis, pulmonary embolism, catheter failure, anticoagulation, or postoperative risk using different textual forms. Dense retrieval can reduce exact-term dependence, but it can also retrieve semantically nearby yet clinically misaligned evidence. This makes provenance-bearing metadata and post-retrieval evaluation essential.</w:t>
      </w:r>
    </w:p>
    <w:p>
      <w:pPr>
        <w:pStyle w:val="BodyText"/>
      </w:pPr>
      <w:r>
        <w:t xml:space="preserve">The second challenge is freshness. PubMed-based systems operate over a literature stream that changes continuously. Static corpora are easier to reproduce, but they become stale; continuously updated corpora are more current, but they require identifier tracking, deduplication, and run-level traceability. The scheduler service in this repository addresses this by separating acquisition from answer generation and by using DOI and PMID workflows to make ingestion outcomes inspectable. The literature on RAG in healthcare identifies up-to-date external evidence as one of the main motivations for RAG, while also emphasizing that healthcare RAG still lacks standardized evaluation and governance practices</w:t>
      </w:r>
      <w:r>
        <w:t xml:space="preserve"> </w:t>
      </w:r>
      <w:r>
        <w:t xml:space="preserve">(</w:t>
      </w:r>
      <w:r>
        <w:rPr>
          <w:b/>
          <w:bCs/>
        </w:rPr>
        <w:t xml:space="preserve">amugongo2025healthcarerag?</w:t>
      </w:r>
      <w:r>
        <w:t xml:space="preserve">)</w:t>
      </w:r>
      <w:r>
        <w:t xml:space="preserve">.</w:t>
      </w:r>
    </w:p>
    <w:p>
      <w:pPr>
        <w:pStyle w:val="BodyText"/>
      </w:pPr>
      <w:r>
        <w:t xml:space="preserve">The third challenge is grounding. A generated answer can be fluent, relevant, and still unsupported by the retrieved sources. Conversely, a response can be faithful to retrieved context that is incomplete, outdated, or not clinically authoritative. This distinction is especially important in medicine. Evaluations of medical RAG systems show improvements from retrieval in some clinical tasks, including anticoagulation-management questions, but also conclude that RAG-supported outputs remain insufficient for autonomous clinical use</w:t>
      </w:r>
      <w:r>
        <w:t xml:space="preserve"> </w:t>
      </w:r>
      <w:r>
        <w:t xml:space="preserve">(</w:t>
      </w:r>
      <w:r>
        <w:rPr>
          <w:b/>
          <w:bCs/>
        </w:rPr>
        <w:t xml:space="preserve">malik2024anticoagulationrag?</w:t>
      </w:r>
      <w:r>
        <w:t xml:space="preserve">)</w:t>
      </w:r>
      <w:r>
        <w:t xml:space="preserve">. Therefore, the thesis treats RAG outputs as evidence-grounded information artifacts, not as diagnostic or treatment recommendations.</w:t>
      </w:r>
    </w:p>
    <w:p>
      <w:pPr>
        <w:pStyle w:val="BodyText"/>
      </w:pPr>
      <w:r>
        <w:t xml:space="preserve">The fourth challenge is corpus granularity. Biomedical articles contain titles, abstracts, methods, results, discussion sections, and bibliographic metadata. Retrieval over entire documents can hide relevant passages; retrieval over very small fragments can lose context. The implemented system uses chunked indexing with preserved metadata so that retrieval can operate at chunk level while answers retain article-level provenance. This design follows the broader movement toward passage- and snippet-level biomedical retrieval seen in BioASQ and related systems, while keeping the implementation bounded enough for MSc-level evaluation.</w:t>
      </w:r>
    </w:p>
    <w:bookmarkEnd w:id="25"/>
    <w:bookmarkStart w:id="26" w:name="evaluation-of-rag-systems"/>
    <w:p>
      <w:pPr>
        <w:pStyle w:val="Heading2"/>
      </w:pPr>
      <w:r>
        <w:t xml:space="preserve">Evaluation of RAG Systems</w:t>
      </w:r>
    </w:p>
    <w:p>
      <w:pPr>
        <w:pStyle w:val="FirstParagraph"/>
      </w:pPr>
      <w:r>
        <w:t xml:space="preserve">RAG evaluation must be decomposed because retrieval failure, grounding failure, and task-output failure are different phenomena. Retrieval metrics such as normalized discounted cumulative gain, precision at k, recall at k, and mean reciprocal rank measure whether relevant sources are ranked highly enough to enter the answer context. Normalized discounted cumulative gain is particularly appropriate when relevance is graded because it rewards ranking more useful evidence earlier</w:t>
      </w:r>
      <w:r>
        <w:t xml:space="preserve"> </w:t>
      </w:r>
      <w:r>
        <w:t xml:space="preserve">(</w:t>
      </w:r>
      <w:r>
        <w:rPr>
          <w:b/>
          <w:bCs/>
        </w:rPr>
        <w:t xml:space="preserve">jarvelin2002ndcg?</w:t>
      </w:r>
      <w:r>
        <w:t xml:space="preserve">)</w:t>
      </w:r>
      <w:r>
        <w:t xml:space="preserve">. BEIR reinforces the need to test retrieval systems across heterogeneous tasks rather than relying on a single narrow benchmark</w:t>
      </w:r>
      <w:r>
        <w:t xml:space="preserve"> </w:t>
      </w:r>
      <w:r>
        <w:t xml:space="preserve">(</w:t>
      </w:r>
      <w:r>
        <w:rPr>
          <w:b/>
          <w:bCs/>
        </w:rPr>
        <w:t xml:space="preserve">thakur2021beir?</w:t>
      </w:r>
      <w:r>
        <w:t xml:space="preserve">)</w:t>
      </w:r>
      <w:r>
        <w:t xml:space="preserve">. In the biomedical domain, BioASQ and PubMedQA further show that biomedical question answering requires evidence selection and answer evaluation over biomedical abstracts and expert-derived labels</w:t>
      </w:r>
      <w:r>
        <w:t xml:space="preserve"> </w:t>
      </w:r>
      <w:r>
        <w:t xml:space="preserve">(</w:t>
      </w:r>
      <w:r>
        <w:rPr>
          <w:b/>
          <w:bCs/>
        </w:rPr>
        <w:t xml:space="preserve">tsatsaronis2015bioasq?</w:t>
      </w:r>
      <w:r>
        <w:t xml:space="preserve">;</w:t>
      </w:r>
      <w:r>
        <w:t xml:space="preserve"> </w:t>
      </w:r>
      <w:r>
        <w:rPr>
          <w:b/>
          <w:bCs/>
        </w:rPr>
        <w:t xml:space="preserve">jin2019pubmedqa?</w:t>
      </w:r>
      <w:r>
        <w:t xml:space="preserve">)</w:t>
      </w:r>
      <w:r>
        <w:t xml:space="preserve">.</w:t>
      </w:r>
    </w:p>
    <w:p>
      <w:pPr>
        <w:pStyle w:val="BodyText"/>
      </w:pPr>
      <w:r>
        <w:t xml:space="preserve">Answer-level evaluation adds a separate layer. RAGAS proposes reference-free metrics for RAG pipelines, including faithfulness, answer relevancy, and context precision</w:t>
      </w:r>
      <w:r>
        <w:t xml:space="preserve"> </w:t>
      </w:r>
      <w:r>
        <w:t xml:space="preserve">(</w:t>
      </w:r>
      <w:r>
        <w:rPr>
          <w:b/>
          <w:bCs/>
        </w:rPr>
        <w:t xml:space="preserve">es2024ragas?</w:t>
      </w:r>
      <w:r>
        <w:t xml:space="preserve">)</w:t>
      </w:r>
      <w:r>
        <w:t xml:space="preserve">. These metrics match the evaluation subsystem in this repository: answer relevancy assesses whether the response addresses the question, faithfulness estimates whether answer claims are supported by retrieved contexts, and context precision estimates whether retrieved contexts are useful for the answer. However, these metrics should not be interpreted as biomedical truth verification. They diagnose grounding behavior relative to supplied context.</w:t>
      </w:r>
    </w:p>
    <w:p>
      <w:pPr>
        <w:pStyle w:val="BodyText"/>
      </w:pPr>
      <w:r>
        <w:t xml:space="preserve">Other RAG evaluation frameworks support this decomposition. ARES evaluates context relevance, answer faithfulness, and answer relevance using synthetic data and smaller human-labeled validation sets</w:t>
      </w:r>
      <w:r>
        <w:t xml:space="preserve"> </w:t>
      </w:r>
      <w:r>
        <w:t xml:space="preserve">(</w:t>
      </w:r>
      <w:r>
        <w:rPr>
          <w:b/>
          <w:bCs/>
        </w:rPr>
        <w:t xml:space="preserve">saadfalcon2024ares?</w:t>
      </w:r>
      <w:r>
        <w:t xml:space="preserve">)</w:t>
      </w:r>
      <w:r>
        <w:t xml:space="preserve">. RAGChecker argues for fine-grained diagnosis of retrieval and generation modules instead of a single aggregate RAG score</w:t>
      </w:r>
      <w:r>
        <w:t xml:space="preserve"> </w:t>
      </w:r>
      <w:r>
        <w:t xml:space="preserve">(</w:t>
      </w:r>
      <w:r>
        <w:rPr>
          <w:b/>
          <w:bCs/>
        </w:rPr>
        <w:t xml:space="preserve">ru2024ragchecker?</w:t>
      </w:r>
      <w:r>
        <w:t xml:space="preserve">)</w:t>
      </w:r>
      <w:r>
        <w:t xml:space="preserve">. These frameworks support the phase-based evaluation design used in this thesis, where answer generation is materialized before scoring and where retrieval, RAGAS, audit, and extraction phases can be inspected separately.</w:t>
      </w:r>
    </w:p>
    <w:p>
      <w:pPr>
        <w:pStyle w:val="BodyText"/>
      </w:pPr>
      <w:r>
        <w:t xml:space="preserve">For thrombosis-oriented questions, task-specific extraction metrics are also needed. A response may be grounded and relevant but still miss a risk factor or add one unsupported by the reference set. The evaluation subsystem therefore includes risk-factor extraction analysis with precision, recall, and F1 over a closed canonical vocabulary. This aligns with biomedical NLP practice, where extraction tasks are usually evaluated against curated labels rather than only against free-form textual impressions.</w:t>
      </w:r>
    </w:p>
    <w:bookmarkEnd w:id="26"/>
    <w:bookmarkStart w:id="27" w:name="human-validation-workflows"/>
    <w:p>
      <w:pPr>
        <w:pStyle w:val="Heading2"/>
      </w:pPr>
      <w:r>
        <w:t xml:space="preserve">Human Validation Workflows</w:t>
      </w:r>
    </w:p>
    <w:p>
      <w:pPr>
        <w:pStyle w:val="FirstParagraph"/>
      </w:pPr>
      <w:r>
        <w:t xml:space="preserve">Human validation is a methodological requirement in biomedical NLP because gold-standard labels are rarely self-evident. Deleger et al. describe gold-standard corpus construction for medical NLP using double annotation, consensus, and inter-annotator agreement measurement</w:t>
      </w:r>
      <w:r>
        <w:t xml:space="preserve"> </w:t>
      </w:r>
      <w:r>
        <w:t xml:space="preserve">(</w:t>
      </w:r>
      <w:r>
        <w:rPr>
          <w:b/>
          <w:bCs/>
        </w:rPr>
        <w:t xml:space="preserve">deleger2012goldcorpora?</w:t>
      </w:r>
      <w:r>
        <w:t xml:space="preserve">)</w:t>
      </w:r>
      <w:r>
        <w:t xml:space="preserve">. Risk-factor extraction work in the i2b2/UTHealth shared task operationalized clinically meaningful labels such as diabetes, coronary artery disease, hypertension, hyperlipidemia, obesity, smoking, and family history, showing how explicit annotation schemas support reproducible extraction evaluation</w:t>
      </w:r>
      <w:r>
        <w:t xml:space="preserve"> </w:t>
      </w:r>
      <w:r>
        <w:t xml:space="preserve">(</w:t>
      </w:r>
      <w:r>
        <w:rPr>
          <w:b/>
          <w:bCs/>
        </w:rPr>
        <w:t xml:space="preserve">stubbs2015i2b2risk?</w:t>
      </w:r>
      <w:r>
        <w:t xml:space="preserve">)</w:t>
      </w:r>
      <w:r>
        <w:t xml:space="preserve">. Stubbs and Uzuner further demonstrate risk-factor annotation with medically trained annotators and majority-vote gold standards</w:t>
      </w:r>
      <w:r>
        <w:t xml:space="preserve"> </w:t>
      </w:r>
      <w:r>
        <w:t xml:space="preserve">(</w:t>
      </w:r>
      <w:r>
        <w:rPr>
          <w:b/>
          <w:bCs/>
        </w:rPr>
        <w:t xml:space="preserve">stubbs2015riskannotation?</w:t>
      </w:r>
      <w:r>
        <w:t xml:space="preserve">)</w:t>
      </w:r>
      <w:r>
        <w:t xml:space="preserve">.</w:t>
      </w:r>
    </w:p>
    <w:p>
      <w:pPr>
        <w:pStyle w:val="BodyText"/>
      </w:pPr>
      <w:r>
        <w:t xml:space="preserve">Human-in-the-loop workflows can also improve annotation efficiency without removing human responsibility. Neveol et al. found that semi-automatic semantic annotation of PubMed queries reduced manual effort while preserving or improving annotation quality</w:t>
      </w:r>
      <w:r>
        <w:t xml:space="preserve"> </w:t>
      </w:r>
      <w:r>
        <w:t xml:space="preserve">(</w:t>
      </w:r>
      <w:r>
        <w:rPr>
          <w:b/>
          <w:bCs/>
        </w:rPr>
        <w:t xml:space="preserve">neveol2011semiannotation?</w:t>
      </w:r>
      <w:r>
        <w:t xml:space="preserve">)</w:t>
      </w:r>
      <w:r>
        <w:t xml:space="preserve">. This motivates a pragmatic thesis workflow: software can prepare candidate tasks, normalize metadata, and structure exports, while human review remains responsible for judging label meaning and evidence adequacy.</w:t>
      </w:r>
    </w:p>
    <w:p>
      <w:pPr>
        <w:pStyle w:val="BodyText"/>
      </w:pPr>
      <w:r>
        <w:t xml:space="preserve">The repository uses Label Studio as a curation surface, with supporting tools that transform biomedical abstract collections into review tasks and export reviewed annotations for downstream processing. Label Studio is general-purpose labeling software rather than biomedical validation evidence</w:t>
      </w:r>
      <w:r>
        <w:t xml:space="preserve"> </w:t>
      </w:r>
      <w:r>
        <w:t xml:space="preserve">(</w:t>
      </w:r>
      <w:r>
        <w:rPr>
          <w:b/>
          <w:bCs/>
        </w:rPr>
        <w:t xml:space="preserve">tkachenko2020labelstudio?</w:t>
      </w:r>
      <w:r>
        <w:t xml:space="preserve">)</w:t>
      </w:r>
      <w:r>
        <w:t xml:space="preserve">; its value here is operational. It provides a traceable interface for human review, while repository tooling preserves DOI, PMID, title, abstract, and annotation fields for evaluation. The current thesis therefore treats curated labels as a reproducible reference substrate, not as a fully adjudicated clinical gold standard.</w:t>
      </w:r>
    </w:p>
    <w:p>
      <w:pPr>
        <w:pStyle w:val="BodyText"/>
      </w:pPr>
      <w:r>
        <w:t xml:space="preserve">This boundary is important. Human validation in the thesis supports literature curation and evaluation of risk-factor extraction behavior. It does not establish prospective clinical safety, clinician workflow benefit, or treatment validity. Those claims would require a different study design, domain-expert adjudication protocol, and clinical evaluation setting.</w:t>
      </w:r>
    </w:p>
    <w:bookmarkEnd w:id="27"/>
    <w:bookmarkStart w:id="28" w:name="local-llm-deployment-considerations"/>
    <w:p>
      <w:pPr>
        <w:pStyle w:val="Heading2"/>
      </w:pPr>
      <w:r>
        <w:t xml:space="preserve">Local LLM Deployment Considerations</w:t>
      </w:r>
    </w:p>
    <w:p>
      <w:pPr>
        <w:pStyle w:val="FirstParagraph"/>
      </w:pPr>
      <w:r>
        <w:t xml:space="preserve">Local LLM deployment is relevant to biomedical RAG for privacy, reproducibility, and operational control. Healthcare studies have explored local or privacy-preserving LLM pipelines for clinical text review and information retrieval. Vaid et al. used a local open-source LLM with retrieval over historic echocardiogram reports, showing that local deployment can support clinician-facing retrieval tasks while still producing errors that require validation</w:t>
      </w:r>
      <w:r>
        <w:t xml:space="preserve"> </w:t>
      </w:r>
      <w:r>
        <w:t xml:space="preserve">(</w:t>
      </w:r>
      <w:r>
        <w:rPr>
          <w:b/>
          <w:bCs/>
        </w:rPr>
        <w:t xml:space="preserve">vaid2024local?</w:t>
      </w:r>
      <w:r>
        <w:t xml:space="preserve">)</w:t>
      </w:r>
      <w:r>
        <w:t xml:space="preserve">. Wiest et al. similarly evaluated privacy-preserving LLM use for structured medical information retrieval, demonstrating the feasibility of local clinical text extraction while comparing model outputs against expert-derived references</w:t>
      </w:r>
      <w:r>
        <w:t xml:space="preserve"> </w:t>
      </w:r>
      <w:r>
        <w:t xml:space="preserve">(</w:t>
      </w:r>
      <w:r>
        <w:rPr>
          <w:b/>
          <w:bCs/>
        </w:rPr>
        <w:t xml:space="preserve">wiest2024privacyllm?</w:t>
      </w:r>
      <w:r>
        <w:t xml:space="preserve">)</w:t>
      </w:r>
      <w:r>
        <w:t xml:space="preserve">.</w:t>
      </w:r>
    </w:p>
    <w:p>
      <w:pPr>
        <w:pStyle w:val="BodyText"/>
      </w:pPr>
      <w:r>
        <w:t xml:space="preserve">Local deployment does not by itself make a system safe. Reviews of LLMs in medicine emphasize hallucination, bias, validation, and governance risks</w:t>
      </w:r>
      <w:r>
        <w:t xml:space="preserve"> </w:t>
      </w:r>
      <w:r>
        <w:t xml:space="preserve">(</w:t>
      </w:r>
      <w:r>
        <w:rPr>
          <w:b/>
          <w:bCs/>
        </w:rPr>
        <w:t xml:space="preserve">thirunavukarasu2023llmmedicine?</w:t>
      </w:r>
      <w:r>
        <w:t xml:space="preserve">)</w:t>
      </w:r>
      <w:r>
        <w:t xml:space="preserve">. Open medical LLM deployment also requires transparent model provenance, version control, and auditable update processes</w:t>
      </w:r>
      <w:r>
        <w:t xml:space="preserve"> </w:t>
      </w:r>
      <w:r>
        <w:t xml:space="preserve">(</w:t>
      </w:r>
      <w:r>
        <w:rPr>
          <w:b/>
          <w:bCs/>
        </w:rPr>
        <w:t xml:space="preserve">riedemann2024openmedicine?</w:t>
      </w:r>
      <w:r>
        <w:t xml:space="preserve">)</w:t>
      </w:r>
      <w:r>
        <w:t xml:space="preserve">. This is directly relevant to the repository’s use of a locally served Llama 3.1 8B model through Ollama. The model choice supports offline experimentation and avoids sending prompts to an external model provider, but it also constrains generation quality, hardware behavior, and reproducibility.</w:t>
      </w:r>
    </w:p>
    <w:p>
      <w:pPr>
        <w:pStyle w:val="BodyText"/>
      </w:pPr>
      <w:r>
        <w:t xml:space="preserve">The reproducibility boundary for local LLMs is therefore broader than the model name. A reproducible run should record the model family, model tag or digest, quantization, context length, temperature, seed where supported, prompt template, embedding model, vector index state, and corpus snapshot. The Llama 3 model report describes the model family and release context</w:t>
      </w:r>
      <w:r>
        <w:t xml:space="preserve"> </w:t>
      </w:r>
      <w:r>
        <w:t xml:space="preserve">(</w:t>
      </w:r>
      <w:r>
        <w:rPr>
          <w:b/>
          <w:bCs/>
        </w:rPr>
        <w:t xml:space="preserve">dubey2024llama3?</w:t>
      </w:r>
      <w:r>
        <w:t xml:space="preserve">)</w:t>
      </w:r>
      <w:r>
        <w:t xml:space="preserve">; however, a local quantized runtime is still a specific deployment artifact. In addition, local execution reduces third-party data transfer but does not eliminate privacy risk: language models can memorize and emit training data under some conditions</w:t>
      </w:r>
      <w:r>
        <w:t xml:space="preserve"> </w:t>
      </w:r>
      <w:r>
        <w:t xml:space="preserve">(</w:t>
      </w:r>
      <w:r>
        <w:rPr>
          <w:b/>
          <w:bCs/>
        </w:rPr>
        <w:t xml:space="preserve">carlini2021extracting?</w:t>
      </w:r>
      <w:r>
        <w:t xml:space="preserve">)</w:t>
      </w:r>
      <w:r>
        <w:t xml:space="preserve">. For this thesis, the appropriate claim is therefore conservative: local deployment improves control and auditability for research evaluation, but it is not a substitute for governance, access control, or clinical validation.</w:t>
      </w:r>
    </w:p>
    <w:bookmarkEnd w:id="28"/>
    <w:bookmarkStart w:id="29" w:name="research-gaps-and-thesis-positioning"/>
    <w:p>
      <w:pPr>
        <w:pStyle w:val="Heading2"/>
      </w:pPr>
      <w:r>
        <w:t xml:space="preserve">Research Gaps and Thesis Positioning</w:t>
      </w:r>
    </w:p>
    <w:p>
      <w:pPr>
        <w:pStyle w:val="FirstParagraph"/>
      </w:pPr>
      <w:r>
        <w:t xml:space="preserve">The reviewed literature establishes mature foundations for biomedical retrieval, RAG, biomedical QA evaluation, annotation workflows, and local LLM deployment. The gap addressed by this thesis is not the invention of a new biomedical language model or a new clinical benchmark. Instead, the thesis targets the integration problem: how to combine continuous PubMed-oriented acquisition, chunked vector indexing, evidence-grounded synthesis, human curation, and reproducible evaluation in one repository-grounded research artifact.</w:t>
      </w:r>
    </w:p>
    <w:p>
      <w:pPr>
        <w:pStyle w:val="BodyText"/>
      </w:pPr>
      <w:r>
        <w:t xml:space="preserve">Existing biomedical IR benchmarks motivate rigorous retrieval evaluation, but they do not by themselves define an operational ingestion architecture. Medical RAG systems demonstrate the value of retrieved evidence, but they often differ in corpora, retrievers, models, and evaluation protocols, making direct comparison difficult. RAG evaluation frameworks provide useful grounding diagnostics, but they do not verify biomedical correctness. Human validation workflows create more credible reference data, but they require explicit schema design and annotation governance. Local LLM deployment improves control, but it introduces model-version and resource constraints.</w:t>
      </w:r>
    </w:p>
    <w:p>
      <w:pPr>
        <w:pStyle w:val="BodyText"/>
      </w:pPr>
      <w:r>
        <w:t xml:space="preserve">This thesis is positioned at the intersection of these gaps. Its contribution is an evidence-aware biomedical RAG platform and evaluation workflow for thrombosis-oriented literature questions. The platform is intentionally modular: the biomedical RAG service owns ingestion, retrieval, and synthesis; the scheduler service owns continuous literature acquisition; the evaluation subsystem owns phase-based measurement; and the Label Studio workflow supports curated reference artifacts. This positioning keeps the thesis claims defensible. The work evaluates a concrete system configuration under documented constraints, rather than claiming general clinical validity or universal superiority over other biomedical RAG architectures.</w:t>
      </w:r>
    </w:p>
    <w:bookmarkEnd w:id="29"/>
    <w:bookmarkEnd w:id="30"/>
    <w:bookmarkStart w:id="49" w:name="system-architecture"/>
    <w:p>
      <w:pPr>
        <w:pStyle w:val="Heading1"/>
      </w:pPr>
      <w:r>
        <w:t xml:space="preserve">System Architecture</w:t>
      </w:r>
    </w:p>
    <w:bookmarkStart w:id="31" w:name="context-and-architectural-scope"/>
    <w:p>
      <w:pPr>
        <w:pStyle w:val="Heading2"/>
      </w:pPr>
      <w:r>
        <w:t xml:space="preserve">Context and Architectural Scope</w:t>
      </w:r>
    </w:p>
    <w:p>
      <w:pPr>
        <w:pStyle w:val="FirstParagraph"/>
      </w:pPr>
      <w:r>
        <w:t xml:space="preserve">This chapter defines the architecture of a platform that must support both continuous biomedical evidence acquisition and grounded analytical responses for thrombosis-oriented information needs. The architectural problem is not only to retrieve relevant literature, but to couple retrieval quality with lifecycle control, operational transparency, and experiment reproducibility. For this reason, the system is scoped as an integrated architecture rather than a single question answering service.</w:t>
      </w:r>
    </w:p>
    <w:p>
      <w:pPr>
        <w:pStyle w:val="BodyText"/>
      </w:pPr>
      <w:r>
        <w:t xml:space="preserve">The platform is organized as three cooperating subsystems: a Biomedical Retrieval Augmented Generation (RAG) service </w:t>
      </w:r>
      <w:r>
        <w:t xml:space="preserve">(</w:t>
      </w:r>
      <w:r>
        <w:rPr>
          <w:b/>
          <w:bCs/>
        </w:rPr>
        <w:t xml:space="preserve">lewis2020rag?</w:t>
      </w:r>
      <w:r>
        <w:t xml:space="preserve">)</w:t>
      </w:r>
      <w:r>
        <w:t xml:space="preserve">, a PubMed scheduler service, and an evaluation subsystem used to execute comparative experiments. This scope establishes a full path from literature acquisition, to indexing and retrieval, to measured experimental outputs.</w:t>
      </w:r>
    </w:p>
    <w:p>
      <w:pPr>
        <w:pStyle w:val="BodyText"/>
      </w:pPr>
      <w:r>
        <w:t xml:space="preserve">This scope also establishes a separation between online inference concerns and experimental concerns. The biomedical RAG service is optimized for serving bounded-latency retrieval and synthesis requests, whereas the evaluation subsystem is designed to run multi-stage analyses that may be computationally intensive and asynchronous. The scheduler service bridges these two temporal scales by injecting new evidence into the retrieval corpus without requiring direct synchronization with user query timing.</w:t>
      </w:r>
    </w:p>
    <w:p>
      <w:pPr>
        <w:pStyle w:val="BodyText"/>
      </w:pPr>
      <w:r>
        <w:t xml:space="preserve">At repository level, this architecture is reflected in a monorepo with explicit subsystem boundaries. The biomedical RAG service and scheduler service are implemented as independent API applications with their own application and persistence lifecycles, the evaluation subsystem is implemented as a phase-oriented command-line pipeline, and the LLM server stack is separated as deployment infrastructure for model hosting. This organization expresses a deliberate architectural approach in which serving, orchestration, evaluation, and model-hosting responsibilities remain distinct while interoperating through explicit API contracts.</w:t>
      </w:r>
    </w:p>
    <w:p>
      <w:pPr>
        <w:pStyle w:val="BodyText"/>
      </w:pPr>
      <w:r>
        <w:t xml:space="preserve">The architectural implication of this monorepo structure is controlled evolution. Subsystems can evolve at different rates without forcing tightly coupled release behavior, while shared evaluation contracts preserve comparability across runs. In practice, this supports maintainability by localizing change impact and supports reproducibility by preserving stable boundaries between acquisition, retrieval, and evaluation concerns.</w:t>
      </w:r>
    </w:p>
    <w:bookmarkEnd w:id="31"/>
    <w:bookmarkStart w:id="32" w:name="architectural-drivers-and-constraints"/>
    <w:p>
      <w:pPr>
        <w:pStyle w:val="Heading2"/>
      </w:pPr>
      <w:r>
        <w:t xml:space="preserve">Architectural Drivers and Constraints</w:t>
      </w:r>
    </w:p>
    <w:p>
      <w:pPr>
        <w:pStyle w:val="FirstParagraph"/>
      </w:pPr>
      <w:r>
        <w:t xml:space="preserve">The dominant architectural driver is reproducibility. System behavior must be inspectable through explicit job states, persistent run records, and staged evaluation artifacts so that observed performance can be interpreted as the result of identifiable processing decisions. This requirement motivates asynchronous job orchestration and explicit persistence of both operational and experimental outputs.</w:t>
      </w:r>
    </w:p>
    <w:p>
      <w:pPr>
        <w:pStyle w:val="BodyText"/>
      </w:pPr>
      <w:r>
        <w:t xml:space="preserve">A second driver is traceability across subsystem boundaries. Scheduler decisions, ingestion outcomes, and retrieval outputs must remain linkable so that failure analysis and evaluation interpretation can be performed without implicit assumptions. The architecture therefore favors explicit state transitions and structured interfaces over opaque internal coupling.</w:t>
      </w:r>
    </w:p>
    <w:p>
      <w:pPr>
        <w:pStyle w:val="BodyText"/>
      </w:pPr>
      <w:r>
        <w:t xml:space="preserve">External dependency constraints are also central. The platform depends on remote biomedical data services, vector infrastructure, and generation infrastructure; consequently, readiness semantics, timeout handling, and controlled retry behavior are architectural requirements rather than implementation details. The tradeoff is additional operational complexity in exchange for bounded failure behavior.</w:t>
      </w:r>
    </w:p>
    <w:p>
      <w:pPr>
        <w:pStyle w:val="BodyText"/>
      </w:pPr>
      <w:r>
        <w:t xml:space="preserve">Queue capacity and worker parallelism are additional constraints that influence ingestion throughput and failure handling semantics. The architecture therefore includes explicit backpressure behavior and retry-after signaling assumptions, so that ingestion acceptance remains predictable under bursty workloads. This choice constrains unbounded resource growth and supports operational stability, while making ingestion completion latency variable under load.</w:t>
      </w:r>
    </w:p>
    <w:bookmarkEnd w:id="32"/>
    <w:bookmarkStart w:id="38" w:name="high-level-architecture"/>
    <w:p>
      <w:pPr>
        <w:pStyle w:val="Heading2"/>
      </w:pPr>
      <w:r>
        <w:t xml:space="preserve">High Level Architecture</w:t>
      </w:r>
    </w:p>
    <w:p>
      <w:pPr>
        <w:pStyle w:val="FirstParagraph"/>
      </w:pPr>
      <w:r>
        <w:t xml:space="preserve">At the system level, the architecture separates acquisition, retrieval, and evaluation concerns into distinct services with explicit interfaces. The biomedical RAG service exposes ingestion, retrieval, synthesis, and document management capabilities through an Application Programming Interface (API). The scheduler service governs periodic and manual acquisition workflows. The evaluation subsystem executes phase-based pipelines that query the API and materialize experiment artifacts.</w:t>
      </w:r>
    </w:p>
    <w:bookmarkStart w:id="36" w:name="fig:architecture-high-level"/>
    <w:p>
      <w:pPr>
        <w:pStyle w:val="CaptionedFigure"/>
      </w:pPr>
      <w:r>
        <w:drawing>
          <wp:inline>
            <wp:extent cx="4800600" cy="5366300"/>
            <wp:effectExtent b="0" l="0" r="0" t="0"/>
            <wp:docPr descr="" title="" id="34" name="Picture"/>
            <a:graphic>
              <a:graphicData uri="http://schemas.openxmlformats.org/drawingml/2006/picture">
                <pic:pic>
                  <pic:nvPicPr>
                    <pic:cNvPr descr="resources/images/HLD.pdf" id="35" name="Picture"/>
                    <pic:cNvPicPr>
                      <a:picLocks noChangeArrowheads="1" noChangeAspect="1"/>
                    </pic:cNvPicPr>
                  </pic:nvPicPr>
                  <pic:blipFill>
                    <a:blip r:embed="rId33"/>
                    <a:stretch>
                      <a:fillRect/>
                    </a:stretch>
                  </pic:blipFill>
                  <pic:spPr bwMode="auto">
                    <a:xfrm>
                      <a:off x="0" y="0"/>
                      <a:ext cx="4800600" cy="5366300"/>
                    </a:xfrm>
                    <a:prstGeom prst="rect">
                      <a:avLst/>
                    </a:prstGeom>
                    <a:noFill/>
                    <a:ln w="9525">
                      <a:noFill/>
                      <a:headEnd/>
                      <a:tailEnd/>
                    </a:ln>
                  </pic:spPr>
                </pic:pic>
              </a:graphicData>
            </a:graphic>
          </wp:inline>
        </w:drawing>
      </w:r>
    </w:p>
    <w:p>
      <w:pPr>
        <w:pStyle w:val="ImageCaption"/>
      </w:pPr>
      <w:r>
        <w:t xml:space="preserve">High level architecture of the platform.</w:t>
      </w:r>
    </w:p>
    <w:bookmarkEnd w:id="36"/>
    <w:p>
      <w:pPr>
        <w:pStyle w:val="BodyText"/>
      </w:pPr>
      <w:r>
        <w:t xml:space="preserve">Figure </w:t>
      </w:r>
      <w:hyperlink w:anchor="fig:architecture-high-level">
        <w:r>
          <w:rPr>
            <w:rStyle w:val="Hyperlink"/>
          </w:rPr>
          <w:t xml:space="preserve">3.1</w:t>
        </w:r>
      </w:hyperlink>
      <w:r>
        <w:t xml:space="preserve"> </w:t>
      </w:r>
      <w:r>
        <w:t xml:space="preserve">summarizes this decomposition and highlights a key design decision: scheduler execution and query-serving execution are operationally decoupled. This limits failure propagation across subsystems, but introduces eventual consistency between newly acquired literature and immediately retrievable indexed content.</w:t>
      </w:r>
    </w:p>
    <w:bookmarkStart w:id="37" w:name="subsystem-boundaries"/>
    <w:p>
      <w:pPr>
        <w:pStyle w:val="Heading3"/>
      </w:pPr>
      <w:r>
        <w:t xml:space="preserve">Subsystem Boundaries</w:t>
      </w:r>
    </w:p>
    <w:p>
      <w:pPr>
        <w:pStyle w:val="FirstParagraph"/>
      </w:pPr>
      <w:r>
        <w:t xml:space="preserve">The high-level topology also reflects a contract-oriented integration strategy. The scheduler does not directly manipulate vector storage; instead, it communicates with the biomedical RAG service through documented endpoints for document existence checks, batch fetch, and ingest-job status tracking. This preserves ownership boundaries and reduces cross-service schema leakage, at the cost of additional network round-trips and stricter interface-version management.</w:t>
      </w:r>
    </w:p>
    <w:bookmarkEnd w:id="37"/>
    <w:bookmarkEnd w:id="38"/>
    <w:bookmarkStart w:id="39" w:name="human-in-the-loop-curation-subsystem"/>
    <w:p>
      <w:pPr>
        <w:pStyle w:val="Heading2"/>
      </w:pPr>
      <w:r>
        <w:t xml:space="preserve">Human-in-the-Loop Curation Subsystem</w:t>
      </w:r>
    </w:p>
    <w:p>
      <w:pPr>
        <w:pStyle w:val="FirstParagraph"/>
      </w:pPr>
      <w:r>
        <w:t xml:space="preserve">Label Studio </w:t>
      </w:r>
      <w:r>
        <w:t xml:space="preserve">(</w:t>
      </w:r>
      <w:r>
        <w:rPr>
          <w:b/>
          <w:bCs/>
        </w:rPr>
        <w:t xml:space="preserve">tkachenko2020labelstudio?</w:t>
      </w:r>
      <w:r>
        <w:t xml:space="preserve">)</w:t>
      </w:r>
      <w:r>
        <w:t xml:space="preserve"> </w:t>
      </w:r>
      <w:r>
        <w:t xml:space="preserve">is positioned in this architecture as a human-in-the-loop curation subsystem rather than as a core retrieval or answer-generation service. Its role is to host manually reviewed biomedical-abstract tasks, while the surrounding</w:t>
      </w:r>
      <w:r>
        <w:t xml:space="preserve"> </w:t>
      </w:r>
      <w:r>
        <w:rPr>
          <w:rStyle w:val="VerbatimChar"/>
        </w:rPr>
        <w:t xml:space="preserve">labelstudio-tools</w:t>
      </w:r>
      <w:r>
        <w:t xml:space="preserve"> </w:t>
      </w:r>
      <w:r>
        <w:t xml:space="preserve">package prepares tasks for upload, exports reviewed tasks, enriches them with bibliographic metadata, and hands metadata-complete records to the biomedical RAG ingestion API. This placement preserves a clean separation between evidence curation and online retrieval, while still allowing curated judgments to influence evaluation-oriented analysis and corpus-preparation decisions.</w:t>
      </w:r>
    </w:p>
    <w:p>
      <w:pPr>
        <w:pStyle w:val="BodyText"/>
      </w:pPr>
      <w:r>
        <w:t xml:space="preserve">Architecturally, this subsystem sits between manual biomedical validation and downstream ingestion. Upstream, Excel-based abstract collections are loaded, optional exclusion filters are applied, and valid rows are transformed into Label Studio task payloads containing at minimum PMID, title, and abstract fields. Downstream, exported tasks are enriched with DOI and source metadata, partitioned into clean and rejected datasets according to ingestion requirements, and then transformed into batch ingestion requests for the biomedical RAG service. The resulting workflow constrains human review to a dedicated curation surface while keeping ingestion contracts explicit and machine-verifiable.</w:t>
      </w:r>
    </w:p>
    <w:p>
      <w:pPr>
        <w:pStyle w:val="BodyText"/>
      </w:pPr>
      <w:r>
        <w:t xml:space="preserve">This curation layer also has methodological significance for later evaluation chapters. The exported task structure retains manual annotation content alongside bibliographic identifiers and enriched metadata, which means curated tasks can act as traceable review artifacts rather than transient operator notes. At the same time, the current implementation validates metadata completeness for ingestion, but does not itself enforce annotation completeness or inter-annotator agreement constraints. The architectural tradeoff is therefore pragmatic: the subsystem increases traceability and enables review-informed dataset refinement, yet stronger annotation-governance guarantees remain an external workflow responsibility rather than a property enforced entirely in code.</w:t>
      </w:r>
    </w:p>
    <w:bookmarkEnd w:id="39"/>
    <w:bookmarkStart w:id="41" w:name="Xe9ad993e37445bc09c50c7212c1193940234d2f"/>
    <w:p>
      <w:pPr>
        <w:pStyle w:val="Heading2"/>
      </w:pPr>
      <w:r>
        <w:t xml:space="preserve">Component Architecture of the Biomedical RAG Service</w:t>
      </w:r>
    </w:p>
    <w:p>
      <w:pPr>
        <w:pStyle w:val="FirstParagraph"/>
      </w:pPr>
      <w:r>
        <w:t xml:space="preserve">The biomedical RAG service is organized around four conceptual components: ingestion, retrieval, synthesis, and document management. The ingestion component accepts normalized document payloads, enforces duplicate constraints, and orchestrates asynchronous indexing. The retrieval component transforms user questions into vector-space candidates and assembles context-bearing evidence. The synthesis component produces structured answers with explicit citations. The document management component provides lifecycle controls required for lookup, verification, and deletion.</w:t>
      </w:r>
    </w:p>
    <w:p>
      <w:pPr>
        <w:pStyle w:val="BodyText"/>
      </w:pPr>
      <w:r>
        <w:t xml:space="preserve">Architecturally, the service applies Clean Architecture </w:t>
      </w:r>
      <w:r>
        <w:t xml:space="preserve">(</w:t>
      </w:r>
      <w:r>
        <w:rPr>
          <w:b/>
          <w:bCs/>
        </w:rPr>
        <w:t xml:space="preserve">martin2017cleanarchitecture?</w:t>
      </w:r>
      <w:r>
        <w:t xml:space="preserve">)</w:t>
      </w:r>
      <w:r>
        <w:t xml:space="preserve"> </w:t>
      </w:r>
      <w:r>
        <w:t xml:space="preserve">with a ports-and-adapters realization </w:t>
      </w:r>
      <w:r>
        <w:t xml:space="preserve">(</w:t>
      </w:r>
      <w:r>
        <w:rPr>
          <w:b/>
          <w:bCs/>
        </w:rPr>
        <w:t xml:space="preserve">cockburn2005hexagonal?</w:t>
      </w:r>
      <w:r>
        <w:t xml:space="preserve">)</w:t>
      </w:r>
      <w:r>
        <w:t xml:space="preserve">. The API layer performs transport and schema duties, use cases orchestrate business workflows, the domain layer holds framework-independent models, and adapters implement infrastructure integrations behind abstract ports. Dependency direction is inward: outer layers depend on inner policies through interfaces, while the domain remains independent of frameworks and vendors. This structure improves maintainability through low coupling and supports reproducibility by making workflow behavior explicit at use-case boundaries. The Engineering Wiki complements this architecture as a documentation and governance layer that records current repository facts; it is not a runtime subsystem of the RAG service.</w:t>
      </w:r>
    </w:p>
    <w:bookmarkStart w:id="40" w:name="dependency-direction-and-encapsulation"/>
    <w:p>
      <w:pPr>
        <w:pStyle w:val="Heading3"/>
      </w:pPr>
      <w:r>
        <w:t xml:space="preserve">Dependency Direction and Encapsulation</w:t>
      </w:r>
    </w:p>
    <w:p>
      <w:pPr>
        <w:pStyle w:val="FirstParagraph"/>
      </w:pPr>
      <w:r>
        <w:t xml:space="preserve">Within this structure, request lifecycle management is explicitly layered. Middleware components provide request identifiers, access logging, and audit capture before and after endpoint execution, while use cases handle domain-specific validation and orchestration. This partition clarifies operational accountability by separating cross-cutting concerns from business flow logic.</w:t>
      </w:r>
    </w:p>
    <w:p>
      <w:pPr>
        <w:pStyle w:val="BodyText"/>
      </w:pPr>
      <w:r>
        <w:t xml:space="preserve">The scheduler service follows the same architectural approach with its own API, domain, use-case, adapter, and repository layers. This symmetry reduces conceptual overhead when reasoning about cross-service workflows and facilitates consistent error and status semantics between ingestion-oriented and acquisition-oriented operations.</w:t>
      </w:r>
    </w:p>
    <w:bookmarkEnd w:id="40"/>
    <w:bookmarkEnd w:id="41"/>
    <w:bookmarkStart w:id="42" w:name="Xf3d2874121b155ddefef8b56f14f8b3354fea5f"/>
    <w:p>
      <w:pPr>
        <w:pStyle w:val="Heading2"/>
      </w:pPr>
      <w:r>
        <w:t xml:space="preserve">Scheduler Architecture and Continuous Literature Acquisition</w:t>
      </w:r>
    </w:p>
    <w:p>
      <w:pPr>
        <w:pStyle w:val="FirstParagraph"/>
      </w:pPr>
      <w:r>
        <w:t xml:space="preserve">The scheduler service exists to convert irregular manual updates into controlled continuous literature acquisition. Its architecture persists query definitions, creates run records, and stores per-query and per-document outcomes to maintain historical accountability of acquisition behavior.</w:t>
      </w:r>
    </w:p>
    <w:p>
      <w:pPr>
        <w:pStyle w:val="BodyText"/>
      </w:pPr>
      <w:r>
        <w:t xml:space="preserve">Execution is intentionally asynchronous. Trigger operations start runs rapidly, while background tasks perform PubMed search, incremental filtering, duplicate checks against existing indexed documents, and downstream ingestion coordination. This decision reduces control-plane latency and improves operational resilience under network variability, while requiring explicit run tracking to observe completion.</w:t>
      </w:r>
    </w:p>
    <w:p>
      <w:pPr>
        <w:pStyle w:val="BodyText"/>
      </w:pPr>
      <w:r>
        <w:t xml:space="preserve">Continuous acquisition is implemented as a constrained workflow rather than unconstrained crawling. The service resolves DOI candidates from PubMed responses and uses previous successful execution timestamps to support incremental acquisition semantics when publication metadata is available. This improves freshness-efficiency balance, but remains sensitive to upstream metadata incompleteness.</w:t>
      </w:r>
    </w:p>
    <w:p>
      <w:pPr>
        <w:pStyle w:val="BodyText"/>
      </w:pPr>
      <w:r>
        <w:t xml:space="preserve">Status derivation in scheduler execution is also explicit at both query and run levels. Query-level outcomes are computed from DOI-resolution and DOI-failure counts, while run-level outcomes are aggregated from query outcomes. This design improves interpretability of partial-success scenarios and avoids conflating upstream retrieval gaps with downstream ingestion errors.</w:t>
      </w:r>
    </w:p>
    <w:bookmarkEnd w:id="42"/>
    <w:bookmarkStart w:id="43" w:name="X4ff94770feaf29237b382e9bf798b50d3557411"/>
    <w:p>
      <w:pPr>
        <w:pStyle w:val="Heading2"/>
      </w:pPr>
      <w:r>
        <w:t xml:space="preserve">Document Lifecycle and Processing Pipeline</w:t>
      </w:r>
    </w:p>
    <w:p>
      <w:pPr>
        <w:pStyle w:val="FirstParagraph"/>
      </w:pPr>
      <w:r>
        <w:t xml:space="preserve">The lifecycle begins when a document is introduced through direct ingestion requests or scheduler-initiated fetch requests. At acquisition time, requests can be resolved by Digital Object Identifier (DOI) or PubMed Identifier (PMID); however, the indexing identity in the retrieval store is DOI-centered through normalized DOI to document identifier transformation.</w:t>
      </w:r>
    </w:p>
    <w:p>
      <w:pPr>
        <w:pStyle w:val="BodyText"/>
      </w:pPr>
      <w:r>
        <w:t xml:space="preserve">Processing proceeds through asynchronous ingestion jobs. The architecture validates candidate items, reserves document identities to prevent conflicting writes, stores job and payload state in the current in-memory runtime, and dispatches workers for chunking, embedding, and vector indexing. Section-aware chunking and payload preservation ensure that downstream retrieval can reconstruct coherent evidence segments with provenance-bearing metadata, but the current job and payload stores are not restart-durable.</w:t>
      </w:r>
    </w:p>
    <w:p>
      <w:pPr>
        <w:pStyle w:val="BodyText"/>
      </w:pPr>
      <w:r>
        <w:t xml:space="preserve">This pipeline prioritizes bounded request latency and operational recoverability over immediate index visibility. The tradeoff is eventual indexing completion, which requires explicit job polling for deterministic lifecycle observation.</w:t>
      </w:r>
    </w:p>
    <w:p>
      <w:pPr>
        <w:pStyle w:val="BodyText"/>
      </w:pPr>
      <w:r>
        <w:t xml:space="preserve">Duplicate control is handled in two complementary layers: request-level idempotency keys and document-level reservation/commit semantics. This two-layer strategy mitigates duplicate writes arising from client retries and concurrent ingestion attempts. The tradeoff is additional state management overhead, including time-to-live policies for idempotency and payload stores.</w:t>
      </w:r>
    </w:p>
    <w:bookmarkEnd w:id="43"/>
    <w:bookmarkStart w:id="44" w:name="retrieval-and-answer-generation-pipeline"/>
    <w:p>
      <w:pPr>
        <w:pStyle w:val="Heading2"/>
      </w:pPr>
      <w:r>
        <w:t xml:space="preserve">Retrieval and Answer Generation Pipeline</w:t>
      </w:r>
    </w:p>
    <w:p>
      <w:pPr>
        <w:pStyle w:val="FirstParagraph"/>
      </w:pPr>
      <w:r>
        <w:t xml:space="preserve">The retrieval pipeline transforms a user question into a ranked evidence context. Query embeddings are generated, vector candidates are retrieved under optional constraints, and candidate sets are reduced to bounded context windows before synthesis. This architecture constrains unbounded prompt growth and supports consistent runtime behavior under configurable limits.</w:t>
      </w:r>
    </w:p>
    <w:p>
      <w:pPr>
        <w:pStyle w:val="BodyText"/>
      </w:pPr>
      <w:r>
        <w:t xml:space="preserve">The synthesis stage uses an LLM to generate structured responses with explicit citation linkage to retrieved context. An optional retrieval expansion mode, Hypothetical Document Embeddings (HyDE), generates a hypothetical passage from the question, embeds it, and merges those candidates with direct-question candidates before reranking </w:t>
      </w:r>
      <w:r>
        <w:t xml:space="preserve">(</w:t>
      </w:r>
      <w:r>
        <w:rPr>
          <w:b/>
          <w:bCs/>
        </w:rPr>
        <w:t xml:space="preserve">gao2023hyde?</w:t>
      </w:r>
      <w:r>
        <w:t xml:space="preserve">)</w:t>
      </w:r>
      <w:r>
        <w:t xml:space="preserve">. The rationale is improved semantic recall for difficult or underspecified biomedical questions. The tradeoff is increased dependency on generation quality and higher response-time variance.</w:t>
      </w:r>
    </w:p>
    <w:p>
      <w:pPr>
        <w:pStyle w:val="BodyText"/>
      </w:pPr>
      <w:r>
        <w:t xml:space="preserve">The ask flow further constrains synthesis reliability through explicit limits on candidate chunks, final chunk selection, and context length. These limits bound prompt size and stabilize runtime behavior under heterogeneous document lengths. The architectural implication is a controlled tradeoff between context breadth and deterministic resource usage.</w:t>
      </w:r>
    </w:p>
    <w:bookmarkEnd w:id="44"/>
    <w:bookmarkStart w:id="45" w:name="data-and-persistence-architecture"/>
    <w:p>
      <w:pPr>
        <w:pStyle w:val="Heading2"/>
      </w:pPr>
      <w:r>
        <w:t xml:space="preserve">Data and Persistence Architecture</w:t>
      </w:r>
    </w:p>
    <w:p>
      <w:pPr>
        <w:pStyle w:val="FirstParagraph"/>
      </w:pPr>
      <w:r>
        <w:t xml:space="preserve">The persistence model separates vector state, scheduler state, audit state, and evaluation artifacts. Indexed chunk data and metadata are retained in Qdrant </w:t>
      </w:r>
      <w:r>
        <w:t xml:space="preserve">(</w:t>
      </w:r>
      <w:r>
        <w:rPr>
          <w:b/>
          <w:bCs/>
        </w:rPr>
        <w:t xml:space="preserve">qdrant2026collections?</w:t>
      </w:r>
      <w:r>
        <w:t xml:space="preserve">)</w:t>
      </w:r>
      <w:r>
        <w:t xml:space="preserve">. Scheduler query, run, and DOI execution states are persisted through the scheduler repository layer, and API audit events are persisted through the audit service. By contrast, the current biomedical RAG application composition wires ingestion job state, duplicate-control state, payload state, and queue state to in-memory stores with bounded capacity and time-to-live behavior. In the vector layer, per-chunk point identifiers are derived from document identifier and chunk index, and the document identifier is derived from normalized DOI, thereby enforcing a DOI-centered document identity model for retrieval and deletion workflows.</w:t>
      </w:r>
    </w:p>
    <w:p>
      <w:pPr>
        <w:pStyle w:val="BodyText"/>
      </w:pPr>
      <w:r>
        <w:t xml:space="preserve">For experimentation, the evaluation subsystem persists phase-specific artifacts, including retrieval pools, generated-answer outputs, and derived metric tables. The architectural implication is that experiment results remain inspectable as first-class outputs rather than transient logs. The tradeoff is increased artifact management burden across repeated runs.</w:t>
      </w:r>
    </w:p>
    <w:p>
      <w:pPr>
        <w:pStyle w:val="BodyText"/>
      </w:pPr>
      <w:r>
        <w:t xml:space="preserve">This persistence strategy enables cross-phase diagnostic analysis. Retrieval outputs can be linked to subsequent answer-generation records, and those outputs can then be evaluated by dedicated metrics phases. The resulting provenance chain supports methodological scrutiny by preserving intermediate states that would otherwise be lost in end-only evaluation designs.</w:t>
      </w:r>
    </w:p>
    <w:p>
      <w:pPr>
        <w:pStyle w:val="BodyText"/>
      </w:pPr>
      <w:r>
        <w:t xml:space="preserve">The evaluation approach is implemented as a command-line orchestration layer that materializes per-run directories and phase outputs, while external model-serving dependencies are supplied by a dedicated Ollama deployment stack </w:t>
      </w:r>
      <w:r>
        <w:t xml:space="preserve">(</w:t>
      </w:r>
      <w:r>
        <w:rPr>
          <w:b/>
          <w:bCs/>
        </w:rPr>
        <w:t xml:space="preserve">ollama2026api?</w:t>
      </w:r>
      <w:r>
        <w:t xml:space="preserve">)</w:t>
      </w:r>
      <w:r>
        <w:t xml:space="preserve">. This separation ensures that evaluator configuration, run artifacts, and model-hosting lifecycle can be inspected independently when reproducing or auditing experiments.</w:t>
      </w:r>
    </w:p>
    <w:bookmarkEnd w:id="45"/>
    <w:bookmarkStart w:id="46" w:name="operational-observability"/>
    <w:p>
      <w:pPr>
        <w:pStyle w:val="Heading2"/>
      </w:pPr>
      <w:r>
        <w:t xml:space="preserve">Operational Observability</w:t>
      </w:r>
    </w:p>
    <w:p>
      <w:pPr>
        <w:pStyle w:val="FirstParagraph"/>
      </w:pPr>
      <w:r>
        <w:t xml:space="preserve">Observability is designed as a reliability and validity mechanism. Health and readiness endpoints separate process liveness from dependency readiness, enabling conservative admission behavior under partial infrastructure degradation. This distinction is particularly important when vector, database, or generation dependencies fail independently.</w:t>
      </w:r>
    </w:p>
    <w:p>
      <w:pPr>
        <w:pStyle w:val="BodyText"/>
      </w:pPr>
      <w:r>
        <w:t xml:space="preserve">In parallel, request-context tracing and audit persistence provide reconstructable interaction histories, including request metadata, response status, and exception traces. The design improves post hoc diagnosis and experiment-time incident correlation. Its tradeoff is higher write overhead and stricter governance obligations for recorded payload content.</w:t>
      </w:r>
    </w:p>
    <w:bookmarkEnd w:id="46"/>
    <w:bookmarkStart w:id="48" w:name="architectural-limitations"/>
    <w:p>
      <w:pPr>
        <w:pStyle w:val="Heading2"/>
      </w:pPr>
      <w:r>
        <w:t xml:space="preserve">Architectural Limitations</w:t>
      </w:r>
    </w:p>
    <w:p>
      <w:pPr>
        <w:pStyle w:val="FirstParagraph"/>
      </w:pPr>
      <w:r>
        <w:t xml:space="preserve">The architecture is constrained by external service behavior. Retrieval and synthesis quality depend on external model and infrastructure services beyond strict transactional control, while literature acquisition depends on upstream metadata fidelity. As a result, the system can provide explicit detection and recording of many failures, but cannot guarantee elimination of dependency-induced variance.</w:t>
      </w:r>
    </w:p>
    <w:p>
      <w:pPr>
        <w:pStyle w:val="BodyText"/>
      </w:pPr>
      <w:r>
        <w:t xml:space="preserve">A second limitation is eventual consistency across acquisition and retrieval planes. Because acquisition and ingestion are asynchronous, recently identified documents may not be immediately available for retrieval. This is an intentional tradeoff that preserves bounded control-plane latency and operational isolation between serving and acquisition workflows.</w:t>
      </w:r>
    </w:p>
    <w:p>
      <w:pPr>
        <w:pStyle w:val="BodyText"/>
      </w:pPr>
      <w:r>
        <w:t xml:space="preserve">Finally, reproducibility is strong at the workflow and artifact level but limited at the strict output-identity level for generation stages. Structured run artifacts and state transitions provide robust comparability across experiments, yet LLM-mediated synthesis can still exhibit output variation under equivalent high-level inputs.</w:t>
      </w:r>
    </w:p>
    <w:p>
      <w:pPr>
        <w:pStyle w:val="BodyText"/>
      </w:pPr>
      <w:r>
        <w:t xml:space="preserve">An additional limitation is sensitivity to identifier completeness in upstream biomedical sources. Scheduler-side DOI extraction and downstream document existence checks rely on consistent metadata availability; when identifiers are missing or inconsistently formatted, conservative failure or skip paths may reduce acquisition coverage for a given run window.</w:t>
      </w:r>
    </w:p>
    <w:bookmarkStart w:id="47" w:name="architectural-tradeoffs-summary"/>
    <w:p>
      <w:pPr>
        <w:pStyle w:val="Heading3"/>
      </w:pPr>
      <w:r>
        <w:t xml:space="preserve">Architectural Tradeoffs Summary</w:t>
      </w:r>
    </w:p>
    <w:p>
      <w:pPr>
        <w:pStyle w:val="FirstParagraph"/>
      </w:pPr>
      <w:r>
        <w:t xml:space="preserve">Taken together, the architecture favors explicit subsystem boundaries, inward dependency direction, and asynchronous workflow isolation to improve maintainability and reproducibility. The corresponding tradeoffs are eventual consistency, additional coordination overhead between services, and bounded but non-zero variance in LLM-mediated synthesis behavior.</w:t>
      </w:r>
    </w:p>
    <w:bookmarkEnd w:id="47"/>
    <w:bookmarkEnd w:id="48"/>
    <w:bookmarkEnd w:id="49"/>
    <w:bookmarkStart w:id="58" w:name="configuration-management"/>
    <w:p>
      <w:pPr>
        <w:pStyle w:val="Heading1"/>
      </w:pPr>
      <w:r>
        <w:t xml:space="preserve">Configuration Management</w:t>
      </w:r>
    </w:p>
    <w:p>
      <w:pPr>
        <w:pStyle w:val="FirstParagraph"/>
      </w:pPr>
      <w:r>
        <w:t xml:space="preserve">The platform uses external configuration to make runtime behavior inspectable. Configuration is not treated as a secondary operational concern: retrieval depth, embedding identity, vector-store endpoints, local model endpoints, scheduler integration, and evaluation settings all affect the interpretation of experimental results. For this reason, the thesis distinguishes between configuration that is actively consumed by the implementation, configuration reserved for interface compatibility, and configuration captured only by the evaluation pipeline.</w:t>
      </w:r>
    </w:p>
    <w:p>
      <w:pPr>
        <w:pStyle w:val="BodyText"/>
      </w:pPr>
      <w:r>
        <w:t xml:space="preserve">Externalized configuration improves reproducibility by making assumptions visible, but it does not by itself guarantee deterministic behavior. Exact rerun identity can still depend on vector-store state, local model files, evaluator runtime, corpus contents, and service versions. The role of configuration management in this thesis is therefore traceability and controlled comparison, not a claim of perfect future replay.</w:t>
      </w:r>
    </w:p>
    <w:bookmarkStart w:id="50" w:name="rag-service-configuration"/>
    <w:p>
      <w:pPr>
        <w:pStyle w:val="Heading2"/>
      </w:pPr>
      <w:r>
        <w:t xml:space="preserve">RAG Service Configuration</w:t>
      </w:r>
    </w:p>
    <w:p>
      <w:pPr>
        <w:pStyle w:val="FirstParagraph"/>
      </w:pPr>
      <w:r>
        <w:t xml:space="preserve">The</w:t>
      </w:r>
      <w:r>
        <w:t xml:space="preserve"> </w:t>
      </w:r>
      <w:r>
        <w:rPr>
          <w:rStyle w:val="VerbatimChar"/>
        </w:rPr>
        <w:t xml:space="preserve">rag.yaml</w:t>
      </w:r>
      <w:r>
        <w:t xml:space="preserve"> </w:t>
      </w:r>
      <w:r>
        <w:t xml:space="preserve">file records the core retrieval and indexing assumptions of the biomedical RAG service. It configures the sentence-transformer embedding provider </w:t>
      </w:r>
      <w:r>
        <w:t xml:space="preserve">(</w:t>
      </w:r>
      <w:r>
        <w:rPr>
          <w:b/>
          <w:bCs/>
        </w:rPr>
        <w:t xml:space="preserve">reimers2019sentencebert?</w:t>
      </w:r>
      <w:r>
        <w:t xml:space="preserve">)</w:t>
      </w:r>
      <w:r>
        <w:t xml:space="preserve">, CPU execution, embedding normalization behavior, embedding batch size, chunk size, chunk overlap, vector backend, and nominal retrieval depth. These values are central to the experimental setup because they determine the embedding space and chunk granularity from which Qdrant candidates are produced.</w:t>
      </w:r>
    </w:p>
    <w:p>
      <w:pPr>
        <w:pStyle w:val="BodyText"/>
      </w:pPr>
      <w:r>
        <w:t xml:space="preserve">This file does not configure HyDE activation or generation temperature. HyDE behavior is controlled through the LLM configuration and the</w:t>
      </w:r>
      <w:r>
        <w:t xml:space="preserve"> </w:t>
      </w:r>
      <w:r>
        <w:rPr>
          <w:rStyle w:val="VerbatimChar"/>
        </w:rPr>
        <w:t xml:space="preserve">X-HyDE-Enabled</w:t>
      </w:r>
      <w:r>
        <w:t xml:space="preserve"> </w:t>
      </w:r>
      <w:r>
        <w:t xml:space="preserve">request header used by the evaluation client. The evaluation configuration records deterministic and robustness seeds and temperatures, but the verified execution path applies those controls differently across modes. The LLM-only baseline receives request-level seed and temperature directly from the evaluation CLI, whereas the current RAG API ask path does not expose equivalent request-level seed or temperature controls for RAG synthesis or HyDE generation.</w:t>
      </w:r>
    </w:p>
    <w:bookmarkEnd w:id="50"/>
    <w:bookmarkStart w:id="51" w:name="llm-and-hyde-configuration"/>
    <w:p>
      <w:pPr>
        <w:pStyle w:val="Heading2"/>
      </w:pPr>
      <w:r>
        <w:t xml:space="preserve">LLM and HyDE Configuration</w:t>
      </w:r>
    </w:p>
    <w:p>
      <w:pPr>
        <w:pStyle w:val="FirstParagraph"/>
      </w:pPr>
      <w:r>
        <w:t xml:space="preserve">The</w:t>
      </w:r>
      <w:r>
        <w:t xml:space="preserve"> </w:t>
      </w:r>
      <w:r>
        <w:rPr>
          <w:rStyle w:val="VerbatimChar"/>
        </w:rPr>
        <w:t xml:space="preserve">llm.yaml</w:t>
      </w:r>
      <w:r>
        <w:t xml:space="preserve"> </w:t>
      </w:r>
      <w:r>
        <w:t xml:space="preserve">file configures the local Ollama dependency used by the biomedical RAG service </w:t>
      </w:r>
      <w:r>
        <w:t xml:space="preserve">(</w:t>
      </w:r>
      <w:r>
        <w:rPr>
          <w:b/>
          <w:bCs/>
        </w:rPr>
        <w:t xml:space="preserve">ollama2026api?</w:t>
      </w:r>
      <w:r>
        <w:t xml:space="preserve">)</w:t>
      </w:r>
      <w:r>
        <w:t xml:space="preserve">. It records the Ollama base URL, the generator model identifier, the HyDE model identifier, the default HyDE switch, question and context bounds, candidate and final chunk limits, concurrency, retry count, and timeout. In the verified configuration, HyDE is disabled by default and can be enabled per request through the API header used in the evaluation configurations.</w:t>
      </w:r>
    </w:p>
    <w:p>
      <w:pPr>
        <w:pStyle w:val="BodyText"/>
      </w:pPr>
      <w:r>
        <w:t xml:space="preserve">The LLM configuration also contains reranker-related fields. The inspected retrieval implementation should be described conservatively: the verified ranking path combines dense vector rank, optional HyDE rank, lexical BM25-style rank, and section weighting in application code. The repository evidence does not show an LLM reranker being invoked for the canonical benchmark path.</w:t>
      </w:r>
    </w:p>
    <w:bookmarkEnd w:id="51"/>
    <w:bookmarkStart w:id="52" w:name="vector-store-configuration"/>
    <w:p>
      <w:pPr>
        <w:pStyle w:val="Heading2"/>
      </w:pPr>
      <w:r>
        <w:t xml:space="preserve">Vector Store Configuration</w:t>
      </w:r>
    </w:p>
    <w:p>
      <w:pPr>
        <w:pStyle w:val="FirstParagraph"/>
      </w:pPr>
      <w:r>
        <w:t xml:space="preserve">The</w:t>
      </w:r>
      <w:r>
        <w:t xml:space="preserve"> </w:t>
      </w:r>
      <w:r>
        <w:rPr>
          <w:rStyle w:val="VerbatimChar"/>
        </w:rPr>
        <w:t xml:space="preserve">qdrant.yaml</w:t>
      </w:r>
      <w:r>
        <w:t xml:space="preserve"> </w:t>
      </w:r>
      <w:r>
        <w:t xml:space="preserve">file defines the Qdrant REST endpoint, optional gRPC endpoint, timeout, collection naming prefix, distance metric, and telemetry flag </w:t>
      </w:r>
      <w:r>
        <w:t xml:space="preserve">(</w:t>
      </w:r>
      <w:r>
        <w:rPr>
          <w:b/>
          <w:bCs/>
        </w:rPr>
        <w:t xml:space="preserve">qdrant2026collections?</w:t>
      </w:r>
      <w:r>
        <w:t xml:space="preserve">)</w:t>
      </w:r>
      <w:r>
        <w:t xml:space="preserve">. Collection names are derived from the configured prefix and embedding model identifier, which supports model-specific collections without changing the external API contract.</w:t>
      </w:r>
    </w:p>
    <w:p>
      <w:pPr>
        <w:pStyle w:val="BodyText"/>
      </w:pPr>
      <w:r>
        <w:t xml:space="preserve">The verified configuration sets cosine distance and disables gRPC preference. This matters for reproducibility because vector-store behavior is a function of both embedding representation and collection configuration. Changing the embedding model, normalization setting, or collection naming policy can create a different retrieval corpus even when the same API endpoint is used.</w:t>
      </w:r>
    </w:p>
    <w:bookmarkEnd w:id="52"/>
    <w:bookmarkStart w:id="53" w:name="scheduler-configuration"/>
    <w:p>
      <w:pPr>
        <w:pStyle w:val="Heading2"/>
      </w:pPr>
      <w:r>
        <w:t xml:space="preserve">Scheduler Configuration</w:t>
      </w:r>
    </w:p>
    <w:p>
      <w:pPr>
        <w:pStyle w:val="FirstParagraph"/>
      </w:pPr>
      <w:r>
        <w:t xml:space="preserve">The PubMed scheduler configuration is stored in</w:t>
      </w:r>
      <w:r>
        <w:t xml:space="preserve"> </w:t>
      </w:r>
      <w:r>
        <w:rPr>
          <w:rStyle w:val="VerbatimChar"/>
        </w:rPr>
        <w:t xml:space="preserve">pubmed_scheduler.yaml</w:t>
      </w:r>
      <w:r>
        <w:t xml:space="preserve">. It enables the scheduler, records the UTC execution times, and defines the HTTP integration paths used to communicate with the biomedical RAG service. The scheduler therefore remains a separate acquisition subsystem: it owns acquisition timing and RAG API coordination, but it does not directly mutate the vector store.</w:t>
      </w:r>
    </w:p>
    <w:p>
      <w:pPr>
        <w:pStyle w:val="BodyText"/>
      </w:pPr>
      <w:r>
        <w:t xml:space="preserve">This configuration should not be described as a generic cron file. The verified repository configuration contains explicit UTC schedule times and API paths for document lookup, batch fetch, and ingest-job polling. Query definitions and run outcomes are owned by the scheduler domain and persistence layer rather than by a single flat scheduler configuration file.</w:t>
      </w:r>
    </w:p>
    <w:bookmarkEnd w:id="53"/>
    <w:bookmarkStart w:id="55" w:name="evaluation-configuration"/>
    <w:p>
      <w:pPr>
        <w:pStyle w:val="Heading2"/>
      </w:pPr>
      <w:r>
        <w:t xml:space="preserve">Evaluation Configuration</w:t>
      </w:r>
    </w:p>
    <w:p>
      <w:pPr>
        <w:pStyle w:val="FirstParagraph"/>
      </w:pPr>
      <w:r>
        <w:t xml:space="preserve">The</w:t>
      </w:r>
      <w:r>
        <w:t xml:space="preserve"> </w:t>
      </w:r>
      <w:r>
        <w:rPr>
          <w:rStyle w:val="VerbatimChar"/>
        </w:rPr>
        <w:t xml:space="preserve">eval.yaml</w:t>
      </w:r>
      <w:r>
        <w:t xml:space="preserve"> </w:t>
      </w:r>
      <w:r>
        <w:t xml:space="preserve">file defines the experimental control surface for the evaluation subsystem. It records the RAG API endpoint, ask-mode HyDE header, Ollama model settings, deterministic and robustness seeds, query file, RAGAS embedding model, RAGAS embedding execution device, extraction policy, and metric</w:t>
      </w:r>
      <w:r>
        <w:t xml:space="preserve"> </w:t>
      </w:r>
      <w:r>
        <w:rPr>
          <w:rStyle w:val="VerbatimChar"/>
        </w:rPr>
        <w:t xml:space="preserve">k</w:t>
      </w:r>
      <w:r>
        <w:t xml:space="preserve"> </w:t>
      </w:r>
      <w:r>
        <w:t xml:space="preserve">values. These settings define the comparison between LLM-only, RAG without HyDE, and RAG with HyDE configurations.</w:t>
      </w:r>
    </w:p>
    <w:p>
      <w:pPr>
        <w:pStyle w:val="BodyText"/>
      </w:pPr>
      <w:r>
        <w:t xml:space="preserve">The evaluation CLI writes configuration snapshots into run directories. This is essential for later interpretation because it links generated answer files, RAGAS outputs, extraction summaries, and aggregate benchmark summaries back to the execution settings that produced them. The snapshot is an audit artifact; it does not archive the complete vector database or Ollama runtime.</w:t>
      </w:r>
    </w:p>
    <w:bookmarkStart w:id="54" w:name="cuda-evaluation-execution-support"/>
    <w:p>
      <w:pPr>
        <w:pStyle w:val="Heading3"/>
      </w:pPr>
      <w:r>
        <w:t xml:space="preserve">CUDA Evaluation Execution Support</w:t>
      </w:r>
    </w:p>
    <w:p>
      <w:pPr>
        <w:pStyle w:val="FirstParagraph"/>
      </w:pPr>
      <w:r>
        <w:t xml:space="preserve">The evaluation pipeline also supports CUDA execution for the evaluation-side embedding workload used during RAGAS scoring. In the branch "cuda-validation-metrics", commit</w:t>
      </w:r>
      <w:r>
        <w:t xml:space="preserve"> </w:t>
      </w:r>
      <w:r>
        <w:rPr>
          <w:rStyle w:val="VerbatimChar"/>
        </w:rPr>
        <w:t xml:space="preserve">a1faf166</w:t>
      </w:r>
      <w:r>
        <w:t xml:space="preserve"> </w:t>
      </w:r>
      <w:r>
        <w:t xml:space="preserve">introduced a workstation-oriented configuration in which the evaluation profiles switch the</w:t>
      </w:r>
      <w:r>
        <w:t xml:space="preserve"> </w:t>
      </w:r>
      <w:r>
        <w:rPr>
          <w:rStyle w:val="VerbatimChar"/>
        </w:rPr>
        <w:t xml:space="preserve">ragas.embeddings_device</w:t>
      </w:r>
      <w:r>
        <w:t xml:space="preserve"> </w:t>
      </w:r>
      <w:r>
        <w:t xml:space="preserve">setting from</w:t>
      </w:r>
      <w:r>
        <w:t xml:space="preserve"> </w:t>
      </w:r>
      <w:r>
        <w:rPr>
          <w:rStyle w:val="VerbatimChar"/>
        </w:rPr>
        <w:t xml:space="preserve">cpu</w:t>
      </w:r>
      <w:r>
        <w:t xml:space="preserve"> </w:t>
      </w:r>
      <w:r>
        <w:t xml:space="preserve">to</w:t>
      </w:r>
      <w:r>
        <w:t xml:space="preserve"> </w:t>
      </w:r>
      <w:r>
        <w:rPr>
          <w:rStyle w:val="VerbatimChar"/>
        </w:rPr>
        <w:t xml:space="preserve">cuda</w:t>
      </w:r>
      <w:r>
        <w:t xml:space="preserve"> </w:t>
      </w:r>
      <w:r>
        <w:t xml:space="preserve">and use local service endpoints for the RAG API, Ollama, and audit database. Conceptually, this is an execution-environment change for the evaluation subsystem rather than a change to the reported metric definitions or to the scientific interpretation of those metrics.</w:t>
      </w:r>
    </w:p>
    <w:p>
      <w:pPr>
        <w:pStyle w:val="BodyText"/>
      </w:pPr>
      <w:r>
        <w:t xml:space="preserve">This distinction matters because the repository does not show a blanket migration of all thesis components to GPU execution. The verified change affects the evaluation path that constructs RAGAS embeddings, while the biomedical RAG service configuration remains separately defined in its own YAML files. The thesis therefore describes CUDA support as an available evaluation configuration, not as proof that every subsystem in every benchmark run executed on the same hardware path.</w:t>
      </w:r>
    </w:p>
    <w:bookmarkEnd w:id="54"/>
    <w:bookmarkEnd w:id="55"/>
    <w:bookmarkStart w:id="56" w:name="configuration-boundaries-and-drift-risks"/>
    <w:p>
      <w:pPr>
        <w:pStyle w:val="Heading2"/>
      </w:pPr>
      <w:r>
        <w:t xml:space="preserve">Configuration Boundaries and Drift Risks</w:t>
      </w:r>
    </w:p>
    <w:p>
      <w:pPr>
        <w:pStyle w:val="FirstParagraph"/>
      </w:pPr>
      <w:r>
        <w:t xml:space="preserve">Repository review identified configuration boundaries that should be kept visible. The RAG service exposes request-level search depth, and the search use case defaults to a value from the request model when none is supplied. The</w:t>
      </w:r>
      <w:r>
        <w:t xml:space="preserve"> </w:t>
      </w:r>
      <w:r>
        <w:rPr>
          <w:rStyle w:val="VerbatimChar"/>
        </w:rPr>
        <w:t xml:space="preserve">rag.yaml</w:t>
      </w:r>
      <w:r>
        <w:t xml:space="preserve"> </w:t>
      </w:r>
      <w:r>
        <w:t xml:space="preserve">retrieval</w:t>
      </w:r>
      <w:r>
        <w:t xml:space="preserve"> </w:t>
      </w:r>
      <w:r>
        <w:rPr>
          <w:rStyle w:val="VerbatimChar"/>
        </w:rPr>
        <w:t xml:space="preserve">top_k</w:t>
      </w:r>
      <w:r>
        <w:t xml:space="preserve"> </w:t>
      </w:r>
      <w:r>
        <w:t xml:space="preserve">value is therefore best treated as nominal service configuration rather than as proof that every search in the system used that value. Similarly, the search response schema includes a cursor field, but the inspected search use case returns no next cursor in the current implementation.</w:t>
      </w:r>
    </w:p>
    <w:p>
      <w:pPr>
        <w:pStyle w:val="BodyText"/>
      </w:pPr>
      <w:r>
        <w:t xml:space="preserve">These boundaries affect thesis writing because configuration files can contain reserved or partially wired settings. A configuration key is not sufficient evidence that a behavior was active in the canonical evaluation run. Reported results must therefore be tied to run artifacts and inspected execution paths, not only to YAML presence. In particular, reproducibility should be described as artifact-level and configuration-aware; the current evidence does not prove stochastic equivalence between the LLM-only and RAG benchmark paths.</w:t>
      </w:r>
    </w:p>
    <w:bookmarkEnd w:id="56"/>
    <w:bookmarkStart w:id="57" w:name="reproducibility-strategy"/>
    <w:p>
      <w:pPr>
        <w:pStyle w:val="Heading2"/>
      </w:pPr>
      <w:r>
        <w:t xml:space="preserve">Reproducibility Strategy</w:t>
      </w:r>
    </w:p>
    <w:p>
      <w:pPr>
        <w:pStyle w:val="FirstParagraph"/>
      </w:pPr>
      <w:r>
        <w:t xml:space="preserve">The configuration-management strategy supports reproducibility by preserving explicit service and evaluation settings. The canonical run stores a configuration snapshot alongside generated answers and metric artifacts, and the thesis source uses evidence comments to link claims back to those artifacts. This creates an auditable path from a reported metric to the run directory and configuration that produced it.</w:t>
      </w:r>
    </w:p>
    <w:p>
      <w:pPr>
        <w:pStyle w:val="BodyText"/>
      </w:pPr>
      <w:r>
        <w:t xml:space="preserve">The remaining reproducibility risks are operational. Local Qdrant state, local Ollama model files, service uptime, PubMed availability, and benchmark artifact selection can all affect future runs. Configuration management reduces hidden state, but stronger future claims would require corpus version identifiers, vector-store snapshots, model/runtime digests, request-level stochastic controls for RAG and HyDE, and expanded retrieval-ranking artifacts with adjudicated qrels.</w:t>
      </w:r>
    </w:p>
    <w:bookmarkEnd w:id="57"/>
    <w:bookmarkEnd w:id="58"/>
    <w:bookmarkStart w:id="65" w:name="chap:methodology"/>
    <w:p>
      <w:pPr>
        <w:pStyle w:val="Heading1"/>
      </w:pPr>
      <w:r>
        <w:t xml:space="preserve">Methodology</w:t>
      </w:r>
    </w:p>
    <w:bookmarkStart w:id="59" w:name="study-design"/>
    <w:p>
      <w:pPr>
        <w:pStyle w:val="Heading2"/>
      </w:pPr>
      <w:r>
        <w:t xml:space="preserve">Study Design</w:t>
      </w:r>
    </w:p>
    <w:p>
      <w:pPr>
        <w:pStyle w:val="FirstParagraph"/>
      </w:pPr>
      <w:r>
        <w:t xml:space="preserve">This chapter defines the methodological protocol used to connect system construction with evaluable evidence. The study design does not treat the platform solely as a retrieval service; instead, it examines a composite workflow in which automated acquisition, manual abstract review, ingestion control, and experimental evaluation contribute different forms of validity. This framing is necessary because system quality depends not only on retrieval metrics, but also on whether the indexed corpus can be curated in a traceable and reproducible manner.</w:t>
      </w:r>
    </w:p>
    <w:p>
      <w:pPr>
        <w:pStyle w:val="BodyText"/>
      </w:pPr>
      <w:r>
        <w:t xml:space="preserve">Methodologically, the architecture supports a staged form of validation. Automated services provide acquisition, indexing, and answer generation behavior, while the Label Studio curation workflow </w:t>
      </w:r>
      <w:r>
        <w:t xml:space="preserve">(</w:t>
      </w:r>
      <w:r>
        <w:rPr>
          <w:b/>
          <w:bCs/>
        </w:rPr>
        <w:t xml:space="preserve">tkachenko2020labelstudio?</w:t>
      </w:r>
      <w:r>
        <w:t xml:space="preserve">)</w:t>
      </w:r>
      <w:r>
        <w:t xml:space="preserve"> </w:t>
      </w:r>
      <w:r>
        <w:t xml:space="preserve">supplies manually reviewed task records that can be exported, enriched, and selectively handed to downstream ingestion. The design decision is to separate curation from online retrieval so that review judgments and metadata-completeness checks refine the evidence base without being conflated with query-time behavior. This supports clearer interpretation of later evaluation outcomes, although it does not by itself constitute clinical validation.</w:t>
      </w:r>
    </w:p>
    <w:bookmarkEnd w:id="59"/>
    <w:bookmarkStart w:id="60" w:name="dataset-protocol"/>
    <w:p>
      <w:pPr>
        <w:pStyle w:val="Heading2"/>
      </w:pPr>
      <w:r>
        <w:t xml:space="preserve">Dataset Protocol</w:t>
      </w:r>
    </w:p>
    <w:p>
      <w:pPr>
        <w:pStyle w:val="FirstParagraph"/>
      </w:pPr>
      <w:r>
        <w:t xml:space="preserve">The dataset protocol combines two complementary sources of evidence. First, biomedical documents enter the platform through scheduler-driven or direct ingestion workflows. Second, an annotation-oriented curation stream prepares abstract-level tasks for manual biomedical review in Label Studio. In the task-preparation stage, the</w:t>
      </w:r>
      <w:r>
        <w:t xml:space="preserve"> </w:t>
      </w:r>
      <w:r>
        <w:rPr>
          <w:rStyle w:val="VerbatimChar"/>
        </w:rPr>
        <w:t xml:space="preserve">labelstudio-tools</w:t>
      </w:r>
      <w:r>
        <w:t xml:space="preserve"> </w:t>
      </w:r>
      <w:r>
        <w:t xml:space="preserve">package reads a structured Excel source, checks that required bibliographic columns are present, normalizes selected boolean review flags, optionally applies exclusion-oriented filters, and emits task payloads containing PMID, title, and abstract content.</w:t>
      </w:r>
    </w:p>
    <w:p>
      <w:pPr>
        <w:pStyle w:val="BodyText"/>
      </w:pPr>
      <w:r>
        <w:t xml:space="preserve">After export from Label Studio, the reviewed task set is enriched with DOI and related source metadata and then partitioned into separate artifact classes. The repository contains raw exported tasks, a clean dataset prepared for ingestion, a rejected-task report, and a file listing source identifiers for unresolved DOI enrichment cases. In the current artifact snapshot, 1300 tasks are present in the raw export, 1288 are retained in the clean export, and 12 are listed as rejected due to missing ingest-critical metadata. This partitioning supports reproducibility because later ingestion and evaluation steps can be tied to explicit intermediate datasets rather than reconstructed retrospectively.</w:t>
      </w:r>
    </w:p>
    <w:bookmarkEnd w:id="60"/>
    <w:bookmarkStart w:id="61" w:name="annotation-based-validation"/>
    <w:p>
      <w:pPr>
        <w:pStyle w:val="Heading2"/>
      </w:pPr>
      <w:r>
        <w:t xml:space="preserve">Annotation-Based Validation</w:t>
      </w:r>
    </w:p>
    <w:p>
      <w:pPr>
        <w:pStyle w:val="FirstParagraph"/>
      </w:pPr>
      <w:r>
        <w:t xml:space="preserve">Annotation-based validation is used here as a curation and evidence-screening mechanism rather than as an experimental endpoint with claimed clinical outcomes. Exported Label Studio tasks retain manual annotation objects together with the underlying abstract text and enriched document identifiers. The observed task structure includes review signals such as inclusion evidence spans, relation-to-venous-thrombosis choices, confidence ratings, risk-factor reporting choices, article-type choices, and category selections. These annotations provide structured human judgments that can be inspected alongside the indexed source records.</w:t>
      </w:r>
    </w:p>
    <w:p>
      <w:pPr>
        <w:pStyle w:val="BodyText"/>
      </w:pPr>
      <w:r>
        <w:t xml:space="preserve">The methodological role of these curated tasks is twofold. First, they create a traceable bridge between manual screening activity and the subset of records eligible for RAG ingestion. Second, they provide a review-oriented substrate that can support later evaluation design, for example by identifying papers considered related to thrombosis or likely to contain risk-factor evidence. However, the current repository evidence does not establish inter-annotator agreement, annotation completeness guarantees, or a clinical adjudication protocol. Those limitations must therefore be preserved explicitly when interpreting any downstream findings.</w:t>
      </w:r>
    </w:p>
    <w:bookmarkEnd w:id="61"/>
    <w:bookmarkStart w:id="62" w:name="reproducibility-protocol"/>
    <w:p>
      <w:pPr>
        <w:pStyle w:val="Heading2"/>
      </w:pPr>
      <w:r>
        <w:t xml:space="preserve">Reproducibility Protocol</w:t>
      </w:r>
    </w:p>
    <w:p>
      <w:pPr>
        <w:pStyle w:val="FirstParagraph"/>
      </w:pPr>
      <w:r>
        <w:t xml:space="preserve">Reproducibility is supported through the project’s repository-aware Engineering Wiki philosophy, configuration-driven execution, and durable intermediate artifacts. The curation workflow derives its behavior from environment variables controlling project identifiers, sheet selection, filter activation, export destinations, ingestion batch size, timeout values, and retry parameters. The export and ingestion stages both materialize inspectable files or request batches, which makes it possible to reconstruct which reviewed records were eligible for downstream import and which were excluded.</w:t>
      </w:r>
    </w:p>
    <w:p>
      <w:pPr>
        <w:pStyle w:val="BodyText"/>
      </w:pPr>
      <w:r>
        <w:t xml:space="preserve">This repository-aware protocol improves methodological transparency by preserving raw, clean, rejected, and missing-identifier artifacts as separate states in the curation lifecycle. Evaluation runs also preserve configuration snapshots, which supports traceability between metric outputs and the settings used during execution. These mechanisms improve reproducibility at the data-processing and artifact-audit levels, but they do not guarantee byte-identical future behavior because model runtime state, vector-store state, and corpus state may change. The main limitation is that some workflow assumptions remain external to the code, including the operational practice by which reviewers complete annotations before export. Consequently, certain governance properties of the review process still require procedural documentation beyond the repository.</w:t>
      </w:r>
    </w:p>
    <w:bookmarkEnd w:id="62"/>
    <w:bookmarkStart w:id="64" w:name="evaluation-protocol"/>
    <w:p>
      <w:pPr>
        <w:pStyle w:val="Heading2"/>
      </w:pPr>
      <w:r>
        <w:t xml:space="preserve">Evaluation Protocol</w:t>
      </w:r>
    </w:p>
    <w:p>
      <w:pPr>
        <w:pStyle w:val="FirstParagraph"/>
      </w:pPr>
      <w:r>
        <w:t xml:space="preserve">The current evaluation protocol uses 25 thrombosis oriented questions for answer generation. Each question is evaluated under three modes: LLM only, RAG without HyDE, and RAG with HyDE. The deterministic primary condition uses seed 42 and temperature 0.0, while a robustness group records five nominal seed settings at temperature 0.2.</w:t>
      </w:r>
    </w:p>
    <w:p>
      <w:pPr>
        <w:pStyle w:val="BodyText"/>
      </w:pPr>
      <w:r>
        <w:t xml:space="preserve">The evaluation is conducted using a phase-separated pipeline that materializes intermediate artifacts to ensure traceability and reproducibility. This approach separates the assessment of retrieval ranking from the assessment of answer quality and factor extraction. Table </w:t>
      </w:r>
      <w:hyperlink w:anchor="tab:evaluation-phases">
        <w:r>
          <w:rPr>
            <w:rStyle w:val="Hyperlink"/>
          </w:rPr>
          <w:t xml:space="preserve">5.1</w:t>
        </w:r>
      </w:hyperlink>
      <w:r>
        <w:t xml:space="preserve"> </w:t>
      </w:r>
      <w:r>
        <w:t xml:space="preserve">provides the master map of the six primary evaluation phases used throughout the thesis experiments.</w:t>
      </w:r>
    </w:p>
    <w:bookmarkStart w:id="63" w:name="tab:evaluation-phases"/>
    <w:p>
      <w:pPr>
        <w:pStyle w:val="TableCaption"/>
      </w:pPr>
      <w:r>
        <w:t xml:space="preserve">Overview of Evaluation Pipeline Phases.</w:t>
      </w:r>
    </w:p>
    <w:tbl>
      <w:tblPr>
        <w:tblStyle w:val="Table"/>
        <w:tblW w:type="auto" w:w="0"/>
        <w:tblLook w:firstRow="1" w:lastRow="0" w:firstColumn="0" w:lastColumn="0" w:noHBand="0" w:noVBand="0" w:val="0020"/>
        <w:tblCaption w:val="Overview of Evaluation Pipeline Phases."/>
      </w:tblPr>
      <w:tblGrid>
        <w:gridCol w:w="1584"/>
        <w:gridCol w:w="1584"/>
        <w:gridCol w:w="1584"/>
        <w:gridCol w:w="1584"/>
        <w:gridCol w:w="1584"/>
      </w:tblGrid>
      <w:tr>
        <w:trPr>
          <w:tblHeader w:val="on"/>
        </w:trPr>
        <w:tc>
          <w:tcPr/>
          <w:p>
            <w:pPr>
              <w:pStyle w:val="Compact"/>
              <w:jc w:val="left"/>
            </w:pPr>
            <w:r>
              <w:t xml:space="preserve">Phase</w:t>
            </w:r>
          </w:p>
        </w:tc>
        <w:tc>
          <w:tcPr/>
          <w:p>
            <w:pPr>
              <w:pStyle w:val="Compact"/>
              <w:jc w:val="left"/>
            </w:pPr>
            <w:r>
              <w:t xml:space="preserve">Name</w:t>
            </w:r>
          </w:p>
        </w:tc>
        <w:tc>
          <w:tcPr/>
          <w:p>
            <w:pPr>
              <w:pStyle w:val="Compact"/>
              <w:jc w:val="left"/>
            </w:pPr>
            <w:r>
              <w:t xml:space="preserve">Purpose</w:t>
            </w:r>
          </w:p>
        </w:tc>
        <w:tc>
          <w:tcPr/>
          <w:p>
            <w:pPr>
              <w:pStyle w:val="Compact"/>
              <w:jc w:val="left"/>
            </w:pPr>
            <w:r>
              <w:t xml:space="preserve">Input / Output</w:t>
            </w:r>
          </w:p>
        </w:tc>
        <w:tc>
          <w:tcPr/>
          <w:p>
            <w:pPr>
              <w:pStyle w:val="Compact"/>
              <w:jc w:val="left"/>
            </w:pPr>
            <w:r>
              <w:t xml:space="preserve">Metrics</w:t>
            </w:r>
          </w:p>
        </w:tc>
      </w:tr>
      <w:tr>
        <w:tc>
          <w:tcPr/>
          <w:p>
            <w:pPr>
              <w:pStyle w:val="Compact"/>
              <w:jc w:val="left"/>
            </w:pPr>
            <w:r>
              <w:t xml:space="preserve">Phase 1</w:t>
            </w:r>
          </w:p>
        </w:tc>
        <w:tc>
          <w:tcPr/>
          <w:p>
            <w:pPr>
              <w:pStyle w:val="Compact"/>
              <w:jc w:val="left"/>
            </w:pPr>
            <w:r>
              <w:t xml:space="preserve">Candidate Pooling</w:t>
            </w:r>
          </w:p>
        </w:tc>
        <w:tc>
          <w:tcPr/>
          <w:p>
            <w:pPr>
              <w:pStyle w:val="Compact"/>
              <w:jc w:val="left"/>
            </w:pPr>
            <w:r>
              <w:t xml:space="preserve">Extract candidate documents from multiple retrieval modes (Direct, HyDE) to build a pooled set for annotation.</w:t>
            </w:r>
          </w:p>
        </w:tc>
        <w:tc>
          <w:tcPr/>
          <w:p>
            <w:pPr>
              <w:pStyle w:val="Compact"/>
              <w:jc w:val="left"/>
            </w:pPr>
            <w:r>
              <w:rPr>
                <w:b/>
                <w:bCs/>
              </w:rPr>
              <w:t xml:space="preserve">I:</w:t>
            </w:r>
            <w:r>
              <w:t xml:space="preserve"> </w:t>
            </w:r>
            <w:r>
              <w:t xml:space="preserve">Queries, RAG API</w:t>
            </w:r>
            <w:r>
              <w:br/>
            </w:r>
            <w:r>
              <w:rPr>
                <w:b/>
                <w:bCs/>
              </w:rPr>
              <w:t xml:space="preserve">O:</w:t>
            </w:r>
            <w:r>
              <w:t xml:space="preserve"> </w:t>
            </w:r>
            <w:r>
              <w:rPr>
                <w:rStyle w:val="VerbatimChar"/>
              </w:rPr>
              <w:t xml:space="preserve">pooled_candidates.jsonl</w:t>
            </w:r>
          </w:p>
        </w:tc>
        <w:tc>
          <w:tcPr/>
          <w:p>
            <w:pPr>
              <w:pStyle w:val="Compact"/>
              <w:jc w:val="left"/>
            </w:pPr>
            <w:r>
              <w:t xml:space="preserve">N/A</w:t>
            </w:r>
          </w:p>
        </w:tc>
      </w:tr>
      <w:tr>
        <w:tc>
          <w:tcPr/>
          <w:p>
            <w:pPr>
              <w:pStyle w:val="Compact"/>
              <w:jc w:val="left"/>
            </w:pPr>
            <w:r>
              <w:t xml:space="preserve">Phase 2</w:t>
            </w:r>
          </w:p>
        </w:tc>
        <w:tc>
          <w:tcPr/>
          <w:p>
            <w:pPr>
              <w:pStyle w:val="Compact"/>
              <w:jc w:val="left"/>
            </w:pPr>
            <w:r>
              <w:t xml:space="preserve">Retrieval Evaluation</w:t>
            </w:r>
          </w:p>
        </w:tc>
        <w:tc>
          <w:tcPr/>
          <w:p>
            <w:pPr>
              <w:pStyle w:val="Compact"/>
              <w:jc w:val="left"/>
            </w:pPr>
            <w:r>
              <w:t xml:space="preserve">Compute Information Retrieval (IR) metrics for ranked document lists against gold relevance judgments (Qrels).</w:t>
            </w:r>
          </w:p>
        </w:tc>
        <w:tc>
          <w:tcPr/>
          <w:p>
            <w:pPr>
              <w:pStyle w:val="Compact"/>
              <w:jc w:val="left"/>
            </w:pPr>
            <w:r>
              <w:rPr>
                <w:b/>
                <w:bCs/>
              </w:rPr>
              <w:t xml:space="preserve">I:</w:t>
            </w:r>
            <w:r>
              <w:t xml:space="preserve"> </w:t>
            </w:r>
            <w:r>
              <w:rPr>
                <w:rStyle w:val="VerbatimChar"/>
              </w:rPr>
              <w:t xml:space="preserve">retrieval_*.jsonl</w:t>
            </w:r>
            <w:r>
              <w:t xml:space="preserve">,</w:t>
            </w:r>
            <w:r>
              <w:t xml:space="preserve"> </w:t>
            </w:r>
            <w:r>
              <w:rPr>
                <w:rStyle w:val="VerbatimChar"/>
              </w:rPr>
              <w:t xml:space="preserve">qrels.tsv</w:t>
            </w:r>
            <w:r>
              <w:br/>
            </w:r>
            <w:r>
              <w:rPr>
                <w:b/>
                <w:bCs/>
              </w:rPr>
              <w:t xml:space="preserve">O:</w:t>
            </w:r>
            <w:r>
              <w:t xml:space="preserve"> </w:t>
            </w:r>
            <w:r>
              <w:rPr>
                <w:rStyle w:val="VerbatimChar"/>
              </w:rPr>
              <w:t xml:space="preserve">retrieval_metrics.json</w:t>
            </w:r>
          </w:p>
        </w:tc>
        <w:tc>
          <w:tcPr/>
          <w:p>
            <w:pPr>
              <w:pStyle w:val="Compact"/>
              <w:jc w:val="left"/>
            </w:pPr>
            <w:r>
              <w:t xml:space="preserve">MRR, nDCG@k, P@k, R@k</w:t>
            </w:r>
          </w:p>
        </w:tc>
      </w:tr>
      <w:tr>
        <w:tc>
          <w:tcPr/>
          <w:p>
            <w:pPr>
              <w:pStyle w:val="Compact"/>
              <w:jc w:val="left"/>
            </w:pPr>
            <w:r>
              <w:t xml:space="preserve">Phase 3</w:t>
            </w:r>
          </w:p>
        </w:tc>
        <w:tc>
          <w:tcPr/>
          <w:p>
            <w:pPr>
              <w:pStyle w:val="Compact"/>
              <w:jc w:val="left"/>
            </w:pPr>
            <w:r>
              <w:t xml:space="preserve">Answer Generation</w:t>
            </w:r>
          </w:p>
        </w:tc>
        <w:tc>
          <w:tcPr/>
          <w:p>
            <w:pPr>
              <w:pStyle w:val="Compact"/>
              <w:jc w:val="left"/>
            </w:pPr>
            <w:r>
              <w:t xml:space="preserve">Execute the RAG pipeline or baseline LLM to generate answers for the query set.</w:t>
            </w:r>
          </w:p>
        </w:tc>
        <w:tc>
          <w:tcPr/>
          <w:p>
            <w:pPr>
              <w:pStyle w:val="Compact"/>
              <w:jc w:val="left"/>
            </w:pPr>
            <w:r>
              <w:rPr>
                <w:b/>
                <w:bCs/>
              </w:rPr>
              <w:t xml:space="preserve">I:</w:t>
            </w:r>
            <w:r>
              <w:t xml:space="preserve"> </w:t>
            </w:r>
            <w:r>
              <w:t xml:space="preserve">Queries, RAG API, Ollama API</w:t>
            </w:r>
            <w:r>
              <w:br/>
            </w:r>
            <w:r>
              <w:rPr>
                <w:b/>
                <w:bCs/>
              </w:rPr>
              <w:t xml:space="preserve">O:</w:t>
            </w:r>
            <w:r>
              <w:t xml:space="preserve"> </w:t>
            </w:r>
            <w:r>
              <w:rPr>
                <w:rStyle w:val="VerbatimChar"/>
              </w:rPr>
              <w:t xml:space="preserve">phase3_answers_*.jsonl</w:t>
            </w:r>
          </w:p>
        </w:tc>
        <w:tc>
          <w:tcPr/>
          <w:p>
            <w:pPr>
              <w:pStyle w:val="Compact"/>
              <w:jc w:val="left"/>
            </w:pPr>
            <w:r>
              <w:t xml:space="preserve">Mean Latency</w:t>
            </w:r>
          </w:p>
        </w:tc>
      </w:tr>
      <w:tr>
        <w:tc>
          <w:tcPr/>
          <w:p>
            <w:pPr>
              <w:pStyle w:val="Compact"/>
              <w:jc w:val="left"/>
            </w:pPr>
            <w:r>
              <w:t xml:space="preserve">Phase 4</w:t>
            </w:r>
          </w:p>
        </w:tc>
        <w:tc>
          <w:tcPr/>
          <w:p>
            <w:pPr>
              <w:pStyle w:val="Compact"/>
              <w:jc w:val="left"/>
            </w:pPr>
            <w:r>
              <w:t xml:space="preserve">RAGAS Evaluation</w:t>
            </w:r>
          </w:p>
        </w:tc>
        <w:tc>
          <w:tcPr/>
          <w:p>
            <w:pPr>
              <w:pStyle w:val="Compact"/>
              <w:jc w:val="left"/>
            </w:pPr>
            <w:r>
              <w:t xml:space="preserve">Assess answer quality using automated multi-dimensional metrics for RAG systems.</w:t>
            </w:r>
          </w:p>
        </w:tc>
        <w:tc>
          <w:tcPr/>
          <w:p>
            <w:pPr>
              <w:pStyle w:val="Compact"/>
              <w:jc w:val="left"/>
            </w:pPr>
            <w:r>
              <w:rPr>
                <w:b/>
                <w:bCs/>
              </w:rPr>
              <w:t xml:space="preserve">I:</w:t>
            </w:r>
            <w:r>
              <w:t xml:space="preserve"> </w:t>
            </w:r>
            <w:r>
              <w:rPr>
                <w:rStyle w:val="VerbatimChar"/>
              </w:rPr>
              <w:t xml:space="preserve">phase3_answers_*.jsonl</w:t>
            </w:r>
            <w:r>
              <w:t xml:space="preserve">, Ollama API</w:t>
            </w:r>
            <w:r>
              <w:br/>
            </w:r>
            <w:r>
              <w:rPr>
                <w:b/>
                <w:bCs/>
              </w:rPr>
              <w:t xml:space="preserve">O:</w:t>
            </w:r>
            <w:r>
              <w:t xml:space="preserve"> </w:t>
            </w:r>
            <w:r>
              <w:rPr>
                <w:rStyle w:val="VerbatimChar"/>
              </w:rPr>
              <w:t xml:space="preserve">phase4_ragas_*.jsonl</w:t>
            </w:r>
          </w:p>
        </w:tc>
        <w:tc>
          <w:tcPr/>
          <w:p>
            <w:pPr>
              <w:pStyle w:val="Compact"/>
              <w:jc w:val="left"/>
            </w:pPr>
            <w:r>
              <w:t xml:space="preserve">Faithfulness, Relevancy</w:t>
            </w:r>
          </w:p>
        </w:tc>
      </w:tr>
      <w:tr>
        <w:tc>
          <w:tcPr/>
          <w:p>
            <w:pPr>
              <w:pStyle w:val="Compact"/>
              <w:jc w:val="left"/>
            </w:pPr>
            <w:r>
              <w:t xml:space="preserve">Phase 5</w:t>
            </w:r>
          </w:p>
        </w:tc>
        <w:tc>
          <w:tcPr/>
          <w:p>
            <w:pPr>
              <w:pStyle w:val="Compact"/>
              <w:jc w:val="left"/>
            </w:pPr>
            <w:r>
              <w:t xml:space="preserve">Consistency Audit</w:t>
            </w:r>
          </w:p>
        </w:tc>
        <w:tc>
          <w:tcPr/>
          <w:p>
            <w:pPr>
              <w:pStyle w:val="Compact"/>
              <w:jc w:val="left"/>
            </w:pPr>
            <w:r>
              <w:t xml:space="preserve">Sample generated outputs to support manual audit and verify internal system consistency.</w:t>
            </w:r>
          </w:p>
        </w:tc>
        <w:tc>
          <w:tcPr/>
          <w:p>
            <w:pPr>
              <w:pStyle w:val="Compact"/>
              <w:jc w:val="left"/>
            </w:pPr>
            <w:r>
              <w:rPr>
                <w:b/>
                <w:bCs/>
              </w:rPr>
              <w:t xml:space="preserve">I:</w:t>
            </w:r>
            <w:r>
              <w:t xml:space="preserve"> </w:t>
            </w:r>
            <w:r>
              <w:rPr>
                <w:rStyle w:val="VerbatimChar"/>
              </w:rPr>
              <w:t xml:space="preserve">phase3_answers_*.jsonl</w:t>
            </w:r>
            <w:r>
              <w:br/>
            </w:r>
            <w:r>
              <w:rPr>
                <w:b/>
                <w:bCs/>
              </w:rPr>
              <w:t xml:space="preserve">O:</w:t>
            </w:r>
            <w:r>
              <w:t xml:space="preserve"> </w:t>
            </w:r>
            <w:r>
              <w:rPr>
                <w:rStyle w:val="VerbatimChar"/>
              </w:rPr>
              <w:t xml:space="preserve">audit_sample.json</w:t>
            </w:r>
          </w:p>
        </w:tc>
        <w:tc>
          <w:tcPr/>
          <w:p>
            <w:pPr>
              <w:pStyle w:val="Compact"/>
              <w:jc w:val="left"/>
            </w:pPr>
            <w:r>
              <w:t xml:space="preserve">N/A</w:t>
            </w:r>
          </w:p>
        </w:tc>
      </w:tr>
      <w:tr>
        <w:tc>
          <w:tcPr/>
          <w:p>
            <w:pPr>
              <w:pStyle w:val="Compact"/>
              <w:jc w:val="left"/>
            </w:pPr>
            <w:r>
              <w:t xml:space="preserve">Phase 6</w:t>
            </w:r>
          </w:p>
        </w:tc>
        <w:tc>
          <w:tcPr/>
          <w:p>
            <w:pPr>
              <w:pStyle w:val="Compact"/>
              <w:jc w:val="left"/>
            </w:pPr>
            <w:r>
              <w:t xml:space="preserve">Extraction Evaluation</w:t>
            </w:r>
          </w:p>
        </w:tc>
        <w:tc>
          <w:tcPr/>
          <w:p>
            <w:pPr>
              <w:pStyle w:val="Compact"/>
              <w:jc w:val="left"/>
            </w:pPr>
            <w:r>
              <w:t xml:space="preserve">Compare extracted risk factors against a derived gold reference substrate from curated annotations.</w:t>
            </w:r>
          </w:p>
        </w:tc>
        <w:tc>
          <w:tcPr/>
          <w:p>
            <w:pPr>
              <w:pStyle w:val="Compact"/>
              <w:jc w:val="left"/>
            </w:pPr>
            <w:r>
              <w:rPr>
                <w:b/>
                <w:bCs/>
              </w:rPr>
              <w:t xml:space="preserve">I:</w:t>
            </w:r>
            <w:r>
              <w:t xml:space="preserve"> </w:t>
            </w:r>
            <w:r>
              <w:rPr>
                <w:rStyle w:val="VerbatimChar"/>
              </w:rPr>
              <w:t xml:space="preserve">phase3_answers_*.jsonl</w:t>
            </w:r>
            <w:r>
              <w:t xml:space="preserve">,</w:t>
            </w:r>
            <w:r>
              <w:t xml:space="preserve"> </w:t>
            </w:r>
            <w:r>
              <w:rPr>
                <w:rStyle w:val="VerbatimChar"/>
              </w:rPr>
              <w:t xml:space="preserve">tasks_clean.json</w:t>
            </w:r>
            <w:r>
              <w:br/>
            </w:r>
            <w:r>
              <w:rPr>
                <w:b/>
                <w:bCs/>
              </w:rPr>
              <w:t xml:space="preserve">O:</w:t>
            </w:r>
            <w:r>
              <w:t xml:space="preserve"> </w:t>
            </w:r>
            <w:r>
              <w:rPr>
                <w:rStyle w:val="VerbatimChar"/>
              </w:rPr>
              <w:t xml:space="preserve">phase6_extraction_*.csv</w:t>
            </w:r>
          </w:p>
        </w:tc>
        <w:tc>
          <w:tcPr/>
          <w:p>
            <w:pPr>
              <w:pStyle w:val="Compact"/>
              <w:jc w:val="left"/>
            </w:pPr>
            <w:r>
              <w:t xml:space="preserve">Precision, Recall, F1</w:t>
            </w:r>
          </w:p>
        </w:tc>
      </w:tr>
    </w:tbl>
    <w:bookmarkEnd w:id="63"/>
    <w:p>
      <w:pPr>
        <w:pStyle w:val="BodyText"/>
      </w:pPr>
      <w:r>
        <w:t xml:space="preserve">The output of each phase is materialized before the next phase runs, so generated answer files, RAGAS outputs, extraction summaries, and benchmark summaries can be inspected independently.</w:t>
      </w:r>
    </w:p>
    <w:p>
      <w:pPr>
        <w:pStyle w:val="BodyText"/>
      </w:pPr>
      <w:r>
        <w:t xml:space="preserve">Seeds are used so that repeated runs can separate random variation from architectural behavior. In simple terms, a seed fixes the random starting point used by the model when temperature is above zero. If two runs use the same prompt, same model, same temperature, and same seed, they should follow the same stochastic path more closely than runs with different seeds. For a non-technical reader, this can be understood like shuffling a deck of cards with a numbered shuffle recipe: using the same recipe reproduces the same order, while changing the recipe can change the order. This is why the deterministic benchmark fixes seed 42 and why the robustness group repeats the experiment across seeds 11, 22, 33, 44, and 55.</w:t>
      </w:r>
    </w:p>
    <w:p>
      <w:pPr>
        <w:pStyle w:val="BodyText"/>
      </w:pPr>
      <w:r>
        <w:t xml:space="preserve">Extraction evaluation is conditional on the availability of derived gold factors from the curated annotation substrate. Under the configured no-gold policy, queries without derived reference factors are skipped rather than counted as failures. This produces a query coverage rate of 0.52 and means that extraction results describe only the covered subset.</w:t>
      </w:r>
    </w:p>
    <w:p>
      <w:pPr>
        <w:pStyle w:val="BodyText"/>
      </w:pPr>
      <w:r>
        <w:t xml:space="preserve">The reference substrate remains useful for reproducible system evaluation because it ties scoring to explicit curation artifacts, DOI alignment, confidence policy, and canonical factor matching. It should not be interpreted as an adjudicated clinical gold standard. This distinction is central to the methodology: the thesis evaluates a research prototype and its measurement pipeline, not clinical safety or diagnostic correctness.</w:t>
      </w:r>
    </w:p>
    <w:bookmarkEnd w:id="64"/>
    <w:bookmarkEnd w:id="65"/>
    <w:bookmarkStart w:id="82" w:name="implementation-details"/>
    <w:p>
      <w:pPr>
        <w:pStyle w:val="Heading1"/>
      </w:pPr>
      <w:r>
        <w:t xml:space="preserve">Implementation Details</w:t>
      </w:r>
    </w:p>
    <w:bookmarkStart w:id="71" w:name="label-studio-tools-pipeline"/>
    <w:p>
      <w:pPr>
        <w:pStyle w:val="Heading2"/>
      </w:pPr>
      <w:r>
        <w:t xml:space="preserve">Label Studio Tools Pipeline</w:t>
      </w:r>
    </w:p>
    <w:p>
      <w:pPr>
        <w:pStyle w:val="FirstParagraph"/>
      </w:pPr>
      <w:r>
        <w:t xml:space="preserve">The</w:t>
      </w:r>
      <w:r>
        <w:t xml:space="preserve"> </w:t>
      </w:r>
      <w:r>
        <w:rPr>
          <w:rStyle w:val="VerbatimChar"/>
        </w:rPr>
        <w:t xml:space="preserve">labelstudio-tools</w:t>
      </w:r>
      <w:r>
        <w:t xml:space="preserve"> </w:t>
      </w:r>
      <w:r>
        <w:t xml:space="preserve">package implements the curation-side integration between abstract preparation, Label Studio task management, exported review artifacts, and RAG ingestion handoff. Its implementation purpose is operational rather than algorithmic: it converts reviewable biomedical records into task payloads, retrieves reviewed tasks from Label Studio, enriches them with missing bibliographic identifiers, and serializes a clean subset that can be ingested through the biomedical platform API. This package is therefore part of the data-curation plane, not part of the online retrieval path.</w:t>
      </w:r>
    </w:p>
    <w:bookmarkStart w:id="66" w:name="configuration-and-execution-model"/>
    <w:p>
      <w:pPr>
        <w:pStyle w:val="Heading3"/>
      </w:pPr>
      <w:r>
        <w:t xml:space="preserve">Configuration and Execution Model</w:t>
      </w:r>
    </w:p>
    <w:p>
      <w:pPr>
        <w:pStyle w:val="FirstParagraph"/>
      </w:pPr>
      <w:r>
        <w:t xml:space="preserve">Configuration is environment-driven. The package resolves a project root from the active</w:t>
      </w:r>
      <w:r>
        <w:t xml:space="preserve"> </w:t>
      </w:r>
      <w:r>
        <w:rPr>
          <w:rStyle w:val="VerbatimChar"/>
        </w:rPr>
        <w:t xml:space="preserve">.env</w:t>
      </w:r>
      <w:r>
        <w:t xml:space="preserve"> </w:t>
      </w:r>
      <w:r>
        <w:t xml:space="preserve">file, configures logging centrally, and exposes variables for Label Studio connectivity, Excel input location, filter toggles, export destinations, and RAG ingestion behavior. This design keeps the implementation portable across local runs and batch executions, while making behavior explicit enough to reproduce the same data-processing path under controlled settings.</w:t>
      </w:r>
    </w:p>
    <w:bookmarkEnd w:id="66"/>
    <w:bookmarkStart w:id="67" w:name="X918ed38382b820d48cf9cb9046b98dff8db5ee1"/>
    <w:p>
      <w:pPr>
        <w:pStyle w:val="Heading3"/>
      </w:pPr>
      <w:r>
        <w:t xml:space="preserve">Excel Loading, Filtering, and Task Transformation</w:t>
      </w:r>
    </w:p>
    <w:p>
      <w:pPr>
        <w:pStyle w:val="FirstParagraph"/>
      </w:pPr>
      <w:r>
        <w:t xml:space="preserve">The task-preparation entrypoint loads an Excel worksheet into a dataframe, rejects empty inputs, and fails fast when required columns are missing. Optional boolean-like columns are normalized into consistent truth values before any filtering logic is applied. The filtering stage can exclude pre-marked records, records declared unrelated to venous thrombosis, or records not reporting on risk factors, depending on configuration. After optional sampling, each valid row is transformed into a minimal Label Studio task containing PMID, title, and abstract content; rows without PMID are skipped to avoid generating invalid review items.</w:t>
      </w:r>
    </w:p>
    <w:bookmarkEnd w:id="67"/>
    <w:bookmarkStart w:id="68" w:name="task-upload-and-retry-behavior"/>
    <w:p>
      <w:pPr>
        <w:pStyle w:val="Heading3"/>
      </w:pPr>
      <w:r>
        <w:t xml:space="preserve">Task Upload and Retry Behavior</w:t>
      </w:r>
    </w:p>
    <w:p>
      <w:pPr>
        <w:pStyle w:val="FirstParagraph"/>
      </w:pPr>
      <w:r>
        <w:t xml:space="preserve">Task upload is implemented through the Label Studio Software Development Kit (SDK). Before import, the uploader checks authentication and verifies that the configured project identifier is visible to the current account. Tasks are then sent in fixed-size batches, with exponential retry backoff applied when a batch import fails. This implementation favors robustness over strict immediacy, which is appropriate for a curation workflow where transient network or service failures should not force a full restart of the import process.</w:t>
      </w:r>
    </w:p>
    <w:bookmarkEnd w:id="68"/>
    <w:bookmarkStart w:id="69" w:name="Xf2b9b0135dbdb9735d32885c64b58e90a5f8697"/>
    <w:p>
      <w:pPr>
        <w:pStyle w:val="Heading3"/>
      </w:pPr>
      <w:r>
        <w:t xml:space="preserve">Export, DOI Enrichment, and Clean Task Serialization</w:t>
      </w:r>
    </w:p>
    <w:p>
      <w:pPr>
        <w:pStyle w:val="FirstParagraph"/>
      </w:pPr>
      <w:r>
        <w:t xml:space="preserve">The export-side workflow uses the Label Studio API to page through project tasks, refresh an access token when needed, and collect the project task list. In the observed artifact snapshot, exported tasks are marked as labeled, but the code should still be understood as an export and cleaning utility rather than as an adjudication engine. Exported tasks are then passed through DOI enrichment, after which the pipeline validates whether each task contains the metadata required for downstream ingestion, including source, source identifier, DOI, year, journal, authors, title, and abstract. The implementation writes separate raw, clean, rejected, and missing-identifier JSON artifacts atomically, which improves recoverability and makes data-quality failures inspectable without rerunning the entire export.</w:t>
      </w:r>
    </w:p>
    <w:bookmarkEnd w:id="69"/>
    <w:bookmarkStart w:id="70" w:name="rag-ingestion-handoff"/>
    <w:p>
      <w:pPr>
        <w:pStyle w:val="Heading3"/>
      </w:pPr>
      <w:r>
        <w:t xml:space="preserve">RAG Ingestion Handoff</w:t>
      </w:r>
    </w:p>
    <w:p>
      <w:pPr>
        <w:pStyle w:val="FirstParagraph"/>
      </w:pPr>
      <w:r>
        <w:t xml:space="preserve">When a clean task dataset is available, a dedicated integration script converts each task into the ingestion schema expected by the biomedical platform. Only tasks with complete DOI, year, title, journal, author list, and abstract fields are transformed into ingestion items. These items are batched and posted to the</w:t>
      </w:r>
      <w:r>
        <w:t xml:space="preserve"> </w:t>
      </w:r>
      <w:r>
        <w:rPr>
          <w:rStyle w:val="VerbatimChar"/>
        </w:rPr>
        <w:t xml:space="preserve">/v1/ingest/items</w:t>
      </w:r>
      <w:r>
        <w:t xml:space="preserve"> </w:t>
      </w:r>
      <w:r>
        <w:t xml:space="preserve">endpoint, with special retry handling for transport failures, rate limiting responses, and server-side failures. A short post-success delay is also applied to reduce the probability of immediate rate-limit pressure on consecutive batches.</w:t>
      </w:r>
    </w:p>
    <w:bookmarkEnd w:id="70"/>
    <w:bookmarkEnd w:id="71"/>
    <w:bookmarkStart w:id="72" w:name="ingestion-and-embedding-strategy"/>
    <w:p>
      <w:pPr>
        <w:pStyle w:val="Heading2"/>
      </w:pPr>
      <w:r>
        <w:t xml:space="preserve">Ingestion and Embedding Strategy</w:t>
      </w:r>
    </w:p>
    <w:p>
      <w:pPr>
        <w:pStyle w:val="FirstParagraph"/>
      </w:pPr>
      <w:r>
        <w:t xml:space="preserve">The ingestion strategy is implemented in the biomedical RAG service. At the core of the indexing pipeline is a domain-specific</w:t>
      </w:r>
      <w:r>
        <w:t xml:space="preserve"> </w:t>
      </w:r>
      <w:r>
        <w:rPr>
          <w:rStyle w:val="VerbatimChar"/>
        </w:rPr>
        <w:t xml:space="preserve">SectionAwareChunker</w:t>
      </w:r>
      <w:r>
        <w:t xml:space="preserve">. Unlike naive token-based chunkers, this component respects biomedical document structure. It actively detects and filters out non-informative sections—such as bibliographies—ensuring that only evidence-bearing text is embedded and indexed. Embeddings are generated locally using the</w:t>
      </w:r>
      <w:r>
        <w:t xml:space="preserve"> </w:t>
      </w:r>
      <w:r>
        <w:rPr>
          <w:rStyle w:val="VerbatimChar"/>
        </w:rPr>
        <w:t xml:space="preserve">SentenceTransformersEmbeddingProvider</w:t>
      </w:r>
      <w:r>
        <w:t xml:space="preserve">, which transforms the chunks into dense vectors before they are stored in the Qdrant vector database </w:t>
      </w:r>
      <w:r>
        <w:t xml:space="preserve">(</w:t>
      </w:r>
      <w:r>
        <w:rPr>
          <w:b/>
          <w:bCs/>
        </w:rPr>
        <w:t xml:space="preserve">reimers2019sentencebert?</w:t>
      </w:r>
      <w:r>
        <w:t xml:space="preserve">;</w:t>
      </w:r>
      <w:r>
        <w:t xml:space="preserve"> </w:t>
      </w:r>
      <w:r>
        <w:rPr>
          <w:b/>
          <w:bCs/>
        </w:rPr>
        <w:t xml:space="preserve">qdrant2026collections?</w:t>
      </w:r>
      <w:r>
        <w:t xml:space="preserve">)</w:t>
      </w:r>
      <w:r>
        <w:t xml:space="preserve">.</w:t>
      </w:r>
    </w:p>
    <w:bookmarkEnd w:id="72"/>
    <w:bookmarkStart w:id="73" w:name="retrieval-logic"/>
    <w:p>
      <w:pPr>
        <w:pStyle w:val="Heading2"/>
      </w:pPr>
      <w:r>
        <w:t xml:space="preserve">Retrieval Logic</w:t>
      </w:r>
    </w:p>
    <w:p>
      <w:pPr>
        <w:pStyle w:val="FirstParagraph"/>
      </w:pPr>
      <w:r>
        <w:t xml:space="preserve">The retrieval logic, orchestrated by the</w:t>
      </w:r>
      <w:r>
        <w:t xml:space="preserve"> </w:t>
      </w:r>
      <w:r>
        <w:rPr>
          <w:rStyle w:val="VerbatimChar"/>
        </w:rPr>
        <w:t xml:space="preserve">AskUseCase</w:t>
      </w:r>
      <w:r>
        <w:t xml:space="preserve">, uses a multi-stage hybrid system rather than relying exclusively on dense vector search. The pipeline begins with an optional retrieval expansion phase using Hypothetical Document Embeddings (HyDE), which generates a hypothetical passage and retrieves additional candidates from the same vector index </w:t>
      </w:r>
      <w:r>
        <w:t xml:space="preserve">(</w:t>
      </w:r>
      <w:r>
        <w:rPr>
          <w:b/>
          <w:bCs/>
        </w:rPr>
        <w:t xml:space="preserve">gao2023hyde?</w:t>
      </w:r>
      <w:r>
        <w:t xml:space="preserve">)</w:t>
      </w:r>
      <w:r>
        <w:t xml:space="preserve">.</w:t>
      </w:r>
    </w:p>
    <w:p>
      <w:pPr>
        <w:pStyle w:val="BodyText"/>
      </w:pPr>
      <w:r>
        <w:t xml:space="preserve">Following candidate generation, the system uses a hybrid ranker to fuse signals. This ranker combines dense vector ranks, optional HyDE ranks, and in-memory lexical BM25-style ranks through reciprocal-rank fusion </w:t>
      </w:r>
      <w:r>
        <w:t xml:space="preserve">(</w:t>
      </w:r>
      <w:r>
        <w:rPr>
          <w:b/>
          <w:bCs/>
        </w:rPr>
        <w:t xml:space="preserve">cormack2009reciprocal?</w:t>
      </w:r>
      <w:r>
        <w:t xml:space="preserve">)</w:t>
      </w:r>
      <w:r>
        <w:t xml:space="preserve">. It also applies section weights; for example, evidence located in results or conclusions sections receives higher weight than methods or supplementary sections. This domain-oriented ranking policy biases the final context window toward more evidence-bearing sections, but it does not guarantee that clinically most important evidence is always selected.</w:t>
      </w:r>
    </w:p>
    <w:bookmarkEnd w:id="73"/>
    <w:bookmarkStart w:id="74" w:name="synthesis-and-validation"/>
    <w:p>
      <w:pPr>
        <w:pStyle w:val="Heading2"/>
      </w:pPr>
      <w:r>
        <w:t xml:space="preserve">Synthesis and Validation</w:t>
      </w:r>
    </w:p>
    <w:p>
      <w:pPr>
        <w:pStyle w:val="FirstParagraph"/>
      </w:pPr>
      <w:r>
        <w:t xml:space="preserve">Once the top-ranked contexts are finalized, the system enforces a strict JSON-only prompt during synthesis. The application layer performs post-generation parsing, schema validation, and citation backfilling so that extracted risk factors are linked to provided context chunks when possible. This validation layer reduces unsupported output and improves compatibility with downstream evaluators, but it does not eliminate hallucination risk or establish clinical correctness.</w:t>
      </w:r>
    </w:p>
    <w:bookmarkEnd w:id="74"/>
    <w:bookmarkStart w:id="75" w:name="error-handling"/>
    <w:p>
      <w:pPr>
        <w:pStyle w:val="Heading2"/>
      </w:pPr>
      <w:r>
        <w:t xml:space="preserve">Error Handling</w:t>
      </w:r>
    </w:p>
    <w:p>
      <w:pPr>
        <w:pStyle w:val="FirstParagraph"/>
      </w:pPr>
      <w:r>
        <w:t xml:space="preserve">Error handling in the curation pipeline is structured around fail-fast validation and bounded retries. Invalid Excel inputs, missing required environment variables, missing project access, empty valid-task sets, and malformed task datasets all raise explicit runtime errors. By contrast, operations exposed to network variability use retry loops with exponential backoff, including Label Studio batch import and RAG ingestion requests. The implementation therefore distinguishes between non-recoverable configuration or data-shape faults and recoverable transport or service instability.</w:t>
      </w:r>
    </w:p>
    <w:bookmarkEnd w:id="75"/>
    <w:bookmarkStart w:id="79" w:name="testing-strategy"/>
    <w:p>
      <w:pPr>
        <w:pStyle w:val="Heading2"/>
      </w:pPr>
      <w:r>
        <w:t xml:space="preserve">Testing Strategy</w:t>
      </w:r>
    </w:p>
    <w:p>
      <w:pPr>
        <w:pStyle w:val="FirstParagraph"/>
      </w:pPr>
      <w:r>
        <w:t xml:space="preserve">The repository uses a layered test layout rather than a single unit-test suite. The biomedical platform and scheduler keep pytest-based package-local tests </w:t>
      </w:r>
      <w:r>
        <w:t xml:space="preserve">(</w:t>
      </w:r>
      <w:r>
        <w:rPr>
          <w:b/>
          <w:bCs/>
        </w:rPr>
        <w:t xml:space="preserve">pytest2026docs?</w:t>
      </w:r>
      <w:r>
        <w:t xml:space="preserve">)</w:t>
      </w:r>
      <w:r>
        <w:t xml:space="preserve"> </w:t>
      </w:r>
      <w:r>
        <w:t xml:space="preserve">in their own</w:t>
      </w:r>
      <w:r>
        <w:t xml:space="preserve"> </w:t>
      </w:r>
      <w:r>
        <w:rPr>
          <w:rStyle w:val="VerbatimChar"/>
        </w:rPr>
        <w:t xml:space="preserve">tests</w:t>
      </w:r>
      <w:r>
        <w:t xml:space="preserve"> </w:t>
      </w:r>
      <w:r>
        <w:t xml:space="preserve">directories and execute them through package-specific</w:t>
      </w:r>
      <w:r>
        <w:t xml:space="preserve"> </w:t>
      </w:r>
      <w:r>
        <w:rPr>
          <w:rStyle w:val="VerbatimChar"/>
        </w:rPr>
        <w:t xml:space="preserve">make test</w:t>
      </w:r>
      <w:r>
        <w:t xml:space="preserve"> </w:t>
      </w:r>
      <w:r>
        <w:t xml:space="preserve">targets with coverage reporting and an 80% threshold in the current continuous-integration workflow. The curation-side</w:t>
      </w:r>
      <w:r>
        <w:t xml:space="preserve"> </w:t>
      </w:r>
      <w:r>
        <w:rPr>
          <w:rStyle w:val="VerbatimChar"/>
        </w:rPr>
        <w:t xml:space="preserve">labelstudio-tools</w:t>
      </w:r>
      <w:r>
        <w:t xml:space="preserve"> </w:t>
      </w:r>
      <w:r>
        <w:t xml:space="preserve">package keeps a separate</w:t>
      </w:r>
      <w:r>
        <w:t xml:space="preserve"> </w:t>
      </w:r>
      <w:r>
        <w:rPr>
          <w:rStyle w:val="VerbatimChar"/>
        </w:rPr>
        <w:t xml:space="preserve">src/test/python</w:t>
      </w:r>
      <w:r>
        <w:t xml:space="preserve"> </w:t>
      </w:r>
      <w:r>
        <w:t xml:space="preserve">suite for deterministic data-processing behavior, while cross-component and workflow-level validation is concentrated in the top-level</w:t>
      </w:r>
      <w:r>
        <w:t xml:space="preserve"> </w:t>
      </w:r>
      <w:r>
        <w:rPr>
          <w:rStyle w:val="VerbatimChar"/>
        </w:rPr>
        <w:t xml:space="preserve">tests/bdd</w:t>
      </w:r>
      <w:r>
        <w:t xml:space="preserve"> </w:t>
      </w:r>
      <w:r>
        <w:t xml:space="preserve">tree, which includes feature files, step definitions, helper clients, and a dedicated Docker Compose environment </w:t>
      </w:r>
      <w:r>
        <w:t xml:space="preserve">(</w:t>
      </w:r>
      <w:r>
        <w:rPr>
          <w:b/>
          <w:bCs/>
        </w:rPr>
        <w:t xml:space="preserve">dockercompose2026docs?</w:t>
      </w:r>
      <w:r>
        <w:t xml:space="preserve">)</w:t>
      </w:r>
      <w:r>
        <w:t xml:space="preserve">.</w:t>
      </w:r>
    </w:p>
    <w:bookmarkStart w:id="76" w:name="unit-testing"/>
    <w:p>
      <w:pPr>
        <w:pStyle w:val="Heading3"/>
      </w:pPr>
      <w:r>
        <w:t xml:space="preserve">Unit Testing</w:t>
      </w:r>
    </w:p>
    <w:p>
      <w:pPr>
        <w:pStyle w:val="FirstParagraph"/>
      </w:pPr>
      <w:r>
        <w:t xml:space="preserve">Unit tests </w:t>
      </w:r>
      <w:r>
        <w:t xml:space="preserve">(</w:t>
      </w:r>
      <w:r>
        <w:rPr>
          <w:b/>
          <w:bCs/>
        </w:rPr>
        <w:t xml:space="preserve">meszaros2007xunit?</w:t>
      </w:r>
      <w:r>
        <w:t xml:space="preserve">)</w:t>
      </w:r>
      <w:r>
        <w:t xml:space="preserve"> </w:t>
      </w:r>
      <w:r>
        <w:t xml:space="preserve">are the dominant layer in the repository. In the biomedical platform they target API error handling, configuration loading, retrieval and ingestion use cases, chunking, hybrid ranking, synthesis, readiness checks, and adapter behavior. These tests isolate collaborators with</w:t>
      </w:r>
      <w:r>
        <w:t xml:space="preserve"> </w:t>
      </w:r>
      <w:r>
        <w:rPr>
          <w:rStyle w:val="VerbatimChar"/>
        </w:rPr>
        <w:t xml:space="preserve">AsyncMock</w:t>
      </w:r>
      <w:r>
        <w:t xml:space="preserve">,</w:t>
      </w:r>
      <w:r>
        <w:t xml:space="preserve"> </w:t>
      </w:r>
      <w:r>
        <w:rPr>
          <w:rStyle w:val="VerbatimChar"/>
        </w:rPr>
        <w:t xml:space="preserve">MagicMock</w:t>
      </w:r>
      <w:r>
        <w:t xml:space="preserve">,</w:t>
      </w:r>
      <w:r>
        <w:t xml:space="preserve"> </w:t>
      </w:r>
      <w:r>
        <w:rPr>
          <w:rStyle w:val="VerbatimChar"/>
        </w:rPr>
        <w:t xml:space="preserve">monkeypatch</w:t>
      </w:r>
      <w:r>
        <w:t xml:space="preserve">, and lightweight stubs so that ranking, chunk construction, idempotency handling, and error normalization can be verified without live infrastructure. The scheduler follows the same pattern for endpoint mapping, runtime orchestration, repository mapping, database utility logic, and external PubMed or RAG client adapters. The</w:t>
      </w:r>
      <w:r>
        <w:t xml:space="preserve"> </w:t>
      </w:r>
      <w:r>
        <w:rPr>
          <w:rStyle w:val="VerbatimChar"/>
        </w:rPr>
        <w:t xml:space="preserve">labelstudio-tools</w:t>
      </w:r>
      <w:r>
        <w:t xml:space="preserve"> </w:t>
      </w:r>
      <w:r>
        <w:t xml:space="preserve">package uses</w:t>
      </w:r>
      <w:r>
        <w:t xml:space="preserve"> </w:t>
      </w:r>
      <w:r>
        <w:rPr>
          <w:rStyle w:val="VerbatimChar"/>
        </w:rPr>
        <w:t xml:space="preserve">unittest</w:t>
      </w:r>
      <w:r>
        <w:t xml:space="preserve"> </w:t>
      </w:r>
      <w:r>
        <w:t xml:space="preserve">and</w:t>
      </w:r>
      <w:r>
        <w:t xml:space="preserve"> </w:t>
      </w:r>
      <w:r>
        <w:rPr>
          <w:rStyle w:val="VerbatimChar"/>
        </w:rPr>
        <w:t xml:space="preserve">unittest.mock</w:t>
      </w:r>
      <w:r>
        <w:t xml:space="preserve"> </w:t>
      </w:r>
      <w:r>
        <w:t xml:space="preserve">(</w:t>
      </w:r>
      <w:r>
        <w:rPr>
          <w:b/>
          <w:bCs/>
        </w:rPr>
        <w:t xml:space="preserve">python2026unittest?</w:t>
      </w:r>
      <w:r>
        <w:t xml:space="preserve">;</w:t>
      </w:r>
      <w:r>
        <w:t xml:space="preserve"> </w:t>
      </w:r>
      <w:r>
        <w:rPr>
          <w:b/>
          <w:bCs/>
        </w:rPr>
        <w:t xml:space="preserve">python2026unittestmock?</w:t>
      </w:r>
      <w:r>
        <w:t xml:space="preserve">)</w:t>
      </w:r>
      <w:r>
        <w:t xml:space="preserve"> </w:t>
      </w:r>
      <w:r>
        <w:t xml:space="preserve">to cover environment parsing, Excel loading, filtering rules, task transformation, and uploader retry behavior.</w:t>
      </w:r>
    </w:p>
    <w:bookmarkEnd w:id="76"/>
    <w:bookmarkStart w:id="77" w:name="integration-testing"/>
    <w:p>
      <w:pPr>
        <w:pStyle w:val="Heading3"/>
      </w:pPr>
      <w:r>
        <w:t xml:space="preserve">Integration Testing</w:t>
      </w:r>
    </w:p>
    <w:p>
      <w:pPr>
        <w:pStyle w:val="FirstParagraph"/>
      </w:pPr>
      <w:r>
        <w:t xml:space="preserve">Integration validation </w:t>
      </w:r>
      <w:r>
        <w:t xml:space="preserve">(</w:t>
      </w:r>
      <w:r>
        <w:rPr>
          <w:b/>
          <w:bCs/>
        </w:rPr>
        <w:t xml:space="preserve">istqb2024ctfl?</w:t>
      </w:r>
      <w:r>
        <w:t xml:space="preserve">)</w:t>
      </w:r>
      <w:r>
        <w:t xml:space="preserve"> </w:t>
      </w:r>
      <w:r>
        <w:t xml:space="preserve">is narrower but still present. At the service boundary, FastAPI endpoint tests </w:t>
      </w:r>
      <w:r>
        <w:t xml:space="preserve">(</w:t>
      </w:r>
      <w:r>
        <w:rPr>
          <w:b/>
          <w:bCs/>
        </w:rPr>
        <w:t xml:space="preserve">fastapi2026docs?</w:t>
      </w:r>
      <w:r>
        <w:t xml:space="preserve">)</w:t>
      </w:r>
      <w:r>
        <w:t xml:space="preserve"> </w:t>
      </w:r>
      <w:r>
        <w:t xml:space="preserve">instantiate application factories or route sets and verify request handling, dependency wiring, request identifiers, and normalized error envelopes. At the workflow boundary, ingestion and document-fetch tests validate how multiple components collaborate, including queueing, payload persistence, document reservation, chunking, embedding, vector upsert preparation, PubMed fetch resolution, and optional ingestion handoff. Database-oriented integration is split: scheduler repository tests exercise SQLAlchemy repository behavior </w:t>
      </w:r>
      <w:r>
        <w:t xml:space="preserve">(</w:t>
      </w:r>
      <w:r>
        <w:rPr>
          <w:b/>
          <w:bCs/>
        </w:rPr>
        <w:t xml:space="preserve">sqlalchemy2026docs?</w:t>
      </w:r>
      <w:r>
        <w:t xml:space="preserve">)</w:t>
      </w:r>
      <w:r>
        <w:t xml:space="preserve"> </w:t>
      </w:r>
      <w:r>
        <w:t xml:space="preserve">through fake asynchronous sessions, while live PostgreSQL verification </w:t>
      </w:r>
      <w:r>
        <w:t xml:space="preserve">(</w:t>
      </w:r>
      <w:r>
        <w:rPr>
          <w:b/>
          <w:bCs/>
        </w:rPr>
        <w:t xml:space="preserve">postgresql2026docs?</w:t>
      </w:r>
      <w:r>
        <w:t xml:space="preserve">)</w:t>
      </w:r>
      <w:r>
        <w:t xml:space="preserve"> </w:t>
      </w:r>
      <w:r>
        <w:t xml:space="preserve">is deferred to the higher-level BDD suite. The same pattern applies to retrieval: lower-level tests validate how embedders, vector indexes, HyDE generation, and synthesis are composed, while full retrieval execution against running infrastructure is covered elsewhere.</w:t>
      </w:r>
    </w:p>
    <w:bookmarkEnd w:id="77"/>
    <w:bookmarkStart w:id="78" w:name="behavior-driven-development-bdd"/>
    <w:p>
      <w:pPr>
        <w:pStyle w:val="Heading3"/>
      </w:pPr>
      <w:r>
        <w:t xml:space="preserve">Behavior Driven Development (BDD)</w:t>
      </w:r>
    </w:p>
    <w:p>
      <w:pPr>
        <w:pStyle w:val="FirstParagraph"/>
      </w:pPr>
      <w:r>
        <w:t xml:space="preserve">Behavior-driven tests </w:t>
      </w:r>
      <w:r>
        <w:t xml:space="preserve">(</w:t>
      </w:r>
      <w:r>
        <w:rPr>
          <w:b/>
          <w:bCs/>
        </w:rPr>
        <w:t xml:space="preserve">north2006bdd?</w:t>
      </w:r>
      <w:r>
        <w:t xml:space="preserve">)</w:t>
      </w:r>
      <w:r>
        <w:t xml:space="preserve"> </w:t>
      </w:r>
      <w:r>
        <w:t xml:space="preserve">are implemented explicitly in</w:t>
      </w:r>
      <w:r>
        <w:t xml:space="preserve"> </w:t>
      </w:r>
      <w:r>
        <w:rPr>
          <w:rStyle w:val="VerbatimChar"/>
        </w:rPr>
        <w:t xml:space="preserve">tests/bdd</w:t>
      </w:r>
      <w:r>
        <w:t xml:space="preserve"> </w:t>
      </w:r>
      <w:r>
        <w:t xml:space="preserve">with</w:t>
      </w:r>
      <w:r>
        <w:t xml:space="preserve"> </w:t>
      </w:r>
      <w:r>
        <w:rPr>
          <w:rStyle w:val="VerbatimChar"/>
        </w:rPr>
        <w:t xml:space="preserve">pytest-bdd</w:t>
      </w:r>
      <w:r>
        <w:t xml:space="preserve"> </w:t>
      </w:r>
      <w:r>
        <w:t xml:space="preserve">(</w:t>
      </w:r>
      <w:r>
        <w:rPr>
          <w:b/>
          <w:bCs/>
        </w:rPr>
        <w:t xml:space="preserve">pytestbdd2026docs?</w:t>
      </w:r>
      <w:r>
        <w:t xml:space="preserve">)</w:t>
      </w:r>
      <w:r>
        <w:t xml:space="preserve">. This suite does not provide generic examples; it codifies repository workflows as feature files for ingestion, search, ask, readiness, audit persistence, document deletion and fetch, scheduler control, scheduler runs, and PubMed query management. The step definitions follow a concrete Given/When/Then structure </w:t>
      </w:r>
      <w:r>
        <w:t xml:space="preserve">(</w:t>
      </w:r>
      <w:r>
        <w:rPr>
          <w:b/>
          <w:bCs/>
        </w:rPr>
        <w:t xml:space="preserve">cucumber2026gherkin?</w:t>
      </w:r>
      <w:r>
        <w:t xml:space="preserve">)</w:t>
      </w:r>
      <w:r>
        <w:t xml:space="preserve"> </w:t>
      </w:r>
      <w:r>
        <w:t xml:space="preserve">that prepares documents, triggers HTTP requests or in-process clients, polls asynchronous ingestion jobs, and asserts observable business outcomes such as citation inclusion, filter exclusion, request auditing, section-aware reference removal, and scheduler status transitions. The suite can run against in-process FastAPI applications or against dockerized HTTP services, and its fixtures provision dedicated configuration, cleanup scripts, and isolated Postgres and Qdrant instances. In practice, this is the repository’s main end-to-end validation layer.</w:t>
      </w:r>
    </w:p>
    <w:bookmarkEnd w:id="78"/>
    <w:bookmarkEnd w:id="79"/>
    <w:bookmarkStart w:id="81" w:name="cuda-aware-evaluation-implementation"/>
    <w:p>
      <w:pPr>
        <w:pStyle w:val="Heading2"/>
      </w:pPr>
      <w:r>
        <w:t xml:space="preserve">CUDA-Aware Evaluation Implementation</w:t>
      </w:r>
    </w:p>
    <w:p>
      <w:pPr>
        <w:pStyle w:val="FirstParagraph"/>
      </w:pPr>
      <w:r>
        <w:t xml:space="preserve">CUDA support in the thesis repository is implemented in the evaluation subsystem rather than in the core FastAPI service path. The evaluation CLI reads the</w:t>
      </w:r>
      <w:r>
        <w:t xml:space="preserve"> </w:t>
      </w:r>
      <w:r>
        <w:rPr>
          <w:rStyle w:val="VerbatimChar"/>
        </w:rPr>
        <w:t xml:space="preserve">ragas.embeddings_device</w:t>
      </w:r>
      <w:r>
        <w:t xml:space="preserve"> </w:t>
      </w:r>
      <w:r>
        <w:t xml:space="preserve">field from the active evaluation configuration and passes that value into the RAGAS execution phase, where the sentence-transformer evaluator embeddings are constructed for the configured device. In the branch "cuda-validation-metrics", commit</w:t>
      </w:r>
      <w:r>
        <w:t xml:space="preserve"> </w:t>
      </w:r>
      <w:r>
        <w:rPr>
          <w:rStyle w:val="VerbatimChar"/>
        </w:rPr>
        <w:t xml:space="preserve">a1faf166</w:t>
      </w:r>
      <w:r>
        <w:t xml:space="preserve"> </w:t>
      </w:r>
      <w:r>
        <w:t xml:space="preserve">is the change point that introduced the CUDA-oriented evaluation profiles used for the RTX 5090 workstation configuration.</w:t>
      </w:r>
    </w:p>
    <w:p>
      <w:pPr>
        <w:pStyle w:val="BodyText"/>
      </w:pPr>
      <w:r>
        <w:t xml:space="preserve">This implementation should be described narrowly. The verified CUDA path accelerates the evaluation-side embedding workload used during automated answer scoring; it does not by itself demonstrate that retrieval, indexing, or answer synthesis were all migrated to the same device. That boundary is important for methodological clarity because execution placement can change operational behavior without changing the meaning of the metric artifacts produced by the pipeline.</w:t>
      </w:r>
    </w:p>
    <w:bookmarkStart w:id="80" w:name="test-strategy-discussion"/>
    <w:p>
      <w:pPr>
        <w:pStyle w:val="Heading3"/>
      </w:pPr>
      <w:r>
        <w:t xml:space="preserve">Test Strategy Discussion</w:t>
      </w:r>
    </w:p>
    <w:p>
      <w:pPr>
        <w:pStyle w:val="FirstParagraph"/>
      </w:pPr>
      <w:r>
        <w:t xml:space="preserve">The overall structure follows a pragmatic test-pyramid logic </w:t>
      </w:r>
      <w:r>
        <w:t xml:space="preserve">(</w:t>
      </w:r>
      <w:r>
        <w:rPr>
          <w:b/>
          <w:bCs/>
        </w:rPr>
        <w:t xml:space="preserve">cohn2009succeeding?</w:t>
      </w:r>
      <w:r>
        <w:t xml:space="preserve">)</w:t>
      </w:r>
      <w:r>
        <w:t xml:space="preserve">. Most checks are isolated unit tests because the repository contains substantial deterministic logic in parsing, ranking, orchestration, mapping, and error handling. A smaller integration layer validates how those units are assembled at API, use-case, adapter, and repository boundaries. The smallest and most expensive layer is the BDD suite, which exercises complete workflows over realistic infrastructure and therefore provides the strongest confidence in operational behavior. This balance supports reproducibility because deterministic logic is checked cheaply and frequently, while critical cross-component paths such as ingestion, retrieval, auditing, and scheduler execution are still validated through scenario-based tests. A current limitation is that continuous integration executes the package-level</w:t>
      </w:r>
      <w:r>
        <w:t xml:space="preserve"> </w:t>
      </w:r>
      <w:r>
        <w:rPr>
          <w:rStyle w:val="VerbatimChar"/>
        </w:rPr>
        <w:t xml:space="preserve">make test</w:t>
      </w:r>
      <w:r>
        <w:t xml:space="preserve"> </w:t>
      </w:r>
      <w:r>
        <w:t xml:space="preserve">suites for the biomedical platform and scheduler, but the present workflow file does not show automated execution of the top-level BDD suite or the</w:t>
      </w:r>
      <w:r>
        <w:t xml:space="preserve"> </w:t>
      </w:r>
      <w:r>
        <w:rPr>
          <w:rStyle w:val="VerbatimChar"/>
        </w:rPr>
        <w:t xml:space="preserve">labelstudio-tools</w:t>
      </w:r>
      <w:r>
        <w:t xml:space="preserve"> </w:t>
      </w:r>
      <w:r>
        <w:t xml:space="preserve">tests.</w:t>
      </w:r>
    </w:p>
    <w:bookmarkEnd w:id="80"/>
    <w:bookmarkEnd w:id="81"/>
    <w:bookmarkEnd w:id="82"/>
    <w:bookmarkStart w:id="113" w:name="evaluation"/>
    <w:p>
      <w:pPr>
        <w:pStyle w:val="Heading1"/>
      </w:pPr>
      <w:r>
        <w:t xml:space="preserve">Evaluation</w:t>
      </w:r>
    </w:p>
    <w:bookmarkStart w:id="84" w:name="experimental-setup"/>
    <w:p>
      <w:pPr>
        <w:pStyle w:val="Heading2"/>
      </w:pPr>
      <w:r>
        <w:t xml:space="preserve">Experimental Setup</w:t>
      </w:r>
    </w:p>
    <w:p>
      <w:pPr>
        <w:pStyle w:val="FirstParagraph"/>
      </w:pPr>
      <w:r>
        <w:t xml:space="preserve">This chapter evaluates the platform as a set of separable capabilities: retrieval preparation and ranking, answer generation, answer support, risk factor extraction, robustness behavior, and operational runtime. This separation is necessary because a configuration can retrieve useful evidence but synthesize a weak answer, or it can produce a relevant-looking answer without evidence grounding. The evaluation therefore avoids reducing the system to a single aggregate score.</w:t>
      </w:r>
    </w:p>
    <w:p>
      <w:pPr>
        <w:pStyle w:val="BodyText"/>
      </w:pPr>
      <w:r>
        <w:t xml:space="preserve">The evaluation subsystem follows the phase-based approach described in Table </w:t>
      </w:r>
      <w:hyperlink w:anchor="tab:evaluation-phases">
        <w:r>
          <w:rPr>
            <w:rStyle w:val="Hyperlink"/>
          </w:rPr>
          <w:t xml:space="preserve">5.1</w:t>
        </w:r>
      </w:hyperlink>
      <w:r>
        <w:t xml:space="preserve"> </w:t>
      </w:r>
      <w:r>
        <w:t xml:space="preserve">(Chapter </w:t>
      </w:r>
      <w:hyperlink w:anchor="chap:methodology">
        <w:r>
          <w:rPr>
            <w:rStyle w:val="Hyperlink"/>
          </w:rPr>
          <w:t xml:space="preserve">5</w:t>
        </w:r>
      </w:hyperlink>
      <w:r>
        <w:t xml:space="preserve">), ensuring that every metric can be traced back to its specific implementation phase and materialized artifact.</w:t>
      </w:r>
    </w:p>
    <w:p>
      <w:pPr>
        <w:pStyle w:val="BodyText"/>
      </w:pPr>
      <w:r>
        <w:t xml:space="preserve">The authoritative answer-generation, RAGAS, extraction, robustness, and operational benchmark for this chapter is the June 2026 run</w:t>
      </w:r>
      <w:r>
        <w:t xml:space="preserve"> </w:t>
      </w:r>
      <w:r>
        <w:rPr>
          <w:rStyle w:val="VerbatimChar"/>
        </w:rPr>
        <w:t xml:space="preserve">20260605_123942_nogit</w:t>
      </w:r>
      <w:r>
        <w:t xml:space="preserve">. The primary deterministic condition uses 25 thrombosis oriented questions, three answer-generation modes, seed 42, and temperature 0.0. The three modes are LLM only, RAG without HyDE, and RAG with HyDE. A robustness group records five seeds, 11, 22, 33, 44, and 55, at configured temperature 0.2.</w:t>
      </w:r>
    </w:p>
    <w:p>
      <w:pPr>
        <w:pStyle w:val="BodyText"/>
      </w:pPr>
      <w:r>
        <w:t xml:space="preserve">The authoritative independent retrieval benchmark for this chapter is the finalized June 2026 run</w:t>
      </w:r>
      <w:r>
        <w:t xml:space="preserve"> </w:t>
      </w:r>
      <w:r>
        <w:rPr>
          <w:rStyle w:val="VerbatimChar"/>
        </w:rPr>
        <w:t xml:space="preserve">20260606_212735_nogit</w:t>
      </w:r>
      <w:r>
        <w:t xml:space="preserve">. It contains 25 queries, 250 direct retrieval rows, 250 HyDE retrieval rows, 300 final context rows, 321 pooled candidates, completed annotation artifacts,</w:t>
      </w:r>
      <w:r>
        <w:t xml:space="preserve"> </w:t>
      </w:r>
      <w:r>
        <w:rPr>
          <w:rStyle w:val="VerbatimChar"/>
        </w:rPr>
        <w:t xml:space="preserve">qrels.tsv</w:t>
      </w:r>
      <w:r>
        <w:t xml:space="preserve">, per-query retrieval metrics, and aggregate comparison tables. Retrieval ranking claims in this chapter are derived from that run only.</w:t>
      </w:r>
    </w:p>
    <w:bookmarkStart w:id="83" w:name="cuda-execution-environment"/>
    <w:p>
      <w:pPr>
        <w:pStyle w:val="Heading3"/>
      </w:pPr>
      <w:r>
        <w:t xml:space="preserve">CUDA Execution Environment</w:t>
      </w:r>
    </w:p>
    <w:p>
      <w:pPr>
        <w:pStyle w:val="FirstParagraph"/>
      </w:pPr>
      <w:r>
        <w:t xml:space="preserve">The thesis also records that the evaluation pipeline can be executed in a CUDA-based environment. In the branch "cuda-validation-metrics", commit</w:t>
      </w:r>
      <w:r>
        <w:t xml:space="preserve"> </w:t>
      </w:r>
      <w:r>
        <w:rPr>
          <w:rStyle w:val="VerbatimChar"/>
        </w:rPr>
        <w:t xml:space="preserve">a1faf166</w:t>
      </w:r>
      <w:r>
        <w:t xml:space="preserve"> </w:t>
      </w:r>
      <w:r>
        <w:t xml:space="preserve">introduced a local workstation configuration for an RTX 5090 host by switching the evaluation-side RAGAS embedding device to</w:t>
      </w:r>
      <w:r>
        <w:t xml:space="preserve"> </w:t>
      </w:r>
      <w:r>
        <w:rPr>
          <w:rStyle w:val="VerbatimChar"/>
        </w:rPr>
        <w:t xml:space="preserve">cuda</w:t>
      </w:r>
      <w:r>
        <w:t xml:space="preserve"> </w:t>
      </w:r>
      <w:r>
        <w:t xml:space="preserve">and aligning the service endpoints with localhost execution. This update should be interpreted as documentation of an available execution profile, not as a separate benchmark result set and not as a revision of the metric values reported in this chapter.</w:t>
      </w:r>
    </w:p>
    <w:p>
      <w:pPr>
        <w:pStyle w:val="BodyText"/>
      </w:pPr>
      <w:r>
        <w:t xml:space="preserve">Accordingly, the reported tables and figures remain tied to their cited run artifacts. The CUDA configuration changes how later evaluation runs may be provisioned and executed, but it does not authorize retroactive changes to the archived June metric snapshots. The scientific role of this subsection is therefore operational transparency: it clarifies how the evaluation pipeline may be run on a GPU-capable workstation while preserving the evidence boundaries of the documented benchmark results.</w:t>
      </w:r>
    </w:p>
    <w:bookmarkEnd w:id="83"/>
    <w:bookmarkEnd w:id="84"/>
    <w:bookmarkStart w:id="85" w:name="evaluation-dataset-and-query-protocol"/>
    <w:p>
      <w:pPr>
        <w:pStyle w:val="Heading2"/>
      </w:pPr>
      <w:r>
        <w:t xml:space="preserve">Evaluation Dataset and Query Protocol</w:t>
      </w:r>
    </w:p>
    <w:p>
      <w:pPr>
        <w:pStyle w:val="FirstParagraph"/>
      </w:pPr>
      <w:r>
        <w:t xml:space="preserve">The current answer-generation benchmark contains 25 thrombosis oriented questions. Each question is evaluated under all three answer-generation configurations, so the primary deterministic run contains 25 generated answer records per mode. The benchmark is sufficient for diagnostic comparison of the implemented pipeline, but it remains too small for broad statistical claims about biomedical or clinical performance.</w:t>
      </w:r>
    </w:p>
    <w:p>
      <w:pPr>
        <w:pStyle w:val="BodyText"/>
      </w:pPr>
      <w:r>
        <w:t xml:space="preserve">The derived gold substrate is useful for reproducible system evaluation because it ties scoring to curated task records, citation alignment, confidence policy, and canonical factor matching. It is not an adjudicated clinical gold standard. Consequently, extraction metrics should be interpreted as benchmark behavior under a documented repository protocol, not as proof of clinical correctness.</w:t>
      </w:r>
    </w:p>
    <w:bookmarkEnd w:id="85"/>
    <w:bookmarkStart w:id="88" w:name="how-to-read-the-metrics"/>
    <w:p>
      <w:pPr>
        <w:pStyle w:val="Heading2"/>
      </w:pPr>
      <w:r>
        <w:t xml:space="preserve">How to Read the Metrics</w:t>
      </w:r>
    </w:p>
    <w:p>
      <w:pPr>
        <w:pStyle w:val="FirstParagraph"/>
      </w:pPr>
      <w:r>
        <w:t xml:space="preserve">The evaluation uses several metric families because the platform performs several different tasks. A retrieval metric asks whether useful evidence appears near the top of a ranked list. A generation metric asks whether the answer is relevant to the question or supported by supplied contexts. An extraction metric asks whether the system recovered a set of risk factors. A runtime metric asks how expensive the benchmark was to execute. These metric families are related, but they are not interchangeable. A high retrieval score does not automatically imply a faithful answer, and a relevant answer does not automatically imply correct risk-factor extraction.</w:t>
      </w:r>
    </w:p>
    <w:p>
      <w:pPr>
        <w:pStyle w:val="BodyText"/>
      </w:pPr>
      <w:r>
        <w:t xml:space="preserve">All reported scalar metrics in this chapter are interpreted with their denominator in mind. A score of 0.80 usually means</w:t>
      </w:r>
      <w:r>
        <w:t xml:space="preserve"> </w:t>
      </w:r>
      <w:r>
        <w:t xml:space="preserve">“80 percent of the relevant measured behavior under this specific definition”</w:t>
      </w:r>
      <w:r>
        <w:t xml:space="preserve">, not</w:t>
      </w:r>
      <w:r>
        <w:t xml:space="preserve"> </w:t>
      </w:r>
      <w:r>
        <w:t xml:space="preserve">“80 percent clinically correct”</w:t>
      </w:r>
      <w:r>
        <w:t xml:space="preserve">. For example, Precision@5 counts only the top five retrieved items; micro F1 counts individual extracted factor decisions across covered queries; answer relevancy is an automated evaluator score over generated answers. Each value is therefore meaningful only when paired with its evaluation object, evidence source, and run snapshot.</w:t>
      </w:r>
    </w:p>
    <w:p>
      <w:pPr>
        <w:pStyle w:val="BodyText"/>
      </w:pPr>
      <w:r>
        <w:t xml:space="preserve">The simplest way to understand a metric is to ask what mistake it punishes. Precision punishes extra unsupported items. Recall punishes missed relevant items. F1 punishes imbalance between precision and recall. Faithfulness punishes answer statements that are not supported by the supplied contexts. Context precision without reference punishes contexts that appear less useful for supporting the generated answer. Latency punishes slow execution. This thesis reports these metrics separately so that the reader can see which kind of mistake each configuration tends to make.</w:t>
      </w:r>
    </w:p>
    <w:bookmarkStart w:id="86" w:name="interpreting-metric-disagreement"/>
    <w:p>
      <w:pPr>
        <w:pStyle w:val="Heading3"/>
      </w:pPr>
      <w:r>
        <w:t xml:space="preserve">Interpreting Metric Disagreement</w:t>
      </w:r>
    </w:p>
    <w:p>
      <w:pPr>
        <w:pStyle w:val="FirstParagraph"/>
      </w:pPr>
      <w:r>
        <w:t xml:space="preserve">Metric disagreement is expected in this benchmark. The latest deterministic run gives the LLM-only baseline the highest answer relevancy score, gives RAG with HyDE the highest context precision without reference, and gives RAG without HyDE the strongest faithfulness and extraction results. These outcomes are not contradictory. They show that each metric asks a different question.</w:t>
      </w:r>
    </w:p>
    <w:p>
      <w:pPr>
        <w:pStyle w:val="BodyText"/>
      </w:pPr>
      <w:r>
        <w:t xml:space="preserve">If the only question is</w:t>
      </w:r>
      <w:r>
        <w:t xml:space="preserve"> </w:t>
      </w:r>
      <w:r>
        <w:t xml:space="preserve">“Does the answer sound like it addresses the prompt?”</w:t>
      </w:r>
      <w:r>
        <w:t xml:space="preserve">, answer relevancy is the closest metric. Under that question, LLM only performs best in the deterministic run. If the question is</w:t>
      </w:r>
      <w:r>
        <w:t xml:space="preserve"> </w:t>
      </w:r>
      <w:r>
        <w:t xml:space="preserve">“Are the answer statements supported by retrieved contexts?”</w:t>
      </w:r>
      <w:r>
        <w:t xml:space="preserve">, faithfulness is the closer metric. Under that question, RAG without HyDE is stronger than RAG with HyDE. If the question is</w:t>
      </w:r>
      <w:r>
        <w:t xml:space="preserve"> </w:t>
      </w:r>
      <w:r>
        <w:t xml:space="preserve">“Do the supplied contexts appear focused around the generated answer?”</w:t>
      </w:r>
      <w:r>
        <w:t xml:space="preserve">, context precision without reference is relevant. Under that question, RAG with HyDE is stronger than direct RAG. If the question is</w:t>
      </w:r>
      <w:r>
        <w:t xml:space="preserve"> </w:t>
      </w:r>
      <w:r>
        <w:t xml:space="preserve">“Which system extracts the derived risk factors better?”</w:t>
      </w:r>
      <w:r>
        <w:t xml:space="preserve">, the extraction metrics are relevant. Under that question, RAG without HyDE is stronger.</w:t>
      </w:r>
    </w:p>
    <w:p>
      <w:pPr>
        <w:pStyle w:val="BodyText"/>
      </w:pPr>
      <w:r>
        <w:t xml:space="preserve">This is why the chapter avoids the phrase</w:t>
      </w:r>
      <w:r>
        <w:t xml:space="preserve"> </w:t>
      </w:r>
      <w:r>
        <w:t xml:space="preserve">“best model”</w:t>
      </w:r>
      <w:r>
        <w:t xml:space="preserve"> </w:t>
      </w:r>
      <w:r>
        <w:t xml:space="preserve">unless the evaluation dimension is named. A biomedical RAG system can be best for one purpose and weaker for another. In a clinical-adjacent research prototype, that distinction is not a minor detail; it is the difference between a transparent evaluation and an overclaim. The thesis therefore reports the tradeoff: direct RAG without HyDE is stronger for faithfulness and extraction, HyDE is stronger for the context-support proxy and slightly stronger than direct RAG for answer relevancy, and LLM only is strongest for answer relevancy but ungrounded.</w:t>
      </w:r>
    </w:p>
    <w:bookmarkEnd w:id="86"/>
    <w:bookmarkStart w:id="87" w:name="evidence-boundaries"/>
    <w:p>
      <w:pPr>
        <w:pStyle w:val="Heading3"/>
      </w:pPr>
      <w:r>
        <w:t xml:space="preserve">Evidence Boundaries</w:t>
      </w:r>
    </w:p>
    <w:p>
      <w:pPr>
        <w:pStyle w:val="FirstParagraph"/>
      </w:pPr>
      <w:r>
        <w:t xml:space="preserve">Every metric in this chapter has an evidence boundary. The RAGAS, extraction, robustness, and runtime values belong to the deterministic June 2026 answer-generation benchmark. The retrieval ranking values belong to the separate finalized June 2026 independent retrieval benchmark. Both benchmarks use the same 25 thesis questions, but they answer different evaluation questions and should not be collapsed into one aggregate system score. Keeping these boundaries explicit prevents the thesis from merging incompatible evidence.</w:t>
      </w:r>
    </w:p>
    <w:p>
      <w:pPr>
        <w:pStyle w:val="BodyText"/>
      </w:pPr>
      <w:r>
        <w:t xml:space="preserve">The most important boundary is between automated scoring and biomedical truth. RAGAS scores are automated evaluator outputs. Extraction scores compare against a derived reference substrate. Retrieval metrics require qrels annotations and still reflect the limits of a single benchmark snapshot and a single completed relevance file. None of these artifacts alone proves clinical correctness. They are valuable because they are recorded, reproducible, and phase separated; they are limited because they are not a substitute for adjudicated biomedical review.</w:t>
      </w:r>
    </w:p>
    <w:bookmarkEnd w:id="87"/>
    <w:bookmarkEnd w:id="88"/>
    <w:bookmarkStart w:id="89" w:name="system-configurations"/>
    <w:p>
      <w:pPr>
        <w:pStyle w:val="Heading2"/>
      </w:pPr>
      <w:r>
        <w:t xml:space="preserve">System Configurations</w:t>
      </w:r>
    </w:p>
    <w:p>
      <w:pPr>
        <w:pStyle w:val="FirstParagraph"/>
      </w:pPr>
      <w:r>
        <w:t xml:space="preserve">The LLM-only baseline sends each query directly to the generation model without retrieved contexts. It measures parametric answer behavior and provides a comparison point for answer relevancy, but context-dependent metrics such as faithfulness and context precision are not applicable because no retrieved contexts are supplied.</w:t>
      </w:r>
    </w:p>
    <w:p>
      <w:pPr>
        <w:pStyle w:val="BodyText"/>
      </w:pPr>
      <w:r>
        <w:t xml:space="preserve">RAG without HyDE routes each question through the biomedical RAG API and synthesizes an answer from retrieved evidence without generated query expansion. RAG with HyDE enables an additional expansion step in which a hypothetical answer document is generated, embedded, and used to retrieve additional candidates before merging and reranking.</w:t>
      </w:r>
    </w:p>
    <w:bookmarkEnd w:id="89"/>
    <w:bookmarkStart w:id="94" w:name="retrieval-evaluation"/>
    <w:p>
      <w:pPr>
        <w:pStyle w:val="Heading2"/>
      </w:pPr>
      <w:r>
        <w:t xml:space="preserve">Retrieval Evaluation</w:t>
      </w:r>
    </w:p>
    <w:p>
      <w:pPr>
        <w:pStyle w:val="FirstParagraph"/>
      </w:pPr>
      <w:r>
        <w:t xml:space="preserve">Retrieval evaluation asks whether the system ranks relevant biomedical evidence near the top of the result list. This is different from asking whether the final answer is well written. A retrieval system can find relevant papers while the generator still writes a weak answer, and a generator can write a plausible answer even when retrieval was poor. The independent retrieval metrics therefore evaluate the ranked evidence list before answer synthesis. The independent retrieval metrics are computed during the evaluation phases: Candidate Pooling (Phase 1) and Retrieval Evaluation (Phase 2), which evaluate ranked document lists against manually annotated relevance judgments (Qrels).</w:t>
      </w:r>
    </w:p>
    <w:p>
      <w:pPr>
        <w:pStyle w:val="BodyText"/>
      </w:pPr>
      <w:r>
        <w:t xml:space="preserve">Precision at k measures how many of the top k returned items are relevant. If the system returns five papers and three are relevant, Precision@5 is 3/5, or 0.60. This metric is easy to interpret because it asks a concrete reviewer question:</w:t>
      </w:r>
      <w:r>
        <w:t xml:space="preserve"> </w:t>
      </w:r>
      <w:r>
        <w:t xml:space="preserve">“If I read the first five results, how many are useful?”</w:t>
      </w:r>
      <w:r>
        <w:t xml:space="preserve"> </w:t>
      </w:r>
      <w:r>
        <w:t xml:space="preserve">It does not ask whether all relevant papers in the corpus were found.</w:t>
      </w:r>
    </w:p>
    <w:p>
      <w:pPr>
        <w:pStyle w:val="BodyText"/>
      </w:pPr>
      <w:r>
        <w:t xml:space="preserve">Recall at k measures how many of the known relevant items were recovered within the top k. If a query has four relevant papers in the annotated gold set and the system retrieves two of them in the top five, Recall@5 is 2/4, or 0.50. This metric asks a different reviewer question:</w:t>
      </w:r>
      <w:r>
        <w:t xml:space="preserve"> </w:t>
      </w:r>
      <w:r>
        <w:t xml:space="preserve">“How much of the known useful evidence did the system recover early?”</w:t>
      </w:r>
      <w:r>
        <w:t xml:space="preserve"> </w:t>
      </w:r>
      <w:r>
        <w:t xml:space="preserve">A system can have high precision but lower recall if it returns a small number of very good items while missing other relevant papers.</w:t>
      </w:r>
    </w:p>
    <w:p>
      <w:pPr>
        <w:pStyle w:val="BodyText"/>
      </w:pPr>
      <w:r>
        <w:t xml:space="preserve">Mean Reciprocal Rank (MRR) measures how early the first relevant result appears. The reciprocal rank for a query is 1.0 when the first result is relevant, 0.5 when the first relevant result is second, and approximately 0.33 when it is third. MRR averages this value across queries. It is useful when the first useful result matters strongly, such as when a reviewer wants to see at least one relevant source immediately.</w:t>
      </w:r>
    </w:p>
    <w:p>
      <w:pPr>
        <w:pStyle w:val="BodyText"/>
      </w:pPr>
      <w:r>
        <w:t xml:space="preserve">Normalized Discounted Cumulative Gain at k (nDCG@k) rewards rankings that place more useful documents earlier </w:t>
      </w:r>
      <w:r>
        <w:t xml:space="preserve">(</w:t>
      </w:r>
      <w:r>
        <w:rPr>
          <w:b/>
          <w:bCs/>
        </w:rPr>
        <w:t xml:space="preserve">jarvelin2002ndcg?</w:t>
      </w:r>
      <w:r>
        <w:t xml:space="preserve">)</w:t>
      </w:r>
      <w:r>
        <w:t xml:space="preserve">. Unlike binary precision and recall, nDCG can incorporate graded relevance, so a highly relevant document at rank 1 is worth more than a weakly relevant document at rank 5. Intuitively, nDCG asks whether the ranking order is good, not just whether relevant items appear somewhere in the cutoff.</w:t>
      </w:r>
    </w:p>
    <w:p>
      <w:pPr>
        <w:pStyle w:val="BodyText"/>
      </w:pPr>
      <w:r>
        <w:t xml:space="preserve">These four retrieval metrics should be read together. Precision@5 emphasizes top-five purity, Recall@5 emphasizes top-five coverage, MRR emphasizes the first useful hit, and nDCG@5 emphasizes graded ordering. No single retrieval metric captures all aspects of evidence ranking.</w:t>
      </w:r>
    </w:p>
    <w:bookmarkStart w:id="92" w:name="independent-retrieval-ranking-protocol"/>
    <w:p>
      <w:pPr>
        <w:pStyle w:val="Heading3"/>
      </w:pPr>
      <w:r>
        <w:t xml:space="preserve">Independent Retrieval Ranking Protocol</w:t>
      </w:r>
    </w:p>
    <w:p>
      <w:pPr>
        <w:pStyle w:val="FirstParagraph"/>
      </w:pPr>
      <w:r>
        <w:t xml:space="preserve">The finalized independent retrieval benchmark is stored in the archived June 7 evaluation bundle as run</w:t>
      </w:r>
      <w:r>
        <w:t xml:space="preserve"> </w:t>
      </w:r>
      <w:r>
        <w:rPr>
          <w:rStyle w:val="VerbatimChar"/>
        </w:rPr>
        <w:t xml:space="preserve">20260606_212735_nogit</w:t>
      </w:r>
      <w:r>
        <w:t xml:space="preserve">. It contains completed annotation artifacts,</w:t>
      </w:r>
      <w:r>
        <w:t xml:space="preserve"> </w:t>
      </w:r>
      <w:r>
        <w:rPr>
          <w:rStyle w:val="VerbatimChar"/>
        </w:rPr>
        <w:t xml:space="preserve">qrels.tsv</w:t>
      </w:r>
      <w:r>
        <w:t xml:space="preserve">, per-query metrics, summary metrics, and a comparison table for the same 25 query set used elsewhere in the thesis. The candidate pool contains 321 judged records, with 182 non-relevant judgments, 108 relevant judgments, and 31 highly relevant judgments.</w:t>
      </w:r>
    </w:p>
    <w:bookmarkStart w:id="90" w:name="Xddeb19920d26811ad417344b0abe4101376bf8c"/>
    <w:tbl>
      <w:tblPr>
        <w:tblStyle w:val="FigureTable"/>
        <w:tblW w:type="auto" w:w="0"/>
        <w:jc w:val="center"/>
        <w:tblLook w:firstRow="0" w:lastRow="0" w:firstColumn="0" w:lastColumn="0"/>
      </w:tblPr>
      <w:tblGrid/>
    </w:tbl>
    <w:p>
      <w:pPr>
        <w:pStyle w:val="ImageCaption"/>
      </w:pPr>
      <w:r>
        <w:t xml:space="preserve">Independent retrieval evaluation workflow used to construct manually annotated qrels and compute Direct Retrieval and HyDE Retrieval ranking metrics.</w:t>
      </w:r>
    </w:p>
    <w:bookmarkEnd w:id="90"/>
    <w:p>
      <w:pPr>
        <w:pStyle w:val="BodyText"/>
      </w:pPr>
      <w:r>
        <w:t xml:space="preserve">Figure </w:t>
      </w:r>
      <w:hyperlink w:anchor="Xddeb19920d26811ad417344b0abe4101376bf8c">
        <w:r>
          <w:rPr>
            <w:rStyle w:val="Hyperlink"/>
          </w:rPr>
          <w:t xml:space="preserve">7.1</w:t>
        </w:r>
      </w:hyperlink>
      <w:r>
        <w:t xml:space="preserve"> </w:t>
      </w:r>
      <w:r>
        <w:t xml:space="preserve">summarizes the finalized workflow used in the thesis. The workflow separates retrieval evaluation from answer generation, pools Direct Retrieval and HyDE Retrieval candidates before annotation, hides retrieval metadata during relevance review to reduce ranking bias, validates completed annotations, writes</w:t>
      </w:r>
      <w:r>
        <w:t xml:space="preserve"> </w:t>
      </w:r>
      <w:r>
        <w:rPr>
          <w:rStyle w:val="VerbatimChar"/>
        </w:rPr>
        <w:t xml:space="preserve">qrels.tsv</w:t>
      </w:r>
      <w:r>
        <w:t xml:space="preserve"> </w:t>
      </w:r>
      <w:r>
        <w:t xml:space="preserve">as the gold relevance dataset, and then computes MRR, Precision@k, Recall@k, and nDCG@k for both retrieval modes against the same judged benchmark.</w:t>
      </w:r>
    </w:p>
    <w:bookmarkStart w:id="91" w:name="tab:retrieval-metrics-comparison"/>
    <w:p>
      <w:pPr>
        <w:pStyle w:val="TableCaption"/>
      </w:pPr>
      <w:r>
        <w:t xml:space="preserve">Finalized independent retrieval ranking metrics for the June 2026 25-query benchmark.</w:t>
      </w:r>
    </w:p>
    <w:tbl>
      <w:tblPr>
        <w:tblStyle w:val="Table"/>
        <w:tblW w:type="auto" w:w="0"/>
        <w:tblLook w:firstRow="1" w:lastRow="0" w:firstColumn="0" w:lastColumn="0" w:noHBand="0" w:noVBand="0" w:val="0020"/>
        <w:tblCaption w:val="Finalized independent retrieval ranking metrics for the June 2026 25-query benchmark."/>
      </w:tblPr>
      <w:tblGrid>
        <w:gridCol w:w="2640"/>
        <w:gridCol w:w="2640"/>
        <w:gridCol w:w="2640"/>
      </w:tblGrid>
      <w:tr>
        <w:trPr>
          <w:tblHeader w:val="on"/>
        </w:trPr>
        <w:tc>
          <w:tcPr/>
          <w:p>
            <w:pPr>
              <w:pStyle w:val="Compact"/>
              <w:jc w:val="left"/>
            </w:pPr>
            <w:r>
              <w:t xml:space="preserve">Metric</w:t>
            </w:r>
          </w:p>
        </w:tc>
        <w:tc>
          <w:tcPr/>
          <w:p>
            <w:pPr>
              <w:pStyle w:val="Compact"/>
              <w:jc w:val="center"/>
            </w:pPr>
            <w:r>
              <w:t xml:space="preserve">Direct Retrieval</w:t>
            </w:r>
          </w:p>
        </w:tc>
        <w:tc>
          <w:tcPr/>
          <w:p>
            <w:pPr>
              <w:pStyle w:val="Compact"/>
              <w:jc w:val="center"/>
            </w:pPr>
            <w:r>
              <w:t xml:space="preserve">HyDE Retrieval</w:t>
            </w:r>
          </w:p>
        </w:tc>
      </w:tr>
      <w:tr>
        <w:tc>
          <w:tcPr/>
          <w:p>
            <w:pPr>
              <w:pStyle w:val="Compact"/>
              <w:jc w:val="left"/>
            </w:pPr>
            <w:r>
              <w:t xml:space="preserve">MRR</w:t>
            </w:r>
          </w:p>
        </w:tc>
        <w:tc>
          <w:tcPr/>
          <w:p>
            <w:pPr>
              <w:pStyle w:val="Compact"/>
              <w:jc w:val="center"/>
            </w:pPr>
            <w:r>
              <w:t xml:space="preserve">0.865</w:t>
            </w:r>
          </w:p>
        </w:tc>
        <w:tc>
          <w:tcPr/>
          <w:p>
            <w:pPr>
              <w:pStyle w:val="Compact"/>
              <w:jc w:val="center"/>
            </w:pPr>
            <w:r>
              <w:t xml:space="preserve">0.910</w:t>
            </w:r>
          </w:p>
        </w:tc>
      </w:tr>
      <w:tr>
        <w:tc>
          <w:tcPr/>
          <w:p>
            <w:pPr>
              <w:pStyle w:val="Compact"/>
              <w:jc w:val="left"/>
            </w:pPr>
            <w:r>
              <w:t xml:space="preserve">Precision@5</w:t>
            </w:r>
          </w:p>
        </w:tc>
        <w:tc>
          <w:tcPr/>
          <w:p>
            <w:pPr>
              <w:pStyle w:val="Compact"/>
              <w:jc w:val="center"/>
            </w:pPr>
            <w:r>
              <w:t xml:space="preserve">0.552</w:t>
            </w:r>
          </w:p>
        </w:tc>
        <w:tc>
          <w:tcPr/>
          <w:p>
            <w:pPr>
              <w:pStyle w:val="Compact"/>
              <w:jc w:val="center"/>
            </w:pPr>
            <w:r>
              <w:t xml:space="preserve">0.544</w:t>
            </w:r>
          </w:p>
        </w:tc>
      </w:tr>
      <w:tr>
        <w:tc>
          <w:tcPr/>
          <w:p>
            <w:pPr>
              <w:pStyle w:val="Compact"/>
              <w:jc w:val="left"/>
            </w:pPr>
            <w:r>
              <w:t xml:space="preserve">Recall@5</w:t>
            </w:r>
          </w:p>
        </w:tc>
        <w:tc>
          <w:tcPr/>
          <w:p>
            <w:pPr>
              <w:pStyle w:val="Compact"/>
              <w:jc w:val="center"/>
            </w:pPr>
            <w:r>
              <w:t xml:space="preserve">0.5747</w:t>
            </w:r>
          </w:p>
        </w:tc>
        <w:tc>
          <w:tcPr/>
          <w:p>
            <w:pPr>
              <w:pStyle w:val="Compact"/>
              <w:jc w:val="center"/>
            </w:pPr>
            <w:r>
              <w:t xml:space="preserve">0.6174</w:t>
            </w:r>
          </w:p>
        </w:tc>
      </w:tr>
      <w:tr>
        <w:tc>
          <w:tcPr/>
          <w:p>
            <w:pPr>
              <w:pStyle w:val="Compact"/>
              <w:jc w:val="left"/>
            </w:pPr>
            <w:r>
              <w:t xml:space="preserve">nDCG@5</w:t>
            </w:r>
          </w:p>
        </w:tc>
        <w:tc>
          <w:tcPr/>
          <w:p>
            <w:pPr>
              <w:pStyle w:val="Compact"/>
              <w:jc w:val="center"/>
            </w:pPr>
            <w:r>
              <w:t xml:space="preserve">0.7590</w:t>
            </w:r>
          </w:p>
        </w:tc>
        <w:tc>
          <w:tcPr/>
          <w:p>
            <w:pPr>
              <w:pStyle w:val="Compact"/>
              <w:jc w:val="center"/>
            </w:pPr>
            <w:r>
              <w:t xml:space="preserve">0.7231</w:t>
            </w:r>
          </w:p>
        </w:tc>
      </w:tr>
    </w:tbl>
    <w:bookmarkEnd w:id="91"/>
    <w:p>
      <w:pPr>
        <w:pStyle w:val="BodyText"/>
      </w:pPr>
      <w:r>
        <w:t xml:space="preserve">Note: These metrics belong to the finalized June 2026 independent retrieval benchmark in the archived June 7 evaluation bundle, run</w:t>
      </w:r>
      <w:r>
        <w:t xml:space="preserve"> </w:t>
      </w:r>
      <w:r>
        <w:rPr>
          <w:rStyle w:val="VerbatimChar"/>
        </w:rPr>
        <w:t xml:space="preserve">20260606_212735_nogit</w:t>
      </w:r>
      <w:r>
        <w:t xml:space="preserve">. The benchmark contains 25 queries, 321 judged pooled candidates, completed qrels artifacts, and the same gold relevance set for both Direct Retrieval and HyDE Retrieval.</w:t>
      </w:r>
    </w:p>
    <w:p>
      <w:pPr>
        <w:pStyle w:val="BodyText"/>
      </w:pPr>
      <w:r>
        <w:t xml:space="preserve">Table </w:t>
      </w:r>
      <w:hyperlink w:anchor="tab:retrieval-metrics-comparison">
        <w:r>
          <w:rPr>
            <w:rStyle w:val="Hyperlink"/>
          </w:rPr>
          <w:t xml:space="preserve">7.1</w:t>
        </w:r>
      </w:hyperlink>
      <w:r>
        <w:t xml:space="preserve"> </w:t>
      </w:r>
      <w:r>
        <w:t xml:space="preserve">shows the finalized retrieval comparison. HyDE improved MRR from 0.865 to 0.910 and Recall@5 from 0.5747 to 0.6174, which means it tended to surface at least one useful source earlier and recover more of the judged relevant set within the first five results. Direct retrieval retained the stronger Precision@5, 0.552 versus 0.544, and the stronger nDCG@5, 0.7590 versus 0.7231, which means its top-five list was slightly cleaner and its graded ordering was better aligned with the judged relevance scale.</w:t>
      </w:r>
    </w:p>
    <w:bookmarkEnd w:id="92"/>
    <w:bookmarkStart w:id="93" w:name="retrieval-ranking-results"/>
    <w:p>
      <w:pPr>
        <w:pStyle w:val="Heading3"/>
      </w:pPr>
      <w:r>
        <w:t xml:space="preserve">Retrieval Ranking Results</w:t>
      </w:r>
    </w:p>
    <w:p>
      <w:pPr>
        <w:pStyle w:val="FirstParagraph"/>
      </w:pPr>
      <w:r>
        <w:t xml:space="preserve">The finalized metrics show why retrieval interpretation must remain multidimensional. HyDE’s higher MRR means the first relevant item tended to appear earlier. Its higher Recall@5 means more of the judged relevant evidence was recovered in the first five results. Direct retrieval’s slightly higher Precision@5 means a slightly larger share of its top-five items were relevant, and its higher nDCG@5 means its ordering of weakly relevant and highly relevant documents was stronger at the same cutoff. The evidence therefore supports a tradeoff rather than a single winner: HyDE is stronger for early-hit discovery and coverage, while direct retrieval is stronger for top-five purity and graded ordering.</w:t>
      </w:r>
    </w:p>
    <w:p>
      <w:pPr>
        <w:pStyle w:val="BodyText"/>
      </w:pPr>
      <w:r>
        <w:t xml:space="preserve">The interpretation of this result is that HyDE acts as an effective discovery mechanism—it is more likely to surface a relevant document even when the user query is slightly misaligned with the corpus terminology. However, direct retrieval remains the precision leader; when it finds relevant documents, it ranks them more accurately according to their graded relevance. For a biomedical researcher, this means HyDE is better for broad evidence gathering, while direct retrieval is more reliable for ranking known high-quality evidence.</w:t>
      </w:r>
    </w:p>
    <w:bookmarkEnd w:id="93"/>
    <w:bookmarkEnd w:id="94"/>
    <w:bookmarkStart w:id="100" w:name="generation-and-ragas-evaluation"/>
    <w:p>
      <w:pPr>
        <w:pStyle w:val="Heading2"/>
      </w:pPr>
      <w:r>
        <w:t xml:space="preserve">Generation and RAGAS Evaluation</w:t>
      </w:r>
    </w:p>
    <w:p>
      <w:pPr>
        <w:pStyle w:val="FirstParagraph"/>
      </w:pPr>
      <w:r>
        <w:t xml:space="preserve">Generation quality is evaluated using Retrieval Augmented Generation Assessment (RAGAS) metrics </w:t>
      </w:r>
      <w:r>
        <w:t xml:space="preserve">(</w:t>
      </w:r>
      <w:r>
        <w:rPr>
          <w:b/>
          <w:bCs/>
        </w:rPr>
        <w:t xml:space="preserve">es2024ragas?</w:t>
      </w:r>
      <w:r>
        <w:t xml:space="preserve">)</w:t>
      </w:r>
      <w:r>
        <w:t xml:space="preserve">. Answer relevancy estimates whether the response addresses the user’s question. Faithfulness estimates whether the generated response is supported by supplied contexts. Context precision without reference estimates whether the retrieved contexts appear useful for supporting the produced answer without using a separate gold answer. It is an answer-support proxy, not an independent retrieval ranking metric and not proof of biomedical correctness. Answer Generation (Phase 3) and RAGAS Evaluation (Phase 4) provide the basis for evaluating answer quality and support.</w:t>
      </w:r>
    </w:p>
    <w:p>
      <w:pPr>
        <w:pStyle w:val="BodyText"/>
      </w:pPr>
      <w:r>
        <w:t xml:space="preserve">Answer relevancy can be understood as a question-answer alignment score. If the question asks about thrombosis risk factors and the answer discusses those risk factors directly, answer relevancy should be higher. If the answer drifts into unrelated background material, answer relevancy should be lower. This metric is useful for detecting whether the response addresses the prompt, but it does not require the answer to cite or obey retrieved evidence. For that reason, the LLM-only baseline can receive an answer relevancy score even though it has no retrieved contexts.</w:t>
      </w:r>
    </w:p>
    <w:p>
      <w:pPr>
        <w:pStyle w:val="BodyText"/>
      </w:pPr>
      <w:r>
        <w:t xml:space="preserve">Faithfulness measures a different property. It asks whether statements in a generated answer are supported by the contexts supplied to the generator. In simple terms, if the context says</w:t>
      </w:r>
      <w:r>
        <w:t xml:space="preserve"> </w:t>
      </w:r>
      <w:r>
        <w:t xml:space="preserve">“factor A is associated with thrombosis”</w:t>
      </w:r>
      <w:r>
        <w:t xml:space="preserve"> </w:t>
      </w:r>
      <w:r>
        <w:t xml:space="preserve">and the answer says</w:t>
      </w:r>
      <w:r>
        <w:t xml:space="preserve"> </w:t>
      </w:r>
      <w:r>
        <w:t xml:space="preserve">“factor A is associated with thrombosis”</w:t>
      </w:r>
      <w:r>
        <w:t xml:space="preserve">, that statement is supportable. If the answer adds a factor or causal claim that is not present in the supplied context, faithfulness should decrease. Faithfulness is therefore central to evidence-grounded RAG evaluation, but it is not applicable to the LLM-only baseline because no retrieved contexts are supplied.</w:t>
      </w:r>
    </w:p>
    <w:p>
      <w:pPr>
        <w:pStyle w:val="BodyText"/>
      </w:pPr>
      <w:r>
        <w:t xml:space="preserve">Context precision without reference is more subtle. It estimates whether the contexts supplied to the answer appear useful for supporting the answer, without comparing the contexts to an independent gold answer. A high value can indicate that the answer is focused around the retrieved material. However, it is not the same as Precision@5 from retrieval evaluation. Precision@5 requires manual relevance judgments over ranked retrieved documents; context precision without reference is an automated answer-support proxy computed during RAGAS evaluation. This distinction remains important even after retrieval finalization because the RAGAS metric evaluates answer support, whereas the finalized June 2026 retrieval benchmark evaluates document ranking against qrels.</w:t>
      </w:r>
    </w:p>
    <w:bookmarkStart w:id="95" w:name="tab:ragas-metrics-summary"/>
    <w:p>
      <w:pPr>
        <w:pStyle w:val="TableCaption"/>
      </w:pPr>
      <w:r>
        <w:t xml:space="preserve">Deterministic June 2026 RAGAS metrics by configuration.</w:t>
      </w:r>
    </w:p>
    <w:tbl>
      <w:tblPr>
        <w:tblStyle w:val="Table"/>
        <w:tblW w:type="auto" w:w="0"/>
        <w:tblLook w:firstRow="1" w:lastRow="0" w:firstColumn="0" w:lastColumn="0" w:noHBand="0" w:noVBand="0" w:val="0020"/>
        <w:tblCaption w:val="Deterministic June 2026 RAGAS metrics by configuration."/>
      </w:tblPr>
      <w:tblGrid>
        <w:gridCol w:w="1980"/>
        <w:gridCol w:w="1980"/>
        <w:gridCol w:w="1980"/>
        <w:gridCol w:w="1980"/>
      </w:tblGrid>
      <w:tr>
        <w:trPr>
          <w:tblHeader w:val="on"/>
        </w:trPr>
        <w:tc>
          <w:tcPr/>
          <w:p>
            <w:pPr>
              <w:pStyle w:val="Compact"/>
              <w:jc w:val="left"/>
            </w:pPr>
            <w:r>
              <w:t xml:space="preserve">Configuration</w:t>
            </w:r>
          </w:p>
        </w:tc>
        <w:tc>
          <w:tcPr/>
          <w:p>
            <w:pPr>
              <w:pStyle w:val="Compact"/>
              <w:jc w:val="right"/>
            </w:pPr>
            <w:r>
              <w:t xml:space="preserve">Answer relevancy</w:t>
            </w:r>
          </w:p>
        </w:tc>
        <w:tc>
          <w:tcPr/>
          <w:p>
            <w:pPr>
              <w:pStyle w:val="Compact"/>
              <w:jc w:val="right"/>
            </w:pPr>
            <w:r>
              <w:t xml:space="preserve">Faithfulness</w:t>
            </w:r>
          </w:p>
        </w:tc>
        <w:tc>
          <w:tcPr/>
          <w:p>
            <w:pPr>
              <w:pStyle w:val="Compact"/>
              <w:jc w:val="right"/>
            </w:pPr>
            <w:r>
              <w:t xml:space="preserve">Context precision without reference</w:t>
            </w:r>
          </w:p>
        </w:tc>
      </w:tr>
      <w:tr>
        <w:tc>
          <w:tcPr/>
          <w:p>
            <w:pPr>
              <w:pStyle w:val="Compact"/>
              <w:jc w:val="left"/>
            </w:pPr>
            <w:r>
              <w:t xml:space="preserve">LLM only</w:t>
            </w:r>
          </w:p>
        </w:tc>
        <w:tc>
          <w:tcPr/>
          <w:p>
            <w:pPr>
              <w:pStyle w:val="Compact"/>
              <w:jc w:val="right"/>
            </w:pPr>
            <w:r>
              <w:t xml:space="preserve">0.564609</w:t>
            </w:r>
          </w:p>
        </w:tc>
        <w:tc>
          <w:tcPr/>
          <w:p>
            <w:pPr>
              <w:pStyle w:val="Compact"/>
              <w:jc w:val="right"/>
            </w:pPr>
            <w:r>
              <w:t xml:space="preserve">N/A</w:t>
            </w:r>
          </w:p>
        </w:tc>
        <w:tc>
          <w:tcPr/>
          <w:p>
            <w:pPr>
              <w:pStyle w:val="Compact"/>
              <w:jc w:val="right"/>
            </w:pPr>
            <w:r>
              <w:t xml:space="preserve">N/A</w:t>
            </w:r>
          </w:p>
        </w:tc>
      </w:tr>
      <w:tr>
        <w:tc>
          <w:tcPr/>
          <w:p>
            <w:pPr>
              <w:pStyle w:val="Compact"/>
              <w:jc w:val="left"/>
            </w:pPr>
            <w:r>
              <w:t xml:space="preserve">RAG without HyDE</w:t>
            </w:r>
          </w:p>
        </w:tc>
        <w:tc>
          <w:tcPr/>
          <w:p>
            <w:pPr>
              <w:pStyle w:val="Compact"/>
              <w:jc w:val="right"/>
            </w:pPr>
            <w:r>
              <w:t xml:space="preserve">0.529602</w:t>
            </w:r>
          </w:p>
        </w:tc>
        <w:tc>
          <w:tcPr/>
          <w:p>
            <w:pPr>
              <w:pStyle w:val="Compact"/>
              <w:jc w:val="right"/>
            </w:pPr>
            <w:r>
              <w:t xml:space="preserve">0.685810</w:t>
            </w:r>
          </w:p>
        </w:tc>
        <w:tc>
          <w:tcPr/>
          <w:p>
            <w:pPr>
              <w:pStyle w:val="Compact"/>
              <w:jc w:val="right"/>
            </w:pPr>
            <w:r>
              <w:t xml:space="preserve">0.686667</w:t>
            </w:r>
          </w:p>
        </w:tc>
      </w:tr>
      <w:tr>
        <w:tc>
          <w:tcPr/>
          <w:p>
            <w:pPr>
              <w:pStyle w:val="Compact"/>
              <w:jc w:val="left"/>
            </w:pPr>
            <w:r>
              <w:t xml:space="preserve">RAG with HyDE</w:t>
            </w:r>
          </w:p>
        </w:tc>
        <w:tc>
          <w:tcPr/>
          <w:p>
            <w:pPr>
              <w:pStyle w:val="Compact"/>
              <w:jc w:val="right"/>
            </w:pPr>
            <w:r>
              <w:t xml:space="preserve">0.539485</w:t>
            </w:r>
          </w:p>
        </w:tc>
        <w:tc>
          <w:tcPr/>
          <w:p>
            <w:pPr>
              <w:pStyle w:val="Compact"/>
              <w:jc w:val="right"/>
            </w:pPr>
            <w:r>
              <w:t xml:space="preserve">0.480571</w:t>
            </w:r>
          </w:p>
        </w:tc>
        <w:tc>
          <w:tcPr/>
          <w:p>
            <w:pPr>
              <w:pStyle w:val="Compact"/>
              <w:jc w:val="right"/>
            </w:pPr>
            <w:r>
              <w:t xml:space="preserve">0.826667</w:t>
            </w:r>
          </w:p>
        </w:tc>
      </w:tr>
    </w:tbl>
    <w:bookmarkEnd w:id="95"/>
    <w:p>
      <w:pPr>
        <w:pStyle w:val="BodyText"/>
      </w:pPr>
      <w:r>
        <w:t xml:space="preserve">Note: Faithfulness and context precision without reference are not applicable to the LLM-only baseline because no retrieved contexts are supplied. Context precision without reference is a RAGAS answer-support proxy, not an independent qrels-based retrieval ranking metric.</w:t>
      </w:r>
    </w:p>
    <w:p>
      <w:pPr>
        <w:pStyle w:val="BodyText"/>
      </w:pPr>
      <w:r>
        <w:t xml:space="preserve">Table </w:t>
      </w:r>
      <w:hyperlink w:anchor="tab:ragas-metrics-summary">
        <w:r>
          <w:rPr>
            <w:rStyle w:val="Hyperlink"/>
          </w:rPr>
          <w:t xml:space="preserve">7.2</w:t>
        </w:r>
      </w:hyperlink>
      <w:r>
        <w:t xml:space="preserve"> </w:t>
      </w:r>
      <w:r>
        <w:t xml:space="preserve">shows a mixed result. LLM only has the highest answer relevancy score, 0.564609, but this does not establish grounding because no retrieved contexts are provided. RAG with HyDE has slightly higher answer relevancy than RAG without HyDE, 0.539485 versus 0.529602, and higher context precision without reference, 0.826667 versus 0.686667. RAG without HyDE has materially higher faithfulness, 0.685810 versus 0.480571. The deterministic RAGAS results therefore do not support the claim that RAG universally improves answer relevancy over LLM only, nor the claim that RAG without HyDE is best on every RAGAS metric.</w:t>
      </w:r>
    </w:p>
    <w:p>
      <w:pPr>
        <w:pStyle w:val="BodyText"/>
      </w:pPr>
      <w:r>
        <w:t xml:space="preserve">The answer relevancy comparison is intentionally conservative. The LLM-only score exceeds the RAG-with-HyDE score by 0.025124 and the RAG-without-HyDE score by 0.035007. These differences show that retrieved context did not automatically increase automated answer-question alignment in this deterministic run. However, the LLM-only mode has no faithfulness or context precision values because those metrics require retrieved contexts. The correct conclusion is therefore not that LLM only is the best biomedical system, but that answer-question alignment is only one evaluation dimension.</w:t>
      </w:r>
    </w:p>
    <w:p>
      <w:pPr>
        <w:pStyle w:val="BodyText"/>
      </w:pPr>
      <w:r>
        <w:t xml:space="preserve">The faithfulness comparison points in the opposite direction. RAG without HyDE scores 0.685810, while RAG with HyDE scores 0.480571. The difference is 0.205239, which is large relative to the scale of the reported values. Since faithfulness measures support from supplied contexts, this is the strongest RAGAS evidence in favor of direct RAG without HyDE for grounded answer synthesis in the latest deterministic benchmark.</w:t>
      </w:r>
    </w:p>
    <w:p>
      <w:pPr>
        <w:pStyle w:val="BodyText"/>
      </w:pPr>
      <w:r>
        <w:t xml:space="preserve">The context precision without reference comparison favors HyDE. RAG with HyDE scores 0.826667, while RAG without HyDE scores 0.686667. The difference is 0.140000. This means the automated evaluator judged the HyDE-supplied contexts to be more concentrated around support for the produced answer. Because this metric is not qrels-based retrieval precision, it should be interpreted as answer-support focus rather than as a standalone retrieval ranking result.</w:t>
      </w:r>
    </w:p>
    <w:bookmarkStart w:id="99" w:name="fig:ragas-metrics-summary"/>
    <w:p>
      <w:pPr>
        <w:pStyle w:val="CaptionedFigure"/>
      </w:pPr>
      <w:r>
        <w:drawing>
          <wp:inline>
            <wp:extent cx="4373880" cy="2298431"/>
            <wp:effectExtent b="0" l="0" r="0" t="0"/>
            <wp:docPr descr="" title="" id="97" name="Picture"/>
            <a:graphic>
              <a:graphicData uri="http://schemas.openxmlformats.org/drawingml/2006/picture">
                <pic:pic>
                  <pic:nvPicPr>
                    <pic:cNvPr descr="resources/images/ragas_metrics_summary.pdf" id="98" name="Picture"/>
                    <pic:cNvPicPr>
                      <a:picLocks noChangeArrowheads="1" noChangeAspect="1"/>
                    </pic:cNvPicPr>
                  </pic:nvPicPr>
                  <pic:blipFill>
                    <a:blip r:embed="rId96"/>
                    <a:stretch>
                      <a:fillRect/>
                    </a:stretch>
                  </pic:blipFill>
                  <pic:spPr bwMode="auto">
                    <a:xfrm>
                      <a:off x="0" y="0"/>
                      <a:ext cx="4373880" cy="2298431"/>
                    </a:xfrm>
                    <a:prstGeom prst="rect">
                      <a:avLst/>
                    </a:prstGeom>
                    <a:noFill/>
                    <a:ln w="9525">
                      <a:noFill/>
                      <a:headEnd/>
                      <a:tailEnd/>
                    </a:ln>
                  </pic:spPr>
                </pic:pic>
              </a:graphicData>
            </a:graphic>
          </wp:inline>
        </w:drawing>
      </w:r>
    </w:p>
    <w:p>
      <w:pPr>
        <w:pStyle w:val="ImageCaption"/>
      </w:pPr>
      <w:r>
        <w:t xml:space="preserve">Deterministic June 2026 RAGAS metrics by configuration.</w:t>
      </w:r>
    </w:p>
    <w:bookmarkEnd w:id="99"/>
    <w:p>
      <w:pPr>
        <w:pStyle w:val="BodyText"/>
      </w:pPr>
      <w:r>
        <w:t xml:space="preserve">The practical reading of these RAGAS values is cautious. LLM only appears best at producing answers that match the question, but that metric alone cannot say whether the answer is grounded. The high relevancy of the baseline likely reflects the model’s ability to utilize its parametric training data to generate fluent, answer-like prose that is unconstrained by the technical nuances of retrieved chunks.</w:t>
      </w:r>
    </w:p>
    <w:p>
      <w:pPr>
        <w:pStyle w:val="BodyText"/>
      </w:pPr>
      <w:r>
        <w:t xml:space="preserve">HyDE appears to focus the retrieved context around the answer better than direct RAG according to the context precision proxy, but the lower faithfulness value (0.4806 vs 0.6858) indicates weaker support of answer statements by the contexts. This suggests a hallucination-reinforcement pattern: HyDE’s expansion may retrieve chunks that look like they support the hypothetical answer, but these chunks may not actually contain the evidence required to make the final synthesis faithful to the ground truth. Direct RAG without HyDE is therefore the stronger grounded-answer configuration in this deterministic run, prioritizing factual grounding over answer-context alignment.</w:t>
      </w:r>
    </w:p>
    <w:bookmarkEnd w:id="100"/>
    <w:bookmarkStart w:id="106" w:name="risk-factor-extraction-evaluation"/>
    <w:p>
      <w:pPr>
        <w:pStyle w:val="Heading2"/>
      </w:pPr>
      <w:r>
        <w:t xml:space="preserve">Risk Factor Extraction Evaluation</w:t>
      </w:r>
    </w:p>
    <w:p>
      <w:pPr>
        <w:pStyle w:val="FirstParagraph"/>
      </w:pPr>
      <w:r>
        <w:t xml:space="preserve">Risk factor extraction is evaluated separately from general answer quality. The extraction phase compares predicted risk factor sets with derived gold factors from curated task annotations and cited documents. Risk factor extraction is evaluated in Extraction Evaluation (Phase 6), which compares system-extracted factors against the derived reference substrate. True positives count correctly recovered factors, false positives count predicted factors absent from the derived reference set, and false negatives count derived reference factors missed by the system. Precision captures over-extraction, recall captures missed factors, and F1 balances the two.</w:t>
      </w:r>
    </w:p>
    <w:p>
      <w:pPr>
        <w:pStyle w:val="BodyText"/>
      </w:pPr>
      <w:r>
        <w:t xml:space="preserve">A true positive is a correctly recovered risk factor. If the derived reference set contains</w:t>
      </w:r>
      <w:r>
        <w:t xml:space="preserve"> </w:t>
      </w:r>
      <w:r>
        <w:t xml:space="preserve">“prior venous thromboembolism”</w:t>
      </w:r>
      <w:r>
        <w:t xml:space="preserve"> </w:t>
      </w:r>
      <w:r>
        <w:t xml:space="preserve">and the system extracts the same canonical factor, that is a true positive. A false positive is an extra factor predicted by the system but not present in the derived reference set. A false negative is a derived reference factor that the system failed to extract. These counts are the raw building blocks of precision, recall, and F1.</w:t>
      </w:r>
    </w:p>
    <w:p>
      <w:pPr>
        <w:pStyle w:val="BodyText"/>
      </w:pPr>
      <w:r>
        <w:t xml:space="preserve">Precision asks,</w:t>
      </w:r>
      <w:r>
        <w:t xml:space="preserve"> </w:t>
      </w:r>
      <w:r>
        <w:t xml:space="preserve">“When the system extracts a factor, how often is that extraction in the reference set?”</w:t>
      </w:r>
      <w:r>
        <w:t xml:space="preserve"> </w:t>
      </w:r>
      <w:r>
        <w:t xml:space="preserve">If a system extracts 10 factors and 7 are correct, precision is 7/10, or 0.70. Low precision means the system creates too many unsupported extractions, which increases human review burden. Recall asks,</w:t>
      </w:r>
      <w:r>
        <w:t xml:space="preserve"> </w:t>
      </w:r>
      <w:r>
        <w:t xml:space="preserve">“Of the factors that should have been extracted, how many did the system find?”</w:t>
      </w:r>
      <w:r>
        <w:t xml:space="preserve"> </w:t>
      </w:r>
      <w:r>
        <w:t xml:space="preserve">If the reference set contains 8 factors and the system finds 6, recall is 6/8, or 0.75. Low recall means the system misses known factors. F1 combines precision and recall so that a system is penalized when one is high and the other is low.</w:t>
      </w:r>
    </w:p>
    <w:p>
      <w:pPr>
        <w:pStyle w:val="BodyText"/>
      </w:pPr>
      <w:r>
        <w:t xml:space="preserve">Micro and macro averaging answer different aggregation questions. Micro precision, recall, and F1 pool all individual factor decisions across the covered queries before computing the metric. This means queries with more factors can have more influence. Macro precision, recall, and F1 compute per-query scores first and then average them, giving each covered query more equal influence. Reporting both views makes the extraction result less dependent on a single aggregation convention.</w:t>
      </w:r>
    </w:p>
    <w:p>
      <w:pPr>
        <w:pStyle w:val="BodyText"/>
      </w:pPr>
      <w:r>
        <w:t xml:space="preserve">Note: Extraction metrics apply only to the 13 queries with derived gold factors. The remaining 12 questions were skipped by the configured no-gold policy.</w:t>
      </w:r>
    </w:p>
    <w:p>
      <w:pPr>
        <w:pStyle w:val="BodyText"/>
      </w:pPr>
      <w:r>
        <w:t xml:space="preserve">Table </w:t>
      </w:r>
      <w:hyperlink w:anchor="tab:extraction-metrics-summary">
        <w:r>
          <w:rPr>
            <w:rStyle w:val="Hyperlink"/>
          </w:rPr>
          <w:t xml:space="preserve">[tab:extraction-metrics-summary]</w:t>
        </w:r>
      </w:hyperlink>
      <w:r>
        <w:t xml:space="preserve"> </w:t>
      </w:r>
      <w:r>
        <w:t xml:space="preserve">shows that RAG without HyDE performs better than RAG with HyDE on all reported extraction rates: micro precision, micro recall, micro F1, macro precision, macro recall, and macro F1. RAG without HyDE also recovers more true positives, 38 rather than 34. Both configurations produce 23 false positives and 3 false negatives. The latest run therefore does not support a HyDE false-positive reduction interpretation.</w:t>
      </w:r>
    </w:p>
    <w:p>
      <w:pPr>
        <w:pStyle w:val="BodyText"/>
      </w:pPr>
      <w:r>
        <w:t xml:space="preserve">The counts explain the metric difference. Both RAG configurations made the same number of false-positive and false-negative mistakes: 23 false positives and 3 false negatives. The decisive difference is true-positive recovery. RAG without HyDE recovered 38 true positives, while RAG with HyDE recovered 34. Because the false-positive burden is equal, the additional four true positives improve direct RAG’s precision, recall, and F1. This is why the current evidence contradicts the older interpretation that HyDE was more conservative through fewer false positives.</w:t>
      </w:r>
    </w:p>
    <w:p>
      <w:pPr>
        <w:pStyle w:val="BodyText"/>
      </w:pPr>
      <w:r>
        <w:t xml:space="preserve">The micro precision values can be reproduced directly from the counts. For RAG without HyDE, precision is 38 divided by 38 plus 23, which is 38/61, or 0.622951. For RAG with HyDE, precision is 34 divided by 34 plus 23, which is 34/57, or 0.596491. In plain terms, both systems produced extra factors, but direct RAG produced more correct factors for the same false-positive count.</w:t>
      </w:r>
    </w:p>
    <w:p>
      <w:pPr>
        <w:pStyle w:val="BodyText"/>
      </w:pPr>
      <w:r>
        <w:t xml:space="preserve">The micro recall values can also be reproduced from the counts. For RAG without HyDE, recall is 38 divided by 38 plus 3, which is 38/41, or 0.926829. For RAG with HyDE, recall is 34 divided by 34 plus 3, which is 34/37, or 0.918919. Both systems missed three derived factors, but the direct-RAG denominator is larger because it recovered more true positives.</w:t>
      </w:r>
    </w:p>
    <w:p>
      <w:pPr>
        <w:pStyle w:val="BodyText"/>
      </w:pPr>
      <w:r>
        <w:t xml:space="preserve">F1 summarizes the precision-recall balance. For RAG without HyDE, micro F1 is 0.745098. For RAG with HyDE, micro F1 is 0.723404. Since direct RAG has both higher precision and higher recall in the latest deterministic run, its higher F1 is expected rather than surprising. The macro F1 values preserve the same ordering, 0.731241 for direct RAG and 0.700821 for HyDE, after averaging per-query behavior.</w:t>
      </w:r>
    </w:p>
    <w:p>
      <w:pPr>
        <w:pStyle w:val="BodyText"/>
      </w:pPr>
      <w:r>
        <w:t xml:space="preserve">The interpretation of this result is that direct RAG without HyDE is more reliable for structured biomedical extraction. HyDE’s broader retrieval may introduce slightly more noise or focus the model on "relevant-looking" but incorrect factors mentioned in the expanded query, whereas direct RAG remains closer to the literal evidence required for extraction. The high false-positive rate across both modes (23 cases each) remains a significant operational challenge, suggesting that while the system is highly capable of finding risk factors (Recall &gt; 0.91), it is prone to over-identifying factors that are not strictly supported by the derived reference substrate.</w:t>
      </w:r>
    </w:p>
    <w:p>
      <w:pPr>
        <w:pStyle w:val="BodyText"/>
      </w:pPr>
      <w:r>
        <w:t xml:space="preserve">The coverage caveat is as important as the scores. Extraction was evaluated for 13 questions because only those questions had derived gold factors under the configured policy. The remaining 12 questions were skipped, not scored as successful or unsuccessful extraction cases. Therefore, the extraction table should be read as evidence about the covered subset, not as a complete 25-question extraction benchmark.</w:t>
      </w:r>
    </w:p>
    <w:bookmarkStart w:id="101" w:name="tab:extraction-error-profile"/>
    <w:p>
      <w:pPr>
        <w:pStyle w:val="TableCaption"/>
      </w:pPr>
      <w:r>
        <w:t xml:space="preserve">Micro-level extraction error profile for the deterministic June 2026 run.</w:t>
      </w:r>
    </w:p>
    <w:tbl>
      <w:tblPr>
        <w:tblStyle w:val="Table"/>
        <w:tblW w:type="auto" w:w="0"/>
        <w:tblLook w:firstRow="1" w:lastRow="0" w:firstColumn="0" w:lastColumn="0" w:noHBand="0" w:noVBand="0" w:val="0020"/>
        <w:tblCaption w:val="Micro-level extraction error profile for the deterministic June 2026 run."/>
      </w:tblPr>
      <w:tblGrid>
        <w:gridCol w:w="1320"/>
        <w:gridCol w:w="1320"/>
        <w:gridCol w:w="1320"/>
        <w:gridCol w:w="1320"/>
        <w:gridCol w:w="1320"/>
        <w:gridCol w:w="1320"/>
      </w:tblGrid>
      <w:tr>
        <w:trPr>
          <w:tblHeader w:val="on"/>
        </w:trPr>
        <w:tc>
          <w:tcPr/>
          <w:p>
            <w:pPr>
              <w:pStyle w:val="Compact"/>
              <w:jc w:val="left"/>
            </w:pPr>
            <w:r>
              <w:t xml:space="preserve">Configuration</w:t>
            </w:r>
          </w:p>
        </w:tc>
        <w:tc>
          <w:tcPr/>
          <w:p>
            <w:pPr>
              <w:pStyle w:val="Compact"/>
              <w:jc w:val="right"/>
            </w:pPr>
            <w:r>
              <w:t xml:space="preserve">TP</w:t>
            </w:r>
          </w:p>
        </w:tc>
        <w:tc>
          <w:tcPr/>
          <w:p>
            <w:pPr>
              <w:pStyle w:val="Compact"/>
              <w:jc w:val="right"/>
            </w:pPr>
            <w:r>
              <w:t xml:space="preserve">FP</w:t>
            </w:r>
          </w:p>
        </w:tc>
        <w:tc>
          <w:tcPr/>
          <w:p>
            <w:pPr>
              <w:pStyle w:val="Compact"/>
              <w:jc w:val="right"/>
            </w:pPr>
            <w:r>
              <w:t xml:space="preserve">FN</w:t>
            </w:r>
          </w:p>
        </w:tc>
        <w:tc>
          <w:tcPr/>
          <w:p>
            <w:pPr>
              <w:pStyle w:val="Compact"/>
              <w:jc w:val="right"/>
            </w:pPr>
            <w:r>
              <w:t xml:space="preserve">Micro F1</w:t>
            </w:r>
          </w:p>
        </w:tc>
        <w:tc>
          <w:tcPr/>
          <w:p>
            <w:pPr>
              <w:pStyle w:val="Compact"/>
              <w:jc w:val="left"/>
            </w:pPr>
            <w:r>
              <w:t xml:space="preserve">Interpretation</w:t>
            </w:r>
          </w:p>
        </w:tc>
      </w:tr>
      <w:tr>
        <w:tc>
          <w:tcPr/>
          <w:p>
            <w:pPr>
              <w:pStyle w:val="Compact"/>
              <w:jc w:val="left"/>
            </w:pPr>
            <w:r>
              <w:t xml:space="preserve">RAG without HyDE</w:t>
            </w:r>
          </w:p>
        </w:tc>
        <w:tc>
          <w:tcPr/>
          <w:p>
            <w:pPr>
              <w:pStyle w:val="Compact"/>
              <w:jc w:val="right"/>
            </w:pPr>
            <w:r>
              <w:t xml:space="preserve">38</w:t>
            </w:r>
          </w:p>
        </w:tc>
        <w:tc>
          <w:tcPr/>
          <w:p>
            <w:pPr>
              <w:pStyle w:val="Compact"/>
              <w:jc w:val="right"/>
            </w:pPr>
            <w:r>
              <w:t xml:space="preserve">23</w:t>
            </w:r>
          </w:p>
        </w:tc>
        <w:tc>
          <w:tcPr/>
          <w:p>
            <w:pPr>
              <w:pStyle w:val="Compact"/>
              <w:jc w:val="right"/>
            </w:pPr>
            <w:r>
              <w:t xml:space="preserve">3</w:t>
            </w:r>
          </w:p>
        </w:tc>
        <w:tc>
          <w:tcPr/>
          <w:p>
            <w:pPr>
              <w:pStyle w:val="Compact"/>
              <w:jc w:val="right"/>
            </w:pPr>
            <w:r>
              <w:t xml:space="preserve">0.7451</w:t>
            </w:r>
          </w:p>
        </w:tc>
        <w:tc>
          <w:tcPr/>
          <w:p>
            <w:pPr>
              <w:pStyle w:val="Compact"/>
              <w:jc w:val="left"/>
            </w:pPr>
            <w:r>
              <w:t xml:space="preserve">Stronger extraction configuration in this run; more true positives with the same false-positive and false-negative counts as HyDE.</w:t>
            </w:r>
          </w:p>
        </w:tc>
      </w:tr>
      <w:tr>
        <w:tc>
          <w:tcPr/>
          <w:p>
            <w:pPr>
              <w:pStyle w:val="Compact"/>
              <w:jc w:val="left"/>
            </w:pPr>
            <w:r>
              <w:t xml:space="preserve">RAG with HyDE</w:t>
            </w:r>
          </w:p>
        </w:tc>
        <w:tc>
          <w:tcPr/>
          <w:p>
            <w:pPr>
              <w:pStyle w:val="Compact"/>
              <w:jc w:val="right"/>
            </w:pPr>
            <w:r>
              <w:t xml:space="preserve">34</w:t>
            </w:r>
          </w:p>
        </w:tc>
        <w:tc>
          <w:tcPr/>
          <w:p>
            <w:pPr>
              <w:pStyle w:val="Compact"/>
              <w:jc w:val="right"/>
            </w:pPr>
            <w:r>
              <w:t xml:space="preserve">23</w:t>
            </w:r>
          </w:p>
        </w:tc>
        <w:tc>
          <w:tcPr/>
          <w:p>
            <w:pPr>
              <w:pStyle w:val="Compact"/>
              <w:jc w:val="right"/>
            </w:pPr>
            <w:r>
              <w:t xml:space="preserve">3</w:t>
            </w:r>
          </w:p>
        </w:tc>
        <w:tc>
          <w:tcPr/>
          <w:p>
            <w:pPr>
              <w:pStyle w:val="Compact"/>
              <w:jc w:val="right"/>
            </w:pPr>
            <w:r>
              <w:t xml:space="preserve">0.7234</w:t>
            </w:r>
          </w:p>
        </w:tc>
        <w:tc>
          <w:tcPr/>
          <w:p>
            <w:pPr>
              <w:pStyle w:val="Compact"/>
              <w:jc w:val="left"/>
            </w:pPr>
            <w:r>
              <w:t xml:space="preserve">Lower extraction scores despite higher RAGAS context precision without reference.</w:t>
            </w:r>
          </w:p>
        </w:tc>
      </w:tr>
    </w:tbl>
    <w:bookmarkEnd w:id="101"/>
    <w:bookmarkStart w:id="105" w:name="fig:extraction-metrics-summary"/>
    <w:p>
      <w:pPr>
        <w:pStyle w:val="CaptionedFigure"/>
      </w:pPr>
      <w:r>
        <w:drawing>
          <wp:inline>
            <wp:extent cx="4373880" cy="2558009"/>
            <wp:effectExtent b="0" l="0" r="0" t="0"/>
            <wp:docPr descr="" title="" id="103" name="Picture"/>
            <a:graphic>
              <a:graphicData uri="http://schemas.openxmlformats.org/drawingml/2006/picture">
                <pic:pic>
                  <pic:nvPicPr>
                    <pic:cNvPr descr="resources/images/extraction_metrics_summary.pdf" id="104" name="Picture"/>
                    <pic:cNvPicPr>
                      <a:picLocks noChangeArrowheads="1" noChangeAspect="1"/>
                    </pic:cNvPicPr>
                  </pic:nvPicPr>
                  <pic:blipFill>
                    <a:blip r:embed="rId102"/>
                    <a:stretch>
                      <a:fillRect/>
                    </a:stretch>
                  </pic:blipFill>
                  <pic:spPr bwMode="auto">
                    <a:xfrm>
                      <a:off x="0" y="0"/>
                      <a:ext cx="4373880" cy="2558009"/>
                    </a:xfrm>
                    <a:prstGeom prst="rect">
                      <a:avLst/>
                    </a:prstGeom>
                    <a:noFill/>
                    <a:ln w="9525">
                      <a:noFill/>
                      <a:headEnd/>
                      <a:tailEnd/>
                    </a:ln>
                  </pic:spPr>
                </pic:pic>
              </a:graphicData>
            </a:graphic>
          </wp:inline>
        </w:drawing>
      </w:r>
    </w:p>
    <w:p>
      <w:pPr>
        <w:pStyle w:val="ImageCaption"/>
      </w:pPr>
      <w:r>
        <w:t xml:space="preserve">Deterministic June 2026 extraction metrics for the 13 covered queries.</w:t>
      </w:r>
    </w:p>
    <w:bookmarkEnd w:id="105"/>
    <w:bookmarkEnd w:id="106"/>
    <w:bookmarkStart w:id="108" w:name="operational-runtime-evaluation"/>
    <w:p>
      <w:pPr>
        <w:pStyle w:val="Heading2"/>
      </w:pPr>
      <w:r>
        <w:t xml:space="preserve">Operational Runtime Evaluation</w:t>
      </w:r>
    </w:p>
    <w:p>
      <w:pPr>
        <w:pStyle w:val="FirstParagraph"/>
      </w:pPr>
      <w:r>
        <w:t xml:space="preserve">Operational evaluation concerns whether the experiment can be traced, repeated, and costed. The complete chained execution started at 2026-06-05 15:39:43.685 and ended at 2026-06-07 02:12:18.683, for a total wall-clock duration of 34 hours, 32 minutes, and 35 seconds. The paper benchmark completed at 2026-06-07 00:27:29.991 after 32 hours, 47 minutes, and 46 seconds. The retrieval preparation phase then ran for 1 hour, 44 minutes, and 42 seconds.</w:t>
      </w:r>
    </w:p>
    <w:p>
      <w:pPr>
        <w:pStyle w:val="BodyText"/>
      </w:pPr>
      <w:r>
        <w:t xml:space="preserve">Runtime is a scientific concern because slow evaluation changes what can be repeated. A benchmark that takes minutes can be rerun during development; a benchmark that takes more than a day must be planned, logged, and preserved carefully. In this repository, the long chained execution increases the value of saved phase artifacts because they allow the thesis to inspect completed outputs without rerunning every expensive evaluator call.</w:t>
      </w:r>
    </w:p>
    <w:bookmarkStart w:id="107" w:name="tab:operational-runtime-summary"/>
    <w:p>
      <w:pPr>
        <w:pStyle w:val="TableCaption"/>
      </w:pPr>
      <w:r>
        <w:t xml:space="preserve">Operational runtime summary for the complete chained June 2026 execution.</w:t>
      </w:r>
    </w:p>
    <w:tbl>
      <w:tblPr>
        <w:tblStyle w:val="Table"/>
        <w:tblW w:type="pct" w:w="4000"/>
        <w:tblLayout w:type="fixed"/>
        <w:tblLook w:firstRow="1" w:lastRow="0" w:firstColumn="0" w:lastColumn="0" w:noHBand="0" w:noVBand="0" w:val="0020"/>
        <w:tblCaption w:val="Operational runtime summary for the complete chained June 2026 execution."/>
      </w:tblPr>
      <w:tblGrid>
        <w:gridCol w:w="3801"/>
        <w:gridCol w:w="2534"/>
      </w:tblGrid>
      <w:tr>
        <w:trPr>
          <w:tblHeader w:val="on"/>
        </w:trPr>
        <w:tc>
          <w:tcPr/>
          <w:p>
            <w:pPr>
              <w:pStyle w:val="Compact"/>
              <w:jc w:val="left"/>
            </w:pPr>
            <w:r>
              <w:t xml:space="preserve">Measurement</w:t>
            </w:r>
          </w:p>
        </w:tc>
        <w:tc>
          <w:tcPr/>
          <w:p>
            <w:pPr>
              <w:pStyle w:val="Compact"/>
              <w:jc w:val="left"/>
            </w:pPr>
            <w:r>
              <w:t xml:space="preserve">Observed value</w:t>
            </w:r>
          </w:p>
        </w:tc>
      </w:tr>
      <w:tr>
        <w:tc>
          <w:tcPr/>
          <w:p>
            <w:pPr>
              <w:pStyle w:val="Compact"/>
              <w:jc w:val="left"/>
            </w:pPr>
            <w:r>
              <w:t xml:space="preserve">Complete chained execution</w:t>
            </w:r>
          </w:p>
        </w:tc>
        <w:tc>
          <w:tcPr/>
          <w:p>
            <w:pPr>
              <w:pStyle w:val="Compact"/>
              <w:jc w:val="left"/>
            </w:pPr>
            <w:r>
              <w:t xml:space="preserve">34 h 32 min 35 s</w:t>
            </w:r>
          </w:p>
        </w:tc>
      </w:tr>
      <w:tr>
        <w:tc>
          <w:tcPr/>
          <w:p>
            <w:pPr>
              <w:pStyle w:val="Compact"/>
              <w:jc w:val="left"/>
            </w:pPr>
            <w:r>
              <w:t xml:space="preserve">Paper benchmark phase</w:t>
            </w:r>
          </w:p>
        </w:tc>
        <w:tc>
          <w:tcPr/>
          <w:p>
            <w:pPr>
              <w:pStyle w:val="Compact"/>
              <w:jc w:val="left"/>
            </w:pPr>
            <w:r>
              <w:t xml:space="preserve">32 h 47 min 46 s</w:t>
            </w:r>
          </w:p>
        </w:tc>
      </w:tr>
      <w:tr>
        <w:tc>
          <w:tcPr/>
          <w:p>
            <w:pPr>
              <w:pStyle w:val="Compact"/>
              <w:jc w:val="left"/>
            </w:pPr>
            <w:r>
              <w:t xml:space="preserve">Retrieval preparation after paper benchmark</w:t>
            </w:r>
          </w:p>
        </w:tc>
        <w:tc>
          <w:tcPr/>
          <w:p>
            <w:pPr>
              <w:pStyle w:val="Compact"/>
              <w:jc w:val="left"/>
            </w:pPr>
            <w:r>
              <w:t xml:space="preserve">1 h 44 min 42 s</w:t>
            </w:r>
          </w:p>
        </w:tc>
      </w:tr>
      <w:tr>
        <w:tc>
          <w:tcPr/>
          <w:p>
            <w:pPr>
              <w:pStyle w:val="Compact"/>
              <w:jc w:val="left"/>
            </w:pPr>
            <w:r>
              <w:t xml:space="preserve">Phase 3 generation, all runs</w:t>
            </w:r>
          </w:p>
        </w:tc>
        <w:tc>
          <w:tcPr/>
          <w:p>
            <w:pPr>
              <w:pStyle w:val="Compact"/>
              <w:jc w:val="left"/>
            </w:pPr>
            <w:r>
              <w:t xml:space="preserve">12 h 19 min 10 s</w:t>
            </w:r>
          </w:p>
        </w:tc>
      </w:tr>
      <w:tr>
        <w:tc>
          <w:tcPr/>
          <w:p>
            <w:pPr>
              <w:pStyle w:val="Compact"/>
              <w:jc w:val="left"/>
            </w:pPr>
            <w:r>
              <w:t xml:space="preserve">Phase 4 RAGAS evaluation, all runs</w:t>
            </w:r>
          </w:p>
        </w:tc>
        <w:tc>
          <w:tcPr/>
          <w:p>
            <w:pPr>
              <w:pStyle w:val="Compact"/>
              <w:jc w:val="left"/>
            </w:pPr>
            <w:r>
              <w:t xml:space="preserve">20 h 26 min 56 s</w:t>
            </w:r>
          </w:p>
        </w:tc>
      </w:tr>
      <w:tr>
        <w:tc>
          <w:tcPr/>
          <w:p>
            <w:pPr>
              <w:pStyle w:val="Compact"/>
              <w:jc w:val="left"/>
            </w:pPr>
            <w:r>
              <w:t xml:space="preserve">Mean generation latency, LLM only</w:t>
            </w:r>
          </w:p>
        </w:tc>
        <w:tc>
          <w:tcPr/>
          <w:p>
            <w:pPr>
              <w:pStyle w:val="Compact"/>
              <w:jc w:val="left"/>
            </w:pPr>
            <w:r>
              <w:t xml:space="preserve">30.15 s/request</w:t>
            </w:r>
          </w:p>
        </w:tc>
      </w:tr>
      <w:tr>
        <w:tc>
          <w:tcPr/>
          <w:p>
            <w:pPr>
              <w:pStyle w:val="Compact"/>
              <w:jc w:val="left"/>
            </w:pPr>
            <w:r>
              <w:t xml:space="preserve">Mean generation latency, RAG without HyDE</w:t>
            </w:r>
          </w:p>
        </w:tc>
        <w:tc>
          <w:tcPr/>
          <w:p>
            <w:pPr>
              <w:pStyle w:val="Compact"/>
              <w:jc w:val="left"/>
            </w:pPr>
            <w:r>
              <w:t xml:space="preserve">126.74 s/request</w:t>
            </w:r>
          </w:p>
        </w:tc>
      </w:tr>
      <w:tr>
        <w:tc>
          <w:tcPr/>
          <w:p>
            <w:pPr>
              <w:pStyle w:val="Compact"/>
              <w:jc w:val="left"/>
            </w:pPr>
            <w:r>
              <w:t xml:space="preserve">Mean generation latency, RAG with HyDE</w:t>
            </w:r>
          </w:p>
        </w:tc>
        <w:tc>
          <w:tcPr/>
          <w:p>
            <w:pPr>
              <w:pStyle w:val="Compact"/>
              <w:jc w:val="left"/>
            </w:pPr>
            <w:r>
              <w:t xml:space="preserve">138.77 s/request</w:t>
            </w:r>
          </w:p>
        </w:tc>
      </w:tr>
    </w:tbl>
    <w:bookmarkEnd w:id="107"/>
    <w:p>
      <w:pPr>
        <w:pStyle w:val="BodyText"/>
      </w:pPr>
      <w:r>
        <w:t xml:space="preserve">Phase 3 (Answer Generation) across the deterministic run and five robustness executions consumed approximately 12 hours, 19 minutes, and 10 seconds. Mean generation latency across 150 requests per mode was 30.15 seconds for LLM only, 126.74 seconds for RAG without HyDE, and 138.77 seconds for RAG with HyDE. Phase 4 (RAGAS Evaluation) consumed approximately 20 hours, 26 minutes, and 56 seconds, making it the dominant execution bottleneck. Aggregated by mode, Phase 4 consumed 1 hour, 5 minutes, and 52 seconds for LLM only, 9 hours, 48 minutes, and 46 seconds for RAG without HyDE, and 9 hours, 32 minutes, and 19 seconds for RAG with HyDE.</w:t>
      </w:r>
    </w:p>
    <w:p>
      <w:pPr>
        <w:pStyle w:val="BodyText"/>
      </w:pPr>
      <w:r>
        <w:t xml:space="preserve">The latency values also clarify the cost of retrieval augmentation. The LLM-only path averages about 30 seconds per request because it sends the prompt directly to the model. RAG without HyDE averages about 127 seconds because it includes retrieval, context preparation, and answer synthesis. RAG with HyDE averages about 139 seconds because it adds hypothetical-document generation and additional retrieval work. These values do not mean the RAG modes are unacceptable; they show that evidence grounding and query expansion have measurable operational cost in the current local benchmark environment.</w:t>
      </w:r>
    </w:p>
    <w:p>
      <w:pPr>
        <w:pStyle w:val="BodyText"/>
      </w:pPr>
      <w:r>
        <w:t xml:space="preserve">The logs repeatedly warn that the evaluator returned one generation instead of the requested three. RAGAS scoring completed successfully and the reported metrics remain usable as benchmark artifacts, but this evaluator behavior and runtime configuration must be disclosed. The logs also contain a Python 3.14 compatibility warning for Pydantic V1 functionality; this is an operational caveat rather than a central scientific finding.</w:t>
      </w:r>
    </w:p>
    <w:bookmarkEnd w:id="108"/>
    <w:bookmarkStart w:id="109" w:name="robustness-interpretation"/>
    <w:p>
      <w:pPr>
        <w:pStyle w:val="Heading2"/>
      </w:pPr>
      <w:r>
        <w:t xml:space="preserve">Robustness Interpretation</w:t>
      </w:r>
    </w:p>
    <w:p>
      <w:pPr>
        <w:pStyle w:val="FirstParagraph"/>
      </w:pPr>
      <w:r>
        <w:t xml:space="preserve">The robustness group should not be interpreted as evidence that the RAG modes demonstrated stochastic stability. Inspection of the Phase 3 (Answer Generation) code shows that the evaluation CLI passes temperature and seed to the direct Ollama call used by the LLM-only baseline. The RAG API calls do not receive equivalent request-level stochastic controls. Inspection of the ask path shows that RAG synthesis and HyDE generation receive service-controlled defaults; the synthesis path uses deterministic options, and the HyDE path uses deterministic options with caching.</w:t>
      </w:r>
    </w:p>
    <w:p>
      <w:pPr>
        <w:pStyle w:val="BodyText"/>
      </w:pPr>
      <w:r>
        <w:t xml:space="preserve">The generated RAG answers and contexts are identical across robustness seeds except for volatile request identifiers. Their RAGAS and extraction scores therefore have zero variance. This zero variance is an artifact of the current benchmark path and service defaults, not evidence of statistical robustness. The five-seed robustness experiment materially exercises stochastic variation for the LLM-only baseline, whose answer relevancy mean is 0.539965 with sample standard deviation 0.068130 across five samples.</w:t>
      </w:r>
    </w:p>
    <w:p>
      <w:pPr>
        <w:pStyle w:val="BodyText"/>
      </w:pPr>
      <w:r>
        <w:t xml:space="preserve">Mean and standard deviation summarize repeated measurements. The mean is the average result across the five LLM-only robustness samples. The sample standard deviation describes how much those five answer relevancy scores vary around the mean. A larger standard deviation would indicate more variable behavior across seeds; a smaller standard deviation would indicate more consistent behavior. For the LLM-only baseline, the answer relevancy mean of 0.539965 and standard deviation of 0.068130 show measurable variation across the five configured seeds. For the RAG modes, zero variance is not interpreted in the same way because the RAG API path did not receive equivalent request-level stochastic controls.</w:t>
      </w:r>
    </w:p>
    <w:p>
      <w:pPr>
        <w:pStyle w:val="BodyText"/>
      </w:pPr>
      <w:r>
        <w:t xml:space="preserve">Future robustness experiments should expose explicit request-level seed and temperature controls for RAG synthesis and HyDE generation, and should define HyDE cache controls before making stochastic robustness claims.</w:t>
      </w:r>
    </w:p>
    <w:bookmarkEnd w:id="109"/>
    <w:bookmarkStart w:id="110" w:name="results-and-error-analysis"/>
    <w:p>
      <w:pPr>
        <w:pStyle w:val="Heading2"/>
      </w:pPr>
      <w:r>
        <w:t xml:space="preserve">Results and Error Analysis</w:t>
      </w:r>
    </w:p>
    <w:p>
      <w:pPr>
        <w:pStyle w:val="FirstParagraph"/>
      </w:pPr>
      <w:r>
        <w:t xml:space="preserve">The deterministic benchmark supports a dimension-specific conclusion. LLM only has the highest answer relevancy score, but cannot be assessed for evidence grounding because it has no retrieved contexts. RAG with HyDE improves RAGAS context precision without reference and slightly improves answer relevancy relative to RAG without HyDE. RAG without HyDE has materially higher faithfulness and stronger extraction performance.</w:t>
      </w:r>
    </w:p>
    <w:p>
      <w:pPr>
        <w:pStyle w:val="BodyText"/>
      </w:pPr>
      <w:r>
        <w:t xml:space="preserve">The principal RAGAS error pattern is a support tradeoff. HyDE appears to focus the context-support proxy, but the resulting answers are less faithful to the retrieved contexts under the evaluator. This suggests that higher context precision without reference should not be read as sufficient evidence of grounded biomedical correctness.</w:t>
      </w:r>
    </w:p>
    <w:p>
      <w:pPr>
        <w:pStyle w:val="BodyText"/>
      </w:pPr>
      <w:r>
        <w:t xml:space="preserve">The principal extraction error pattern is over-extraction. Both RAG configurations produce substantial false positives, with 23 false positives each, and both miss 3 derived gold factors. RAG without HyDE is stronger because it recovers 38 true positives rather than 34. However, these results cover only the 13 queries with derived gold factors; the remaining 12 questions are outside the extraction metric denominator.</w:t>
      </w:r>
    </w:p>
    <w:bookmarkEnd w:id="110"/>
    <w:bookmarkStart w:id="111" w:name="threats-to-validity"/>
    <w:p>
      <w:pPr>
        <w:pStyle w:val="Heading2"/>
      </w:pPr>
      <w:r>
        <w:t xml:space="preserve">Threats to Validity</w:t>
      </w:r>
    </w:p>
    <w:p>
      <w:pPr>
        <w:pStyle w:val="FirstParagraph"/>
      </w:pPr>
      <w:r>
        <w:t xml:space="preserve">The first threat is benchmark size. The answer-generation benchmark contains 25 questions. These size is appropriate for inspecting the research prototype, but is not supporting broad statistical or clinical claims.</w:t>
      </w:r>
    </w:p>
    <w:p>
      <w:pPr>
        <w:pStyle w:val="BodyText"/>
      </w:pPr>
      <w:r>
        <w:t xml:space="preserve">The second threat is reference construction. Extraction gold factors are derived from curated tasks, confidence policy, cited DOI alignment, and canonical factor matching. This substrate is reproducible, but it is not an adjudicated clinical gold standard.</w:t>
      </w:r>
    </w:p>
    <w:p>
      <w:pPr>
        <w:pStyle w:val="BodyText"/>
      </w:pPr>
      <w:r>
        <w:t xml:space="preserve">The third threat is stochastic-control validity. Robustness seed and temperature controls currently propagate to the LLM-only direct Ollama call, but not equivalently to the RAG API path. Zero variance in RAG robustness outputs should therefore not be interpreted as stochastic robustness.</w:t>
      </w:r>
    </w:p>
    <w:p>
      <w:pPr>
        <w:pStyle w:val="BodyText"/>
      </w:pPr>
      <w:r>
        <w:t xml:space="preserve">The fourth threat is evaluator behavior. RAGAS scoring depends on evaluator model behavior and produced repeated warnings that one generation was returned where three were requested. The metrics remain useful as recorded benchmark artifacts, but this limitation affects confidence in automated evaluator stability.</w:t>
      </w:r>
    </w:p>
    <w:bookmarkEnd w:id="111"/>
    <w:bookmarkStart w:id="112" w:name="evaluation-synthesis"/>
    <w:p>
      <w:pPr>
        <w:pStyle w:val="Heading2"/>
      </w:pPr>
      <w:r>
        <w:t xml:space="preserve">Evaluation Synthesis</w:t>
      </w:r>
    </w:p>
    <w:p>
      <w:pPr>
        <w:pStyle w:val="FirstParagraph"/>
      </w:pPr>
      <w:r>
        <w:t xml:space="preserve">The evaluation demonstrate that the platform achieves its goal of a traceable, multi-phase biomedical RAG benchmark. The results establish that system performance is not uniform across different tasks.</w:t>
      </w:r>
    </w:p>
    <w:p>
      <w:pPr>
        <w:numPr>
          <w:ilvl w:val="0"/>
          <w:numId w:val="1002"/>
        </w:numPr>
      </w:pPr>
      <w:r>
        <w:rPr>
          <w:b/>
          <w:bCs/>
        </w:rPr>
        <w:t xml:space="preserve">Retrieval Performance:</w:t>
      </w:r>
      <w:r>
        <w:t xml:space="preserve"> </w:t>
      </w:r>
      <w:r>
        <w:t xml:space="preserve">HyDE is superior for early-hit discovery (MRR) and coverage (Recall), making it suitable for broader literature search. Direct retrieval is superior for top-K purity (Precision) and graded ordering (nDCG), making it better for specific evidence ranking.</w:t>
      </w:r>
    </w:p>
    <w:p>
      <w:pPr>
        <w:numPr>
          <w:ilvl w:val="0"/>
          <w:numId w:val="1002"/>
        </w:numPr>
      </w:pPr>
      <w:r>
        <w:rPr>
          <w:b/>
          <w:bCs/>
        </w:rPr>
        <w:t xml:space="preserve">Generation Quality:</w:t>
      </w:r>
      <w:r>
        <w:t xml:space="preserve"> </w:t>
      </w:r>
      <w:r>
        <w:t xml:space="preserve">Direct RAG is significantly more faithful (68.6%) than HyDE-enabled RAG (48.1%). While HyDE produces answers that appear more focused according to automated support proxies, it increases the risk of ungrounded synthesis.</w:t>
      </w:r>
    </w:p>
    <w:p>
      <w:pPr>
        <w:numPr>
          <w:ilvl w:val="0"/>
          <w:numId w:val="1002"/>
        </w:numPr>
      </w:pPr>
      <w:r>
        <w:rPr>
          <w:b/>
          <w:bCs/>
        </w:rPr>
        <w:t xml:space="preserve">Extraction Accuracy:</w:t>
      </w:r>
      <w:r>
        <w:t xml:space="preserve"> </w:t>
      </w:r>
      <w:r>
        <w:t xml:space="preserve">Direct RAG is the more reliable configuration for risk factor extraction, achieving a Micro F1 of 0.745 compared to 0.723 for HyDE. Both configurations struggle with a high false-positive rate, indicating that the synthesis stage is prone to over-identifying factors.</w:t>
      </w:r>
    </w:p>
    <w:p>
      <w:pPr>
        <w:numPr>
          <w:ilvl w:val="0"/>
          <w:numId w:val="1002"/>
        </w:numPr>
      </w:pPr>
      <w:r>
        <w:rPr>
          <w:b/>
          <w:bCs/>
        </w:rPr>
        <w:t xml:space="preserve">Operational Cost:</w:t>
      </w:r>
      <w:r>
        <w:t xml:space="preserve"> </w:t>
      </w:r>
      <w:r>
        <w:t xml:space="preserve">Automated evaluation is the dominant bottleneck, with RAGAS scoring consuming over 20 hours of the 34-hour execution. This highlights the trade-off between exhaustive automated measurement and rapid development cycles.</w:t>
      </w:r>
    </w:p>
    <w:p>
      <w:pPr>
        <w:pStyle w:val="FirstParagraph"/>
      </w:pPr>
      <w:r>
        <w:t xml:space="preserve">Ultimately, the platform provides a defensible foundation for biomedical research by making these trade-offs visible. The strongest configuration depends on whether the user prioritizes finding at least one relevant source (HyDE) or ensuring that the synthesized answer is strictly supported by evidence (Direct RAG).</w:t>
      </w:r>
    </w:p>
    <w:bookmarkEnd w:id="112"/>
    <w:bookmarkEnd w:id="113"/>
    <w:bookmarkStart w:id="120" w:name="discussion"/>
    <w:p>
      <w:pPr>
        <w:pStyle w:val="Heading1"/>
      </w:pPr>
      <w:r>
        <w:t xml:space="preserve">Discussion</w:t>
      </w:r>
    </w:p>
    <w:bookmarkStart w:id="114" w:name="Xccb2429acd96a3faabce2958d34baf61c45b080"/>
    <w:p>
      <w:pPr>
        <w:pStyle w:val="Heading2"/>
      </w:pPr>
      <w:r>
        <w:t xml:space="preserve">Architectural Interpretation of the Evaluation</w:t>
      </w:r>
    </w:p>
    <w:p>
      <w:pPr>
        <w:pStyle w:val="FirstParagraph"/>
      </w:pPr>
      <w:r>
        <w:t xml:space="preserve">The evaluation results are best interpreted as the behavior of a specific engineered biomedical RAG architecture, not as a general statement about all retrieval-augmented biomedical systems. The latest deterministic benchmark does not identify one universally superior configuration. Instead, it shows that the strongest configuration depends on the evaluation dimension.</w:t>
      </w:r>
    </w:p>
    <w:p>
      <w:pPr>
        <w:pStyle w:val="BodyText"/>
      </w:pPr>
      <w:r>
        <w:t xml:space="preserve">This dimension-specific interpretation is important because biomedical RAG systems combine multiple subsystems whose failures are not equivalent. Retrieval failure means the system did not surface the right evidence. Generation failure means the answer did not express the evidence appropriately. Faithfulness failure means the answer moved beyond the supplied contexts. Extraction failure means the answer did not yield the expected structured factors. Operational failure means the benchmark is too slow, too expensive, or insufficiently reproducible. The thesis therefore treats evaluation as a diagnostic map of subsystem behavior rather than as a competition for a single best score.</w:t>
      </w:r>
    </w:p>
    <w:p>
      <w:pPr>
        <w:pStyle w:val="BodyText"/>
      </w:pPr>
      <w:r>
        <w:t xml:space="preserve">RAG without HyDE is the stronger extraction configuration in the latest deterministic benchmark. It achieves higher micro precision, micro recall, micro F1, macro precision, macro recall, and macro F1 than RAG with HyDE. It also recovers more true positives, 38 rather than 34, while both RAG configurations produce 23 false positives and 3 false negatives. This finding matters for a risk-factor extraction workflow because true-positive recovery and false-positive burden affect downstream human review differently.</w:t>
      </w:r>
    </w:p>
    <w:p>
      <w:pPr>
        <w:pStyle w:val="BodyText"/>
      </w:pPr>
      <w:r>
        <w:t xml:space="preserve">The extraction result also shows why raw answer fluency is not enough for this domain. A biomedical answer can sound plausible but still omit a factor that the derived reference set expects, or introduce an extra factor that is not supported by that substrate. In the latest run, both RAG modes produced substantial false positives. This means that the architecture should continue to treat extraction as a review-support output rather than as an autonomous clinical decision. The stronger direct-RAG extraction score is useful evidence about the implemented pipeline, but it does not remove the need for human interpretation of extracted biomedical factors.</w:t>
      </w:r>
    </w:p>
    <w:p>
      <w:pPr>
        <w:pStyle w:val="BodyText"/>
      </w:pPr>
      <w:r>
        <w:t xml:space="preserve">HyDE is neither uniformly harmful nor uniformly beneficial. Relative to RAG without HyDE, it slightly improves answer relevancy and substantially improves RAGAS context precision without reference. However, it materially reduces faithfulness and lowers extraction performance. The most defensible interpretation is therefore a support-versus-grounding tradeoff: HyDE appears to focus the contexts that support its produced answers, but those answers are less faithful to the retrieved evidence under the evaluator and recover fewer derived risk factors.</w:t>
      </w:r>
    </w:p>
    <w:p>
      <w:pPr>
        <w:pStyle w:val="BodyText"/>
      </w:pPr>
      <w:r>
        <w:t xml:space="preserve">This mixed HyDE behavior is architecturally plausible. HyDE changes the retrieval query by first generating a hypothetical answer-like document and then using that document to retrieve candidates. If the hypothetical document matches the semantic neighborhood of relevant evidence, retrieval can become more focused. If the hypothetical document introduces framing that is not sufficiently anchored in the final evidence, answer synthesis can become less faithful. The latest metrics are consistent with that kind of tradeoff, but they do not prove the internal causal mechanism. They show the observed benchmark outcome for the implemented HyDE path and current corpus state.</w:t>
      </w:r>
    </w:p>
    <w:p>
      <w:pPr>
        <w:pStyle w:val="BodyText"/>
      </w:pPr>
      <w:r>
        <w:t xml:space="preserve">The LLM-only baseline has the highest answer relevancy score in the deterministic run, but it cannot be assessed for evidence grounding because it has no retrieved contexts. This distinction is central to the thesis. A fluent answer that addresses the question is not the same as a source-supported answer, and a source-supported answer is not the same as clinical validation.</w:t>
      </w:r>
    </w:p>
    <w:p>
      <w:pPr>
        <w:pStyle w:val="BodyText"/>
      </w:pPr>
      <w:r>
        <w:t xml:space="preserve">The LLM-only result should therefore be read as a useful baseline rather than as a preferred biomedical architecture. It shows that the local model can often produce answers judged relevant to the questions. It does not show that those answers are traceable to a controlled corpus, that cited evidence supports each claim, or that a clinician should trust the output. In this thesis, the purpose of RAG is not merely to maximize answer relevancy; it is to make the path from corpus evidence to generated answer inspectable.</w:t>
      </w:r>
    </w:p>
    <w:bookmarkEnd w:id="114"/>
    <w:bookmarkStart w:id="115" w:name="Xc6fa21e6de2b4b597d2d2f2477128edb56b3c92"/>
    <w:p>
      <w:pPr>
        <w:pStyle w:val="Heading2"/>
      </w:pPr>
      <w:r>
        <w:t xml:space="preserve">Retrieval Behavior and Snapshot Boundaries</w:t>
      </w:r>
    </w:p>
    <w:p>
      <w:pPr>
        <w:pStyle w:val="FirstParagraph"/>
      </w:pPr>
      <w:r>
        <w:t xml:space="preserve">The retrieval subsystem is constrained by the interaction between Qdrant vector search, the selected embedding model, chunk construction, and the downstream reranker. Qdrant supplies dense candidates, while the application layer combines direct dense rank, optional HyDE rank, lexical signals, and section weighting. Final answer synthesis then consumes a bounded context set.</w:t>
      </w:r>
    </w:p>
    <w:p>
      <w:pPr>
        <w:pStyle w:val="BodyText"/>
      </w:pPr>
      <w:r>
        <w:t xml:space="preserve">The finalized June 2026 retrieval benchmark demonstrates why corpus versioning and qrels completion are necessary for defensible retrieval claims. The benchmark contains 321 judged pooled candidates, completed qrels artifacts, and retrieval metrics for both Direct Retrieval and HyDE Retrieval. Because the judged candidate universe is now fixed, the retrieval metrics can be interpreted as benchmark evidence rather than as an unfinished preparation snapshot.</w:t>
      </w:r>
    </w:p>
    <w:p>
      <w:pPr>
        <w:pStyle w:val="BodyText"/>
      </w:pPr>
      <w:r>
        <w:t xml:space="preserve">This boundary still affects interpretation of HyDE. The finalized retrieval benchmark shows that HyDE improves early relevant-evidence discovery and Recall@5, while direct retrieval retains stronger Precision@5 and nDCG@5. The separate generation benchmark shows a different downstream pattern: HyDE improves context precision without reference but reduces faithfulness and extraction performance. These results should therefore be compared as complementary phases rather than merged into one claim about universal superiority.</w:t>
      </w:r>
    </w:p>
    <w:p>
      <w:pPr>
        <w:pStyle w:val="BodyText"/>
      </w:pPr>
      <w:r>
        <w:t xml:space="preserve">This separation is one of the strongest methodological lessons of the project. Retrieval, generation, and extraction are often discussed as if improvements transfer cleanly across phases. The evidence here is more cautious. A retrieval configuration can look beneficial under one retrieval metric and still harm faithfulness or extraction downstream. Conversely, a generation metric can improve while a structured extraction metric worsens. The platform’s phase-separated artifacts make these divergences visible.</w:t>
      </w:r>
    </w:p>
    <w:bookmarkEnd w:id="115"/>
    <w:bookmarkStart w:id="116" w:name="human-in-the-loop-validation"/>
    <w:p>
      <w:pPr>
        <w:pStyle w:val="Heading2"/>
      </w:pPr>
      <w:r>
        <w:t xml:space="preserve">Human-in-the-Loop Validation</w:t>
      </w:r>
    </w:p>
    <w:p>
      <w:pPr>
        <w:pStyle w:val="FirstParagraph"/>
      </w:pPr>
      <w:r>
        <w:t xml:space="preserve">The Label Studio workflow strengthens corpus curation but does not establish clinical validation. The repository shows that abstracts are transformed into Label Studio tasks, reviewed tasks are exported, DOI and source metadata are enriched, clean records are separated from rejected records, and ingestion-ready items can be batched into the biomedical RAG API. This creates a traceable human-in-the-loop path between biomedical review activity and downstream ingestion.</w:t>
      </w:r>
    </w:p>
    <w:p>
      <w:pPr>
        <w:pStyle w:val="BodyText"/>
      </w:pPr>
      <w:r>
        <w:t xml:space="preserve">The methodological value of this path is that expert review can shape the evidence substrate and can provide a derived reference set for extraction evaluation. The limitation is equally important: the repository does not establish inter-annotator agreement, adjudication, prospective validation, or clinical outcome testing. The platform demonstrates traceable experimental architecture and curated evidence processing, not clinical readiness.</w:t>
      </w:r>
    </w:p>
    <w:p>
      <w:pPr>
        <w:pStyle w:val="BodyText"/>
      </w:pPr>
      <w:r>
        <w:t xml:space="preserve">This distinction protects the contribution from overclaiming. Human-in-the-loop curation improves traceability because records, citations, and labels can be inspected. It does not automatically make the resulting dataset clinically authoritative. A clinically stronger study would require independent expert review, adjudication of disagreements, clearer population and outcome definitions, and validation against clinical standards. The current repository provides the engineering path needed for such work, but not the completed clinical validation itself.</w:t>
      </w:r>
    </w:p>
    <w:bookmarkEnd w:id="116"/>
    <w:bookmarkStart w:id="117" w:name="X52d46e0420e8117af216a5149b40662481331ff"/>
    <w:p>
      <w:pPr>
        <w:pStyle w:val="Heading2"/>
      </w:pPr>
      <w:r>
        <w:t xml:space="preserve">Operational and Reproducibility Implications</w:t>
      </w:r>
    </w:p>
    <w:p>
      <w:pPr>
        <w:pStyle w:val="FirstParagraph"/>
      </w:pPr>
      <w:r>
        <w:t xml:space="preserve">The latest benchmark exposes substantial runtime cost. The complete chained execution ran for 34 hours, 32 minutes, and 35 seconds. Phase 4 RAGAS evaluation consumed approximately 20 hours, 26 minutes, and 56 seconds, making it the main bottleneck. Mean generation latency was also materially higher for the RAG modes than for LLM only, with RAG with HyDE slower than RAG without HyDE.</w:t>
      </w:r>
    </w:p>
    <w:p>
      <w:pPr>
        <w:pStyle w:val="BodyText"/>
      </w:pPr>
      <w:r>
        <w:t xml:space="preserve">The runtime profile has architectural consequences. A locally controlled Ollama deployment and CPU embedding setup support inspection and reproducibility, but they constrain throughput. If the evaluation framework is expanded to larger benchmarks or repeated evaluator calibration runs, runtime optimization and safe parallelization will become necessary rather than optional.</w:t>
      </w:r>
    </w:p>
    <w:p>
      <w:pPr>
        <w:pStyle w:val="BodyText"/>
      </w:pPr>
      <w:r>
        <w:t xml:space="preserve">The RAGAS bottleneck is especially important because evaluator cost can shape research behavior. If scoring is expensive, developers may run fewer evaluations, delay regression checks, or rely on small samples. That creates a risk that changes are accepted based on anecdotal answers rather than systematic evidence. The thesis therefore treats runtime as part of evaluation validity. A reproducible benchmark must not only produce metrics; it must also make repeated measurement operationally feasible.</w:t>
      </w:r>
    </w:p>
    <w:p>
      <w:pPr>
        <w:pStyle w:val="BodyText"/>
      </w:pPr>
      <w:r>
        <w:t xml:space="preserve">The robustness artifacts also show a reproducibility boundary. The LLM-only baseline materially exercises seed and temperature variation, but the RAG API benchmark path remains deterministic under service-controlled generation defaults. Zero variance in RAG modes should therefore be interpreted as a configuration-path finding, not as evidence of stochastic robustness. Future work must expose request-level stochastic controls for RAG synthesis and HyDE generation before making robustness claims.</w:t>
      </w:r>
    </w:p>
    <w:p>
      <w:pPr>
        <w:pStyle w:val="BodyText"/>
      </w:pPr>
      <w:r>
        <w:t xml:space="preserve">The repeated evaluator warning that one generation was returned where three were requested adds a second reproducibility boundary. The evaluation completed and produced usable artifacts, but evaluator configuration did not behave exactly as requested. That does not invalidate the benchmark; it changes how confidently the automated scores should be generalized. The result is a transparent limitation: the reported metrics are valid records of the executed pipeline, while future work should review evaluator configuration and calibrate automated judgments against expert review.</w:t>
      </w:r>
    </w:p>
    <w:bookmarkEnd w:id="117"/>
    <w:bookmarkStart w:id="118" w:name="Xf2ce6edfa1771ae01aa4894caef3479ec201e2e"/>
    <w:p>
      <w:pPr>
        <w:pStyle w:val="Heading2"/>
      </w:pPr>
      <w:r>
        <w:t xml:space="preserve">Scalability and Engineering Architecture Implications</w:t>
      </w:r>
    </w:p>
    <w:p>
      <w:pPr>
        <w:pStyle w:val="FirstParagraph"/>
      </w:pPr>
      <w:r>
        <w:t xml:space="preserve">The strongest engineering property of the platform is separation of concerns. The FastAPI layer is kept distinct from use cases, domain models, ports, and infrastructure adapters. The scheduler service does not write directly to the vector database; it calls document and ingestion endpoints exposed by the biomedical RAG service. The evaluation subsystem does not reach into service internals; it calls APIs and stores phase outputs. This clean separation improves testability and makes architectural reasoning possible.</w:t>
      </w:r>
    </w:p>
    <w:p>
      <w:pPr>
        <w:pStyle w:val="BodyText"/>
      </w:pPr>
      <w:r>
        <w:t xml:space="preserve">At larger scale, the main architectural pressure points are durable ingestion state, vector-store lifecycle management, corpus versioning, model versioning, and evaluation dataset expansion. Qdrant can support larger vector collections than the thesis benchmark uses, but the application still needs durable queues, collection snapshots, explicit corpus versions, and model/runtime digests to make large-scale comparisons meaningful. Without these additions, metric changes could be caused by corpus or runtime drift rather than retrieval or generation improvements.</w:t>
      </w:r>
    </w:p>
    <w:p>
      <w:pPr>
        <w:pStyle w:val="BodyText"/>
      </w:pPr>
      <w:r>
        <w:t xml:space="preserve">The evaluation artifacts make this point concrete. The thesis can identify the run directory, configuration snapshot, phase outputs, and log-derived timings. However, it cannot fully freeze every external state that could affect future reruns, such as complete vector-store snapshots and Ollama model digests. For engineering research this is an acceptable disclosed limitation. For stronger scientific claims, those identifiers should become mandatory run metadata.</w:t>
      </w:r>
    </w:p>
    <w:bookmarkEnd w:id="118"/>
    <w:bookmarkStart w:id="119" w:name="discussion-summary"/>
    <w:p>
      <w:pPr>
        <w:pStyle w:val="Heading2"/>
      </w:pPr>
      <w:r>
        <w:t xml:space="preserve">Discussion Summary</w:t>
      </w:r>
    </w:p>
    <w:p>
      <w:pPr>
        <w:pStyle w:val="FirstParagraph"/>
      </w:pPr>
      <w:r>
        <w:t xml:space="preserve">The platform behaves like a carefully bounded local biomedical RAG prototype rather than a production clinical system. Its strengths are explicit subsystem boundaries, source-linked retrieval payloads, configurable local inference, traceable evaluation artifacts, and a human-in-the-loop curation path. The latest deterministic evidence favors RAG without HyDE for faithfulness and extraction, while HyDE improves a context-support proxy and slightly improves answer relevancy relative to direct RAG. The central contribution is therefore not a clinical superiority claim, but an auditable architecture and reproducible evaluation pipeline that make such tradeoffs visible.</w:t>
      </w:r>
    </w:p>
    <w:bookmarkEnd w:id="119"/>
    <w:bookmarkEnd w:id="120"/>
    <w:bookmarkStart w:id="126" w:name="conclusion-and-future-work"/>
    <w:p>
      <w:pPr>
        <w:pStyle w:val="Heading1"/>
      </w:pPr>
      <w:r>
        <w:t xml:space="preserve">Conclusion and Future Work</w:t>
      </w:r>
    </w:p>
    <w:bookmarkStart w:id="121" w:name="conclusion"/>
    <w:p>
      <w:pPr>
        <w:pStyle w:val="Heading2"/>
      </w:pPr>
      <w:r>
        <w:t xml:space="preserve">Conclusion</w:t>
      </w:r>
    </w:p>
    <w:p>
      <w:pPr>
        <w:pStyle w:val="FirstParagraph"/>
      </w:pPr>
      <w:r>
        <w:t xml:space="preserve">This thesis produced a repository-backed biomedical RAG platform rather than a standalone model demonstration. The implemented system consists of a modular FastAPI biomedical RAG service, a PubMed scheduler service, a phase-based evaluation subsystem, a local-first Ollama deployment stack, and a Label Studio curation workflow. The biomedical RAG service performs asynchronous ingestion, section-aware chunking, sentence-transformer embedding, Qdrant vector indexing, retrieval, optional HyDE expansion, reranking, and cited answer synthesis.</w:t>
      </w:r>
    </w:p>
    <w:p>
      <w:pPr>
        <w:pStyle w:val="BodyText"/>
      </w:pPr>
      <w:r>
        <w:t xml:space="preserve">The main contribution is the integration of these components into an auditable architecture with explicit boundaries. API endpoints remain separated from use cases, domain objects, ports, and infrastructure adapters. This matters because Qdrant, Ollama, PubMed, Label Studio exports, and evaluation clients can be inspected as external integrations rather than hidden domain logic. The project therefore contributes a defensible engineering research foundation with reproducible evaluation artifacts, not a claim of clinical superiority.</w:t>
      </w:r>
    </w:p>
    <w:p>
      <w:pPr>
        <w:pStyle w:val="BodyText"/>
      </w:pPr>
      <w:r>
        <w:t xml:space="preserve">The thesis also demonstrates that evaluation design is part of system architecture. The platform does not merely expose an answer endpoint; it preserves phase outputs for generation, RAGAS scoring, extraction scoring, robustness runs, retrieval preparation, and operational logs. This makes it possible to separate answer relevance from grounding, extraction quality from retrieval ranking, and deterministic reproducibility from stochastic robustness. That separation is a practical contribution because it prevents a single attractive metric from hiding important failure modes.</w:t>
      </w:r>
    </w:p>
    <w:bookmarkEnd w:id="121"/>
    <w:bookmarkStart w:id="122" w:name="evaluation-findings"/>
    <w:p>
      <w:pPr>
        <w:pStyle w:val="Heading2"/>
      </w:pPr>
      <w:r>
        <w:t xml:space="preserve">Evaluation Findings</w:t>
      </w:r>
    </w:p>
    <w:p>
      <w:pPr>
        <w:pStyle w:val="FirstParagraph"/>
      </w:pPr>
      <w:r>
        <w:t xml:space="preserve">The strongest overall configuration depends on the evaluation dimension. Direct RAG without HyDE is preferable for faithfulness and risk factor extraction under the latest deterministic benchmark. It reports higher faithfulness than RAG with HyDE and better micro and macro extraction scores across the 13 extraction-covered questions.</w:t>
      </w:r>
    </w:p>
    <w:p>
      <w:pPr>
        <w:pStyle w:val="BodyText"/>
      </w:pPr>
      <w:r>
        <w:t xml:space="preserve">The evidence for direct RAG is strongest where grounding and structured factor recovery matter. Its faithfulness score is materially higher than HyDE’s, and its extraction result recovers more true positives with the same number of false positives and false negatives. This does not mean direct RAG is universally superior. It means that, in the latest deterministic benchmark, direct RAG is the more defensible choice when the priority is supported answer content and risk-factor extraction from the covered subset.</w:t>
      </w:r>
    </w:p>
    <w:p>
      <w:pPr>
        <w:pStyle w:val="BodyText"/>
      </w:pPr>
      <w:r>
        <w:t xml:space="preserve">HyDE is not categorically better or worse. It produces a higher context precision without reference score and slightly higher answer relevancy than direct RAG, but lower faithfulness and lower extraction scores. The LLM-only baseline has the highest answer relevancy score, but it lacks evidence grounding because no retrieved contexts are supplied. These findings support a conservative conclusion: answer relevance, answer support, faithfulness, and extraction quality are different properties and should not be collapsed into one verdict.</w:t>
      </w:r>
    </w:p>
    <w:p>
      <w:pPr>
        <w:pStyle w:val="BodyText"/>
      </w:pPr>
      <w:r>
        <w:t xml:space="preserve">The evidence for HyDE is therefore conditional. It can be useful when the goal is to focus contexts around the generated answer, as reflected by the higher context precision without reference score. It is less attractive when the goal is faithfulness or extraction performance. The implementation should not remove HyDE, but future use should be conditional and measured. A defensible system could expose HyDE as a configurable retrieval strategy and select it only where retrieval evaluation and downstream generation metrics justify the tradeoff.</w:t>
      </w:r>
    </w:p>
    <w:p>
      <w:pPr>
        <w:pStyle w:val="BodyText"/>
      </w:pPr>
      <w:r>
        <w:t xml:space="preserve">The finalized retrieval benchmark shows a mixed retrieval tradeoff rather than a single winner. HyDE improves MRR and Recall@5, while direct retrieval retains slightly stronger Precision@5 and nDCG@5. This means HyDE is better at surfacing at least one useful source early and recovering more judged relevant evidence in the top five, while direct retrieval is slightly better at keeping the top-five set clean and well ordered by graded relevance.</w:t>
      </w:r>
    </w:p>
    <w:p>
      <w:pPr>
        <w:pStyle w:val="BodyText"/>
      </w:pPr>
      <w:r>
        <w:t xml:space="preserve">The operational findings also shape the conclusion. The complete chained execution required more than 34 hours, and RAGAS evaluation was the dominant bottleneck. This shows that reproducible biomedical RAG evaluation is not just a modeling problem; it is also an infrastructure and runtime-management problem. Larger benchmarks, evaluator calibration, and repeated robustness studies will require better scheduling, parallelization where safe, and stricter run metadata preservation.</w:t>
      </w:r>
    </w:p>
    <w:p>
      <w:pPr>
        <w:pStyle w:val="BodyText"/>
      </w:pPr>
      <w:r>
        <w:t xml:space="preserve">The CUDA configuration also shapes the conclusion. In the branch</w:t>
      </w:r>
      <w:r>
        <w:t xml:space="preserve"> </w:t>
      </w:r>
      <w:r>
        <w:rPr>
          <w:rStyle w:val="VerbatimChar"/>
        </w:rPr>
        <w:t xml:space="preserve">cuda-validation-metrics</w:t>
      </w:r>
      <w:r>
        <w:t xml:space="preserve">, commit</w:t>
      </w:r>
      <w:r>
        <w:t xml:space="preserve"> </w:t>
      </w:r>
      <w:r>
        <w:rPr>
          <w:rStyle w:val="VerbatimChar"/>
        </w:rPr>
        <w:t xml:space="preserve">a1faf166</w:t>
      </w:r>
      <w:r>
        <w:t xml:space="preserve"> </w:t>
      </w:r>
      <w:r>
        <w:t xml:space="preserve">introduced a workstation-oriented execution profile for an RTX 5090 host by moving the evaluation-side RAGAS embedding path from</w:t>
      </w:r>
      <w:r>
        <w:t xml:space="preserve"> </w:t>
      </w:r>
      <w:r>
        <w:rPr>
          <w:rStyle w:val="VerbatimChar"/>
        </w:rPr>
        <w:t xml:space="preserve">cpu</w:t>
      </w:r>
      <w:r>
        <w:t xml:space="preserve"> </w:t>
      </w:r>
      <w:r>
        <w:t xml:space="preserve">to</w:t>
      </w:r>
      <w:r>
        <w:t xml:space="preserve"> </w:t>
      </w:r>
      <w:r>
        <w:rPr>
          <w:rStyle w:val="VerbatimChar"/>
        </w:rPr>
        <w:t xml:space="preserve">cuda</w:t>
      </w:r>
      <w:r>
        <w:t xml:space="preserve"> </w:t>
      </w:r>
      <w:r>
        <w:t xml:space="preserve">and aligning dependent services with localhost execution. This shows that reproducible biomedical RAG evaluation is also an environment-provisioning problem: hardware capability, CUDA availability, PyTorch compatibility, and optional APEX build consistency must be validated before execution. The role of this configuration is operational transparency and scalable evaluation setup, not a revision of the reported benchmark values.</w:t>
      </w:r>
    </w:p>
    <w:bookmarkEnd w:id="122"/>
    <w:bookmarkStart w:id="123" w:name="limitations"/>
    <w:p>
      <w:pPr>
        <w:pStyle w:val="Heading2"/>
      </w:pPr>
      <w:r>
        <w:t xml:space="preserve">Limitations</w:t>
      </w:r>
    </w:p>
    <w:p>
      <w:pPr>
        <w:pStyle w:val="FirstParagraph"/>
      </w:pPr>
      <w:r>
        <w:t xml:space="preserve">The first limitation is evaluation size and coverage. The answer-generation benchmark contains 25 thrombosis oriented questions, and extraction evaluation covers only 13 of them because 12 questions have no derived gold factors under the configured no-gold policy. The results are useful for system diagnosis and thesis evaluation, but they do not support broad clinical claims.</w:t>
      </w:r>
    </w:p>
    <w:p>
      <w:pPr>
        <w:pStyle w:val="BodyText"/>
      </w:pPr>
      <w:r>
        <w:t xml:space="preserve">The second limitation is reference validity. The extraction substrate is derived from curated tasks, citation alignment, confidence policy, and canonical factor matching. It is reproducible and inspectable, but it is not an adjudicated clinical gold standard. The retrieval qrels are also bounded by snapshot state, annotation quality, and the absence of multi-annotator adjudication.</w:t>
      </w:r>
    </w:p>
    <w:p>
      <w:pPr>
        <w:pStyle w:val="BodyText"/>
      </w:pPr>
      <w:r>
        <w:t xml:space="preserve">The third limitation is operational reproducibility. Configuration snapshots and phase outputs are preserved, but complete corpus version identifiers, Qdrant snapshots, Ollama model digests, and evaluator runtime digests are not archived. The robustness controls also do not currently propagate through the RAG API path in the same way they do for the LLM-only direct Ollama baseline.</w:t>
      </w:r>
    </w:p>
    <w:p>
      <w:pPr>
        <w:pStyle w:val="BodyText"/>
      </w:pPr>
      <w:r>
        <w:t xml:space="preserve">The fourth limitation is evaluator behavior and runtime cost. RAGAS evaluation was the dominant execution bottleneck, and the logs repeatedly warned that one generation was returned where three were requested. The metrics remain usable as recorded artifacts, but evaluator configuration and runtime behavior require disclosure and future calibration.</w:t>
      </w:r>
    </w:p>
    <w:p>
      <w:pPr>
        <w:pStyle w:val="BodyText"/>
      </w:pPr>
      <w:r>
        <w:t xml:space="preserve">The fifth limitation is metric interpretation. Automated metrics help make the benchmark repeatable, but none of them is a replacement for biomedical judgment. Answer relevancy does not prove evidence grounding. Faithfulness does not prove clinical correctness. Context precision without reference is not a qrels-based retrieval ranking metric. Extraction F1 summarizes agreement with a derived reference set, not agreement with an adjudicated clinical standard. These limitations do not make the metrics useless; they define the boundary within which the metrics are scientifically honest.</w:t>
      </w:r>
    </w:p>
    <w:bookmarkEnd w:id="123"/>
    <w:bookmarkStart w:id="124" w:name="future-work"/>
    <w:p>
      <w:pPr>
        <w:pStyle w:val="Heading2"/>
      </w:pPr>
      <w:r>
        <w:t xml:space="preserve">Future Work</w:t>
      </w:r>
    </w:p>
    <w:p>
      <w:pPr>
        <w:pStyle w:val="FirstParagraph"/>
      </w:pPr>
      <w:r>
        <w:t xml:space="preserve">Future work should first strengthen stochastic controls. The RAG API should expose request-level seed and temperature controls for synthesis, and HyDE generation should expose equivalent controls. HyDE cache behavior should also be configurable during robustness experiments, so zero variance can be distinguished from true stochastic stability.</w:t>
      </w:r>
    </w:p>
    <w:p>
      <w:pPr>
        <w:pStyle w:val="BodyText"/>
      </w:pPr>
      <w:r>
        <w:t xml:space="preserve">This work should include an explicit robustness contract for every generation path. The evaluation CLI, RAG API, HyDE generator, and synthesis service should agree on how seed, temperature, cache behavior, and model options are passed and recorded. Without that contract, future robustness tables may again mix stochastic and deterministic paths under the same experimental label.</w:t>
      </w:r>
    </w:p>
    <w:p>
      <w:pPr>
        <w:pStyle w:val="BodyText"/>
      </w:pPr>
      <w:r>
        <w:t xml:space="preserve">The second priority is retrieval annotation governance. The finalized June 2026 retrieval benchmark is sufficient for reporting current ranking metrics, but future retrieval benchmarks should use multi-annotator qrels adjudication, explicit adjudication status preservation, and clearer annotation governance so ranking claims become stronger over time.</w:t>
      </w:r>
    </w:p>
    <w:p>
      <w:pPr>
        <w:pStyle w:val="BodyText"/>
      </w:pPr>
      <w:r>
        <w:t xml:space="preserve">The qrels workflow should also become versioned research infrastructure. Each retrieval benchmark should record the query set, corpus snapshot, candidate pool, annotation template, completed qrels file, adjudication policy, per-query metrics, and summary metrics as a single immutable evaluation bundle. That bundle would make it clear which retrieval claims belong to which corpus state.</w:t>
      </w:r>
    </w:p>
    <w:p>
      <w:pPr>
        <w:pStyle w:val="BodyText"/>
      </w:pPr>
      <w:r>
        <w:t xml:space="preserve">The third priority is larger and more clinically reviewed extraction coverage. More questions should have derived gold factors, and evaluator calibration should compare RAGAS and extraction outputs against expert judgment. This would make it possible to estimate how well automated scores align with biomedical review rather than relying on metric values alone.</w:t>
      </w:r>
    </w:p>
    <w:p>
      <w:pPr>
        <w:pStyle w:val="BodyText"/>
      </w:pPr>
      <w:r>
        <w:t xml:space="preserve">Expanded extraction coverage should preserve the distinction between reproducible derived gold factors and clinical gold standards. A practical next step is to increase the number of questions with derived factors and then introduce expert adjudication for a smaller validation subset. This would allow the project to ask two separate questions: whether the system agrees with repository-derived factors, and whether those factors align with expert biomedical judgment.</w:t>
      </w:r>
    </w:p>
    <w:p>
      <w:pPr>
        <w:pStyle w:val="BodyText"/>
      </w:pPr>
      <w:r>
        <w:t xml:space="preserve">The fourth priority is experiment provenance. Future runs should record corpus version identifiers, Qdrant collection snapshots or snapshot metadata, Ollama model digests, evaluator model/runtime digests, and evaluation code version identifiers. These artifacts would reduce ambiguity when comparing results across changing corpora and local inference environments.</w:t>
      </w:r>
    </w:p>
    <w:p>
      <w:pPr>
        <w:pStyle w:val="BodyText"/>
      </w:pPr>
      <w:r>
        <w:t xml:space="preserve">Provenance should be treated as a first-class benchmark output rather than as informal context. A future run directory should make it possible to answer which corpus was indexed, which vector collection was queried, which embedding model generated the vectors, which Ollama model digest generated and evaluated answers, which code revision ran the phases, and which annotation artifacts supported each metric. Without this information, result changes can be difficult to attribute.</w:t>
      </w:r>
    </w:p>
    <w:p>
      <w:pPr>
        <w:pStyle w:val="BodyText"/>
      </w:pPr>
      <w:r>
        <w:t xml:space="preserve">The fifth priority is runtime optimization. The June execution shows that RAGAS evaluation dominates runtime. Larger evaluations will require batching review, safe parallel evaluation where possible, evaluator configuration review, and possibly smaller calibrated screening runs before full benchmark execution.</w:t>
      </w:r>
    </w:p>
    <w:p>
      <w:pPr>
        <w:pStyle w:val="BodyText"/>
      </w:pPr>
      <w:r>
        <w:t xml:space="preserve">Runtime optimization should not compromise auditability. Parallel execution is useful only if phase outputs remain deterministic where expected, logs remain attributable to specific requests, and failed evaluator calls can be diagnosed. The correct target is not merely faster evaluation, but faster evaluation with preserved traceability.</w:t>
      </w:r>
    </w:p>
    <w:p>
      <w:pPr>
        <w:pStyle w:val="BodyText"/>
      </w:pPr>
      <w:r>
        <w:t xml:space="preserve">Additional future work remains valuable but secondary to evaluation validity: biomedical embedding comparisons, conditional HyDE activation, retrieval explanations, durable ingestion queues, and clinical workflow studies. These extensions should be judged by faithfulness, extraction quality, retrieval metrics, latency, failure behavior, and expert review rather than by anecdotal answer quality.</w:t>
      </w:r>
    </w:p>
    <w:bookmarkEnd w:id="124"/>
    <w:bookmarkStart w:id="125" w:name="closing-remarks"/>
    <w:p>
      <w:pPr>
        <w:pStyle w:val="Heading2"/>
      </w:pPr>
      <w:r>
        <w:t xml:space="preserve">Closing Remarks</w:t>
      </w:r>
    </w:p>
    <w:p>
      <w:pPr>
        <w:pStyle w:val="FirstParagraph"/>
      </w:pPr>
      <w:r>
        <w:t xml:space="preserve">The thesis demonstrates that a biomedical RAG platform can be engineered as an auditable, modular, locally deployable system with reproducible evaluation artifacts and human curation support. Its strongest result is not clinical readiness; it is the construction and evaluation of a concrete architecture whose behavior can be inspected. The finalized evidence favors direct RAG without HyDE for faithfulness and extraction, shows limited benefits from HyDE on answer relevancy and context-support proxy metrics, and shows a separate retrieval tradeoff in which HyDE improves early-hit discovery and coverage while direct retrieval retains stronger top-five purity and graded ordering.</w:t>
      </w:r>
    </w:p>
    <w:bookmarkEnd w:id="125"/>
    <w:bookmarkEnd w:id="126"/>
    <w:bookmarkStart w:id="172" w:name="appendices"/>
    <w:p>
      <w:pPr>
        <w:pStyle w:val="Heading1"/>
      </w:pPr>
      <w:r>
        <w:t xml:space="preserve">Appendices</w:t>
      </w:r>
    </w:p>
    <w:bookmarkStart w:id="127" w:name="repository-structure-overview"/>
    <w:p>
      <w:pPr>
        <w:pStyle w:val="Heading2"/>
      </w:pPr>
      <w:r>
        <w:t xml:space="preserve">Repository Structure Overview</w:t>
      </w:r>
    </w:p>
    <w:p>
      <w:pPr>
        <w:pStyle w:val="FirstParagraph"/>
      </w:pPr>
      <w:r>
        <w:t xml:space="preserve">This appendix summarizes the repository structure that supports the thesis claims. The repository is organized as a monorepo because the thesis artifact, service implementation, evaluation framework, local model infrastructure, and curation tooling must remain inspectable together. This organization improves reproducibility: architectural claims can be checked against implementation modules, and evaluation claims can be checked against generated artifacts.</w:t>
      </w:r>
    </w:p>
    <w:p>
      <w:pPr>
        <w:pStyle w:val="SourceCode"/>
      </w:pPr>
      <w:r>
        <w:rPr>
          <w:rStyle w:val="VerbatimChar"/>
        </w:rPr>
        <w:t xml:space="preserve">rag/</w:t>
      </w:r>
      <w:r>
        <w:br/>
      </w:r>
      <w:r>
        <w:rPr>
          <w:rStyle w:val="VerbatimChar"/>
        </w:rPr>
        <w:t xml:space="preserve">  biomed_knowledge_platform/   # FastAPI biomedical RAG service</w:t>
      </w:r>
      <w:r>
        <w:br/>
      </w:r>
      <w:r>
        <w:rPr>
          <w:rStyle w:val="VerbatimChar"/>
        </w:rPr>
        <w:t xml:space="preserve">  scheduler_pubmed/            # PubMed acquisition scheduler</w:t>
      </w:r>
      <w:r>
        <w:br/>
      </w:r>
      <w:r>
        <w:rPr>
          <w:rStyle w:val="VerbatimChar"/>
        </w:rPr>
        <w:t xml:space="preserve">  evaluation_metrics/          # Phase-based benchmark pipeline</w:t>
      </w:r>
      <w:r>
        <w:br/>
      </w:r>
      <w:r>
        <w:rPr>
          <w:rStyle w:val="VerbatimChar"/>
        </w:rPr>
        <w:t xml:space="preserve">  llm_server/                  # Ollama local model-serving stack</w:t>
      </w:r>
      <w:r>
        <w:br/>
      </w:r>
      <w:r>
        <w:rPr>
          <w:rStyle w:val="VerbatimChar"/>
        </w:rPr>
        <w:t xml:space="preserve">  labelstudio-tools/           # Label Studio curation utilities</w:t>
      </w:r>
      <w:r>
        <w:br/>
      </w:r>
      <w:r>
        <w:rPr>
          <w:rStyle w:val="VerbatimChar"/>
        </w:rPr>
        <w:t xml:space="preserve">  docs/thesis/latex/           # Thesis source and generated PDF</w:t>
      </w:r>
      <w:r>
        <w:br/>
      </w:r>
      <w:r>
        <w:rPr>
          <w:rStyle w:val="VerbatimChar"/>
        </w:rPr>
        <w:t xml:space="preserve">  docs/thesis/evidence/        # Artifact and claim registry</w:t>
      </w:r>
    </w:p>
    <w:p>
      <w:pPr>
        <w:pStyle w:val="FirstParagraph"/>
      </w:pPr>
      <w:r>
        <w:t xml:space="preserve">The biomedical RAG service follows a Clean Architecture and ports-and-adapters structure. Transport concerns live in the API layer, orchestration lives in use cases, domain models and ports remain framework-independent, and infrastructure integrations are implemented as adapters. This separation is visible in the service package layout and is central to the thesis argument that retrieval, ingestion, generation, and audit behavior can be reasoned about separately.</w:t>
      </w:r>
    </w:p>
    <w:p>
      <w:pPr>
        <w:pStyle w:val="SourceCode"/>
      </w:pPr>
      <w:r>
        <w:rPr>
          <w:rStyle w:val="VerbatimChar"/>
        </w:rPr>
        <w:t xml:space="preserve">biomed_platform/</w:t>
      </w:r>
      <w:r>
        <w:br/>
      </w:r>
      <w:r>
        <w:rPr>
          <w:rStyle w:val="VerbatimChar"/>
        </w:rPr>
        <w:t xml:space="preserve">  api/        # routers, endpoint schemas, error handlers</w:t>
      </w:r>
      <w:r>
        <w:br/>
      </w:r>
      <w:r>
        <w:rPr>
          <w:rStyle w:val="VerbatimChar"/>
        </w:rPr>
        <w:t xml:space="preserve">  core/       # domains, use cases, ports, retrieval services</w:t>
      </w:r>
      <w:r>
        <w:br/>
      </w:r>
      <w:r>
        <w:rPr>
          <w:rStyle w:val="VerbatimChar"/>
        </w:rPr>
        <w:t xml:space="preserve">  adapters/   # Qdrant, Ollama, PubMed clients</w:t>
      </w:r>
      <w:r>
        <w:br/>
      </w:r>
      <w:r>
        <w:rPr>
          <w:rStyle w:val="VerbatimChar"/>
        </w:rPr>
        <w:t xml:space="preserve">  db/         # SQLAlchemy engine, models, Alembic integration</w:t>
      </w:r>
      <w:r>
        <w:br/>
      </w:r>
      <w:r>
        <w:rPr>
          <w:rStyle w:val="VerbatimChar"/>
        </w:rPr>
        <w:t xml:space="preserve">  audit/      # PostgreSQL-backed audit service</w:t>
      </w:r>
      <w:r>
        <w:br/>
      </w:r>
      <w:r>
        <w:rPr>
          <w:rStyle w:val="VerbatimChar"/>
        </w:rPr>
        <w:t xml:space="preserve">  common/     # settings, logging, middleware, utilities</w:t>
      </w:r>
    </w:p>
    <w:p>
      <w:pPr>
        <w:pStyle w:val="FirstParagraph"/>
      </w:pPr>
      <w:r>
        <w:t xml:space="preserve">The scheduler and evaluation modules follow the same repository philosophy. The scheduler owns PubMed acquisition and downstream ingestion coordination, while the evaluation subsystem owns benchmark execution and artifact generation. Neither subsystem directly mutates the internals of the other. This separation supports architectural transparency and avoids embedding benchmark-specific logic into the online service.</w:t>
      </w:r>
    </w:p>
    <w:bookmarkEnd w:id="127"/>
    <w:bookmarkStart w:id="132" w:name="configuration-architecture"/>
    <w:p>
      <w:pPr>
        <w:pStyle w:val="Heading2"/>
      </w:pPr>
      <w:r>
        <w:t xml:space="preserve">Configuration Architecture</w:t>
      </w:r>
    </w:p>
    <w:p>
      <w:pPr>
        <w:pStyle w:val="FirstParagraph"/>
      </w:pPr>
      <w:r>
        <w:t xml:space="preserve">Configuration is deliberately externalized. The platform uses YAML files for service configuration and evaluation configuration, while Label Studio tooling uses environment variables for curation-specific secrets and runtime paths. This is consistent with the Engineering Wiki guidance to keep configuration explicit and avoid hidden runtime state.</w:t>
      </w:r>
    </w:p>
    <w:bookmarkStart w:id="128" w:name="retrieval-configuration"/>
    <w:p>
      <w:pPr>
        <w:pStyle w:val="Heading3"/>
      </w:pPr>
      <w:r>
        <w:t xml:space="preserve">Retrieval Configuration</w:t>
      </w:r>
    </w:p>
    <w:p>
      <w:pPr>
        <w:pStyle w:val="FirstParagraph"/>
      </w:pPr>
      <w:r>
        <w:t xml:space="preserve">The RAG configuration records the embedding provider, device, chunking strategy, vector backend, and default retrieval depth. These values affect both system behavior and evaluation interpretation because they define the embedding space, chunk granularity, and candidate pool size used before reranking and answer synthesis.</w:t>
      </w:r>
    </w:p>
    <w:p>
      <w:pPr>
        <w:pStyle w:val="SourceCode"/>
      </w:pPr>
      <w:r>
        <w:rPr>
          <w:rStyle w:val="VerbatimChar"/>
        </w:rPr>
        <w:t xml:space="preserve">rag:</w:t>
      </w:r>
      <w:r>
        <w:br/>
      </w:r>
      <w:r>
        <w:rPr>
          <w:rStyle w:val="VerbatimChar"/>
        </w:rPr>
        <w:t xml:space="preserve">  embedding:</w:t>
      </w:r>
      <w:r>
        <w:br/>
      </w:r>
      <w:r>
        <w:rPr>
          <w:rStyle w:val="VerbatimChar"/>
        </w:rPr>
        <w:t xml:space="preserve">    provider: "sentence-transformers/all-MiniLM-L6-v2"</w:t>
      </w:r>
      <w:r>
        <w:br/>
      </w:r>
      <w:r>
        <w:rPr>
          <w:rStyle w:val="VerbatimChar"/>
        </w:rPr>
        <w:t xml:space="preserve">    device: "cpu"</w:t>
      </w:r>
      <w:r>
        <w:br/>
      </w:r>
      <w:r>
        <w:rPr>
          <w:rStyle w:val="VerbatimChar"/>
        </w:rPr>
        <w:t xml:space="preserve">    normalize_embeddings: false</w:t>
      </w:r>
      <w:r>
        <w:br/>
      </w:r>
      <w:r>
        <w:rPr>
          <w:rStyle w:val="VerbatimChar"/>
        </w:rPr>
        <w:t xml:space="preserve">  chunking:</w:t>
      </w:r>
      <w:r>
        <w:br/>
      </w:r>
      <w:r>
        <w:rPr>
          <w:rStyle w:val="VerbatimChar"/>
        </w:rPr>
        <w:t xml:space="preserve">    chunk_size: 1200</w:t>
      </w:r>
      <w:r>
        <w:br/>
      </w:r>
      <w:r>
        <w:rPr>
          <w:rStyle w:val="VerbatimChar"/>
        </w:rPr>
        <w:t xml:space="preserve">    overlap: 150</w:t>
      </w:r>
      <w:r>
        <w:br/>
      </w:r>
      <w:r>
        <w:rPr>
          <w:rStyle w:val="VerbatimChar"/>
        </w:rPr>
        <w:t xml:space="preserve">  vector_index:</w:t>
      </w:r>
      <w:r>
        <w:br/>
      </w:r>
      <w:r>
        <w:rPr>
          <w:rStyle w:val="VerbatimChar"/>
        </w:rPr>
        <w:t xml:space="preserve">    backend: "qdrant"</w:t>
      </w:r>
      <w:r>
        <w:br/>
      </w:r>
      <w:r>
        <w:rPr>
          <w:rStyle w:val="VerbatimChar"/>
        </w:rPr>
        <w:t xml:space="preserve">  retrieval:</w:t>
      </w:r>
      <w:r>
        <w:br/>
      </w:r>
      <w:r>
        <w:rPr>
          <w:rStyle w:val="VerbatimChar"/>
        </w:rPr>
        <w:t xml:space="preserve">    top_k: 10</w:t>
      </w:r>
    </w:p>
    <w:bookmarkEnd w:id="128"/>
    <w:bookmarkStart w:id="129" w:name="vector-store-configuration-1"/>
    <w:p>
      <w:pPr>
        <w:pStyle w:val="Heading3"/>
      </w:pPr>
      <w:r>
        <w:t xml:space="preserve">Vector Store Configuration</w:t>
      </w:r>
    </w:p>
    <w:p>
      <w:pPr>
        <w:pStyle w:val="FirstParagraph"/>
      </w:pPr>
      <w:r>
        <w:t xml:space="preserve">The Qdrant configuration records the local endpoint, timeout, collection prefix, and distance metric. Collection names are derived from the configured prefix and embedding model identifier, which supports model-specific vector collections while preserving a stable service contract.</w:t>
      </w:r>
    </w:p>
    <w:p>
      <w:pPr>
        <w:pStyle w:val="SourceCode"/>
      </w:pPr>
      <w:r>
        <w:rPr>
          <w:rStyle w:val="VerbatimChar"/>
        </w:rPr>
        <w:t xml:space="preserve">qdrant:</w:t>
      </w:r>
      <w:r>
        <w:br/>
      </w:r>
      <w:r>
        <w:rPr>
          <w:rStyle w:val="VerbatimChar"/>
        </w:rPr>
        <w:t xml:space="preserve">  url: "http://localhost:6333"</w:t>
      </w:r>
      <w:r>
        <w:br/>
      </w:r>
      <w:r>
        <w:rPr>
          <w:rStyle w:val="VerbatimChar"/>
        </w:rPr>
        <w:t xml:space="preserve">  timeout_seconds: 30.0</w:t>
      </w:r>
      <w:r>
        <w:br/>
      </w:r>
      <w:r>
        <w:rPr>
          <w:rStyle w:val="VerbatimChar"/>
        </w:rPr>
        <w:t xml:space="preserve">  collection:</w:t>
      </w:r>
      <w:r>
        <w:br/>
      </w:r>
      <w:r>
        <w:rPr>
          <w:rStyle w:val="VerbatimChar"/>
        </w:rPr>
        <w:t xml:space="preserve">    name_prefix: "docs"</w:t>
      </w:r>
      <w:r>
        <w:br/>
      </w:r>
      <w:r>
        <w:rPr>
          <w:rStyle w:val="VerbatimChar"/>
        </w:rPr>
        <w:t xml:space="preserve">    distance: "COSINE"</w:t>
      </w:r>
    </w:p>
    <w:bookmarkEnd w:id="129"/>
    <w:bookmarkStart w:id="130" w:name="llm-configuration"/>
    <w:p>
      <w:pPr>
        <w:pStyle w:val="Heading3"/>
      </w:pPr>
      <w:r>
        <w:t xml:space="preserve">LLM Configuration</w:t>
      </w:r>
    </w:p>
    <w:p>
      <w:pPr>
        <w:pStyle w:val="FirstParagraph"/>
      </w:pPr>
      <w:r>
        <w:t xml:space="preserve">The LLM configuration records the Ollama endpoint, generation model, HyDE model, prompt and context bounds, concurrency, retry count, and timeout. These values are important for reproducibility because the same retrieval contexts can produce different operational behavior when model identity, timeout, concurrency, or generation options change.</w:t>
      </w:r>
    </w:p>
    <w:p>
      <w:pPr>
        <w:pStyle w:val="SourceCode"/>
      </w:pPr>
      <w:r>
        <w:rPr>
          <w:rStyle w:val="VerbatimChar"/>
        </w:rPr>
        <w:t xml:space="preserve">ollama_base_url: "http://192.168.2.3:11434"</w:t>
      </w:r>
      <w:r>
        <w:br/>
      </w:r>
      <w:r>
        <w:rPr>
          <w:rStyle w:val="VerbatimChar"/>
        </w:rPr>
        <w:t xml:space="preserve">generator_model_id: "llama3.1:8b-instruct-q4_K_M"</w:t>
      </w:r>
      <w:r>
        <w:br/>
      </w:r>
      <w:r>
        <w:rPr>
          <w:rStyle w:val="VerbatimChar"/>
        </w:rPr>
        <w:t xml:space="preserve">hyde_enabled: false</w:t>
      </w:r>
      <w:r>
        <w:br/>
      </w:r>
      <w:r>
        <w:rPr>
          <w:rStyle w:val="VerbatimChar"/>
        </w:rPr>
        <w:t xml:space="preserve">ask_max_context_chars: 60000</w:t>
      </w:r>
      <w:r>
        <w:br/>
      </w:r>
      <w:r>
        <w:rPr>
          <w:rStyle w:val="VerbatimChar"/>
        </w:rPr>
        <w:t xml:space="preserve">ask_max_chunks_candidate: 30</w:t>
      </w:r>
      <w:r>
        <w:br/>
      </w:r>
      <w:r>
        <w:rPr>
          <w:rStyle w:val="VerbatimChar"/>
        </w:rPr>
        <w:t xml:space="preserve">ask_max_chunks_final: 6</w:t>
      </w:r>
      <w:r>
        <w:br/>
      </w:r>
      <w:r>
        <w:rPr>
          <w:rStyle w:val="VerbatimChar"/>
        </w:rPr>
        <w:t xml:space="preserve">llm_max_concurrency: 2</w:t>
      </w:r>
    </w:p>
    <w:bookmarkEnd w:id="130"/>
    <w:bookmarkStart w:id="131" w:name="evaluation-configuration-1"/>
    <w:p>
      <w:pPr>
        <w:pStyle w:val="Heading3"/>
      </w:pPr>
      <w:r>
        <w:t xml:space="preserve">Evaluation Configuration</w:t>
      </w:r>
    </w:p>
    <w:p>
      <w:pPr>
        <w:pStyle w:val="FirstParagraph"/>
      </w:pPr>
      <w:r>
        <w:t xml:space="preserve">The evaluation configuration defines the RAG API endpoint, HyDE header, model settings, deterministic and robustness seeds, query file, RAGAS embedding model, RAGAS embedding device, extraction policy, and k values. This file is also copied into run artifacts as a configuration snapshot, which links benchmark outputs to the configuration that produced them. The latest answer-generation benchmark uses 25 questions, primary seed 42, primary temperature 0.0, and robustness seeds 11, 22, 33, 44, and 55 at configured temperature 0.2. The finalized retrieval benchmark uses the same thesis query set but evaluates ranked evidence with completed qrels-based metrics.</w:t>
      </w:r>
    </w:p>
    <w:p>
      <w:pPr>
        <w:pStyle w:val="SourceCode"/>
      </w:pPr>
      <w:r>
        <w:rPr>
          <w:rStyle w:val="VerbatimChar"/>
        </w:rPr>
        <w:t xml:space="preserve">ragas:</w:t>
      </w:r>
      <w:r>
        <w:br/>
      </w:r>
      <w:r>
        <w:rPr>
          <w:rStyle w:val="VerbatimChar"/>
        </w:rPr>
        <w:t xml:space="preserve">  embeddings_device: cuda</w:t>
      </w:r>
      <w:r>
        <w:br/>
      </w:r>
      <w:r>
        <w:rPr>
          <w:rStyle w:val="VerbatimChar"/>
        </w:rPr>
        <w:t xml:space="preserve">paper:</w:t>
      </w:r>
      <w:r>
        <w:br/>
      </w:r>
      <w:r>
        <w:rPr>
          <w:rStyle w:val="VerbatimChar"/>
        </w:rPr>
        <w:t xml:space="preserve">  primary_seed: 42</w:t>
      </w:r>
      <w:r>
        <w:br/>
      </w:r>
      <w:r>
        <w:rPr>
          <w:rStyle w:val="VerbatimChar"/>
        </w:rPr>
        <w:t xml:space="preserve">  primary_temperature: 0.0</w:t>
      </w:r>
      <w:r>
        <w:br/>
      </w:r>
      <w:r>
        <w:rPr>
          <w:rStyle w:val="VerbatimChar"/>
        </w:rPr>
        <w:t xml:space="preserve">  robustness_temperature: 0.2</w:t>
      </w:r>
      <w:r>
        <w:br/>
      </w:r>
      <w:r>
        <w:rPr>
          <w:rStyle w:val="VerbatimChar"/>
        </w:rPr>
        <w:t xml:space="preserve">  robustness_seeds: [11, 22, 33, 44, 55]</w:t>
      </w:r>
      <w:r>
        <w:br/>
      </w:r>
      <w:r>
        <w:rPr>
          <w:rStyle w:val="VerbatimChar"/>
        </w:rPr>
        <w:t xml:space="preserve">metrics:</w:t>
      </w:r>
      <w:r>
        <w:br/>
      </w:r>
      <w:r>
        <w:rPr>
          <w:rStyle w:val="VerbatimChar"/>
        </w:rPr>
        <w:t xml:space="preserve">  k_values: [5, 10, 20]</w:t>
      </w:r>
      <w:r>
        <w:br/>
      </w:r>
      <w:r>
        <w:rPr>
          <w:rStyle w:val="VerbatimChar"/>
        </w:rPr>
        <w:t xml:space="preserve">extraction:</w:t>
      </w:r>
      <w:r>
        <w:br/>
      </w:r>
      <w:r>
        <w:rPr>
          <w:rStyle w:val="VerbatimChar"/>
        </w:rPr>
        <w:t xml:space="preserve">  enabled: true</w:t>
      </w:r>
      <w:r>
        <w:br/>
      </w:r>
      <w:r>
        <w:rPr>
          <w:rStyle w:val="VerbatimChar"/>
        </w:rPr>
        <w:t xml:space="preserve">  tasks_clean_json: evaluation_metrics/tasks_clean.json</w:t>
      </w:r>
    </w:p>
    <w:p>
      <w:pPr>
        <w:pStyle w:val="FirstParagraph"/>
      </w:pPr>
      <w:r>
        <w:t xml:space="preserve">This appendix example is with a verified CUDA-oriented evaluation profile. Commit</w:t>
      </w:r>
      <w:r>
        <w:t xml:space="preserve"> </w:t>
      </w:r>
      <w:r>
        <w:rPr>
          <w:rStyle w:val="VerbatimChar"/>
        </w:rPr>
        <w:t xml:space="preserve">a1faf166</w:t>
      </w:r>
      <w:r>
        <w:t xml:space="preserve"> </w:t>
      </w:r>
      <w:r>
        <w:t xml:space="preserve">introduced the configuration used on the RTX 5090 workstation by moving the evaluation-side RAGAS embeddings from</w:t>
      </w:r>
      <w:r>
        <w:t xml:space="preserve"> </w:t>
      </w:r>
      <w:r>
        <w:rPr>
          <w:rStyle w:val="VerbatimChar"/>
        </w:rPr>
        <w:t xml:space="preserve">cpu</w:t>
      </w:r>
      <w:r>
        <w:t xml:space="preserve"> </w:t>
      </w:r>
      <w:r>
        <w:t xml:space="preserve">to</w:t>
      </w:r>
      <w:r>
        <w:t xml:space="preserve"> </w:t>
      </w:r>
      <w:r>
        <w:rPr>
          <w:rStyle w:val="VerbatimChar"/>
        </w:rPr>
        <w:t xml:space="preserve">cuda</w:t>
      </w:r>
      <w:r>
        <w:t xml:space="preserve"> </w:t>
      </w:r>
      <w:r>
        <w:t xml:space="preserve">in</w:t>
      </w:r>
      <w:r>
        <w:t xml:space="preserve"> </w:t>
      </w:r>
      <w:r>
        <w:rPr>
          <w:rStyle w:val="VerbatimChar"/>
        </w:rPr>
        <w:t xml:space="preserve">eval.yaml</w:t>
      </w:r>
      <w:r>
        <w:t xml:space="preserve">,</w:t>
      </w:r>
      <w:r>
        <w:t xml:space="preserve"> </w:t>
      </w:r>
      <w:r>
        <w:rPr>
          <w:rStyle w:val="VerbatimChar"/>
        </w:rPr>
        <w:t xml:space="preserve">eval.fast.yaml</w:t>
      </w:r>
      <w:r>
        <w:t xml:space="preserve">, and</w:t>
      </w:r>
      <w:r>
        <w:t xml:space="preserve"> </w:t>
      </w:r>
      <w:r>
        <w:rPr>
          <w:rStyle w:val="VerbatimChar"/>
        </w:rPr>
        <w:t xml:space="preserve">eval.medium.yaml</w:t>
      </w:r>
      <w:r>
        <w:t xml:space="preserve">, while also aligning dependent service endpoints with localhost-based execution. This change documents how the evaluation subsystem may be provisioned on a single CUDA-capable workstation; it does not alter the meaning of the benchmark metrics recorded elsewhere in the thesis.</w:t>
      </w:r>
    </w:p>
    <w:bookmarkEnd w:id="131"/>
    <w:bookmarkEnd w:id="132"/>
    <w:bookmarkStart w:id="133" w:name="deployment-and-infrastructure"/>
    <w:p>
      <w:pPr>
        <w:pStyle w:val="Heading2"/>
      </w:pPr>
      <w:r>
        <w:t xml:space="preserve">Deployment and Infrastructure</w:t>
      </w:r>
    </w:p>
    <w:p>
      <w:pPr>
        <w:pStyle w:val="FirstParagraph"/>
      </w:pPr>
      <w:r>
        <w:t xml:space="preserve">Deployment is local-first and Compose-based. The Engineering Wiki identifies Docker Compose as the verified local dependency mechanism for this repository; there are no verified Helm or Kubernetes deployment files for the current thesis implementation. This local-first design supports thesis reproducibility and inspection, but it also means the deployment should not be described as production-grade orchestration.</w:t>
      </w:r>
    </w:p>
    <w:p>
      <w:pPr>
        <w:pStyle w:val="BodyText"/>
      </w:pPr>
      <w:r>
        <w:t xml:space="preserve">The biomedical RAG stack defines Qdrant, PostgreSQL, and the API service as separate Compose services. Qdrant persists vectors in a named volume, PostgreSQL persists relational state in a named volume, and the API mounts configuration files read-only. This separation mirrors the application architecture: vector retrieval, relational state, and application behavior are independently configurable infrastructure concerns.</w:t>
      </w:r>
    </w:p>
    <w:p>
      <w:pPr>
        <w:pStyle w:val="SourceCode"/>
      </w:pPr>
      <w:r>
        <w:rPr>
          <w:rStyle w:val="VerbatimChar"/>
        </w:rPr>
        <w:t xml:space="preserve">services:</w:t>
      </w:r>
      <w:r>
        <w:br/>
      </w:r>
      <w:r>
        <w:rPr>
          <w:rStyle w:val="VerbatimChar"/>
        </w:rPr>
        <w:t xml:space="preserve">  qdrant:</w:t>
      </w:r>
      <w:r>
        <w:br/>
      </w:r>
      <w:r>
        <w:rPr>
          <w:rStyle w:val="VerbatimChar"/>
        </w:rPr>
        <w:t xml:space="preserve">    image: qdrant/qdrant:v1.16.3</w:t>
      </w:r>
      <w:r>
        <w:br/>
      </w:r>
      <w:r>
        <w:rPr>
          <w:rStyle w:val="VerbatimChar"/>
        </w:rPr>
        <w:t xml:space="preserve">    ports: ["6333:6333", "6334:6334"]</w:t>
      </w:r>
      <w:r>
        <w:br/>
      </w:r>
      <w:r>
        <w:rPr>
          <w:rStyle w:val="VerbatimChar"/>
        </w:rPr>
        <w:t xml:space="preserve">  postgres:</w:t>
      </w:r>
      <w:r>
        <w:br/>
      </w:r>
      <w:r>
        <w:rPr>
          <w:rStyle w:val="VerbatimChar"/>
        </w:rPr>
        <w:t xml:space="preserve">    image: postgres:17.7</w:t>
      </w:r>
      <w:r>
        <w:br/>
      </w:r>
      <w:r>
        <w:rPr>
          <w:rStyle w:val="VerbatimChar"/>
        </w:rPr>
        <w:t xml:space="preserve">    ports: ["5432:5432"]</w:t>
      </w:r>
      <w:r>
        <w:br/>
      </w:r>
      <w:r>
        <w:rPr>
          <w:rStyle w:val="VerbatimChar"/>
        </w:rPr>
        <w:t xml:space="preserve">  api:</w:t>
      </w:r>
      <w:r>
        <w:br/>
      </w:r>
      <w:r>
        <w:rPr>
          <w:rStyle w:val="VerbatimChar"/>
        </w:rPr>
        <w:t xml:space="preserve">    build: .</w:t>
      </w:r>
      <w:r>
        <w:br/>
      </w:r>
      <w:r>
        <w:rPr>
          <w:rStyle w:val="VerbatimChar"/>
        </w:rPr>
        <w:t xml:space="preserve">    ports: ["8000:8000"]</w:t>
      </w:r>
      <w:r>
        <w:br/>
      </w:r>
      <w:r>
        <w:rPr>
          <w:rStyle w:val="VerbatimChar"/>
        </w:rPr>
        <w:t xml:space="preserve">    volumes:</w:t>
      </w:r>
      <w:r>
        <w:br/>
      </w:r>
      <w:r>
        <w:rPr>
          <w:rStyle w:val="VerbatimChar"/>
        </w:rPr>
        <w:t xml:space="preserve">      - ./configs:/service/configs:ro</w:t>
      </w:r>
    </w:p>
    <w:p>
      <w:pPr>
        <w:pStyle w:val="FirstParagraph"/>
      </w:pPr>
      <w:r>
        <w:t xml:space="preserve">The LLM stack is separate from the biomedical RAG service. It contains Ollama for model serving, Open WebUI for local interaction, and Traefik for local routing. This separation lets the RAG service treat LLM inference as an HTTP dependency while keeping model-hosting lifecycle concerns outside the application code.</w:t>
      </w:r>
    </w:p>
    <w:p>
      <w:pPr>
        <w:pStyle w:val="SourceCode"/>
      </w:pPr>
      <w:r>
        <w:rPr>
          <w:rStyle w:val="VerbatimChar"/>
        </w:rPr>
        <w:t xml:space="preserve">services:</w:t>
      </w:r>
      <w:r>
        <w:br/>
      </w:r>
      <w:r>
        <w:rPr>
          <w:rStyle w:val="VerbatimChar"/>
        </w:rPr>
        <w:t xml:space="preserve">  ollama:</w:t>
      </w:r>
      <w:r>
        <w:br/>
      </w:r>
      <w:r>
        <w:rPr>
          <w:rStyle w:val="VerbatimChar"/>
        </w:rPr>
        <w:t xml:space="preserve">    build: ./ollama</w:t>
      </w:r>
      <w:r>
        <w:br/>
      </w:r>
      <w:r>
        <w:rPr>
          <w:rStyle w:val="VerbatimChar"/>
        </w:rPr>
        <w:t xml:space="preserve">    volumes:</w:t>
      </w:r>
      <w:r>
        <w:br/>
      </w:r>
      <w:r>
        <w:rPr>
          <w:rStyle w:val="VerbatimChar"/>
        </w:rPr>
        <w:t xml:space="preserve">      - ollama_models:/root/.ollama</w:t>
      </w:r>
      <w:r>
        <w:br/>
      </w:r>
      <w:r>
        <w:rPr>
          <w:rStyle w:val="VerbatimChar"/>
        </w:rPr>
        <w:t xml:space="preserve">  open-webui:</w:t>
      </w:r>
      <w:r>
        <w:br/>
      </w:r>
      <w:r>
        <w:rPr>
          <w:rStyle w:val="VerbatimChar"/>
        </w:rPr>
        <w:t xml:space="preserve">    image: ghcr.io/open-webui/open-webui:0.6.43</w:t>
      </w:r>
      <w:r>
        <w:br/>
      </w:r>
      <w:r>
        <w:rPr>
          <w:rStyle w:val="VerbatimChar"/>
        </w:rPr>
        <w:t xml:space="preserve">    environment:</w:t>
      </w:r>
      <w:r>
        <w:br/>
      </w:r>
      <w:r>
        <w:rPr>
          <w:rStyle w:val="VerbatimChar"/>
        </w:rPr>
        <w:t xml:space="preserve">      - OLLAMA_BASE_URL=http://ollama:11434</w:t>
      </w:r>
    </w:p>
    <w:bookmarkEnd w:id="133"/>
    <w:bookmarkStart w:id="137" w:name="sec:appendix-eval-pipeline"/>
    <w:p>
      <w:pPr>
        <w:pStyle w:val="Heading2"/>
      </w:pPr>
      <w:r>
        <w:t xml:space="preserve">Evaluation Pipeline Details</w:t>
      </w:r>
    </w:p>
    <w:p>
      <w:pPr>
        <w:pStyle w:val="FirstParagraph"/>
      </w:pPr>
      <w:r>
        <w:t xml:space="preserve">The evaluation subsystem is implemented as a command-line pipeline with explicit phases. Its purpose is to make evaluation outputs inspectable rather than transient. The current appendix separates two artifact groups because they represent different phases of the evidence: the finalized generation and extraction benchmark, and the finalized independent retrieval benchmark.</w:t>
      </w:r>
    </w:p>
    <w:bookmarkStart w:id="134" w:name="evaluation-pipeline-implementation"/>
    <w:p>
      <w:pPr>
        <w:pStyle w:val="Heading3"/>
      </w:pPr>
      <w:r>
        <w:t xml:space="preserve">Evaluation Pipeline Implementation</w:t>
      </w:r>
    </w:p>
    <w:p>
      <w:pPr>
        <w:pStyle w:val="FirstParagraph"/>
      </w:pPr>
      <w:r>
        <w:t xml:space="preserve">The evaluation subsystem follows the phase-separated architecture defined in Table </w:t>
      </w:r>
      <w:hyperlink w:anchor="tab:evaluation-phases">
        <w:r>
          <w:rPr>
            <w:rStyle w:val="Hyperlink"/>
          </w:rPr>
          <w:t xml:space="preserve">5.1</w:t>
        </w:r>
      </w:hyperlink>
      <w:r>
        <w:t xml:space="preserve"> </w:t>
      </w:r>
      <w:r>
        <w:t xml:space="preserve">(Chapter </w:t>
      </w:r>
      <w:hyperlink w:anchor="chap:methodology">
        <w:r>
          <w:rPr>
            <w:rStyle w:val="Hyperlink"/>
          </w:rPr>
          <w:t xml:space="preserve">5</w:t>
        </w:r>
      </w:hyperlink>
      <w:r>
        <w:t xml:space="preserve">). Each phase performs a specific task and materializes its output before the next phase begins. This design supports reproducibility by allowing each stage of the benchmark to be inspected and audited independently.</w:t>
      </w:r>
    </w:p>
    <w:p>
      <w:pPr>
        <w:pStyle w:val="BodyText"/>
      </w:pPr>
      <w:r>
        <w:t xml:space="preserve">Artifacts flow sequentially through the pipeline. The retrieval benchmark (Phases 1 and 2) establishes the evidence-ranking quality of the system, while the generation benchmark (Phases 3, 4, and 6) evaluates the quality and correctness of the final synthesized answers. This section documents the specific directory structure and artifact names resulting from these phases.</w:t>
      </w:r>
    </w:p>
    <w:bookmarkEnd w:id="134"/>
    <w:bookmarkStart w:id="135" w:name="generation-benchmark-artifacts"/>
    <w:p>
      <w:pPr>
        <w:pStyle w:val="Heading3"/>
      </w:pPr>
      <w:r>
        <w:t xml:space="preserve">Generation Benchmark Artifacts</w:t>
      </w:r>
    </w:p>
    <w:p>
      <w:pPr>
        <w:pStyle w:val="FirstParagraph"/>
      </w:pPr>
      <w:r>
        <w:t xml:space="preserve">The authoritative generation, RAGAS, extraction, and robustness artifacts are stored in the archived June 7 evaluation bundle as run</w:t>
      </w:r>
      <w:r>
        <w:t xml:space="preserve"> </w:t>
      </w:r>
      <w:r>
        <w:rPr>
          <w:rStyle w:val="VerbatimChar"/>
        </w:rPr>
        <w:t xml:space="preserve">20260605_123942_nogit</w:t>
      </w:r>
      <w:r>
        <w:t xml:space="preserve">. The deterministic primary run stores one answer file per mode, RAGAS outputs for each answer file, extraction outputs for both RAG modes, and aggregate summary files. Robustness artifacts are stored under five seed-specific directories.</w:t>
      </w:r>
    </w:p>
    <w:p>
      <w:pPr>
        <w:pStyle w:val="SourceCode"/>
      </w:pPr>
      <w:r>
        <w:rPr>
          <w:rStyle w:val="VerbatimChar"/>
        </w:rPr>
        <w:t xml:space="preserve">20260605_123942_nogit/</w:t>
      </w:r>
      <w:r>
        <w:br/>
      </w:r>
      <w:r>
        <w:rPr>
          <w:rStyle w:val="VerbatimChar"/>
        </w:rPr>
        <w:t xml:space="preserve">  config_snapshot.json</w:t>
      </w:r>
      <w:r>
        <w:br/>
      </w:r>
      <w:r>
        <w:rPr>
          <w:rStyle w:val="VerbatimChar"/>
        </w:rPr>
        <w:t xml:space="preserve">  paper_benchmark_summary.json</w:t>
      </w:r>
      <w:r>
        <w:br/>
      </w:r>
      <w:r>
        <w:rPr>
          <w:rStyle w:val="VerbatimChar"/>
        </w:rPr>
        <w:t xml:space="preserve">  primary_deterministic/</w:t>
      </w:r>
      <w:r>
        <w:br/>
      </w:r>
      <w:r>
        <w:rPr>
          <w:rStyle w:val="VerbatimChar"/>
        </w:rPr>
        <w:t xml:space="preserve">    phase3_answers_llm_only.jsonl</w:t>
      </w:r>
      <w:r>
        <w:br/>
      </w:r>
      <w:r>
        <w:rPr>
          <w:rStyle w:val="VerbatimChar"/>
        </w:rPr>
        <w:t xml:space="preserve">    phase3_answers_rag_no_hyde.jsonl</w:t>
      </w:r>
      <w:r>
        <w:br/>
      </w:r>
      <w:r>
        <w:rPr>
          <w:rStyle w:val="VerbatimChar"/>
        </w:rPr>
        <w:t xml:space="preserve">    phase3_answers_rag_hyde.jsonl</w:t>
      </w:r>
      <w:r>
        <w:br/>
      </w:r>
      <w:r>
        <w:rPr>
          <w:rStyle w:val="VerbatimChar"/>
        </w:rPr>
        <w:t xml:space="preserve">    phase4_ragas_phase3_answers_*.jsonl</w:t>
      </w:r>
      <w:r>
        <w:br/>
      </w:r>
      <w:r>
        <w:rPr>
          <w:rStyle w:val="VerbatimChar"/>
        </w:rPr>
        <w:t xml:space="preserve">    phase6_extraction_phase3_answers_rag_no_hyde_summary.csv</w:t>
      </w:r>
      <w:r>
        <w:br/>
      </w:r>
      <w:r>
        <w:rPr>
          <w:rStyle w:val="VerbatimChar"/>
        </w:rPr>
        <w:t xml:space="preserve">    phase6_extraction_phase3_answers_rag_hyde_summary.csv</w:t>
      </w:r>
      <w:r>
        <w:br/>
      </w:r>
      <w:r>
        <w:rPr>
          <w:rStyle w:val="VerbatimChar"/>
        </w:rPr>
        <w:t xml:space="preserve">  robustness/</w:t>
      </w:r>
      <w:r>
        <w:br/>
      </w:r>
      <w:r>
        <w:rPr>
          <w:rStyle w:val="VerbatimChar"/>
        </w:rPr>
        <w:t xml:space="preserve">    seed_11/</w:t>
      </w:r>
      <w:r>
        <w:br/>
      </w:r>
      <w:r>
        <w:rPr>
          <w:rStyle w:val="VerbatimChar"/>
        </w:rPr>
        <w:t xml:space="preserve">    seed_22/</w:t>
      </w:r>
      <w:r>
        <w:br/>
      </w:r>
      <w:r>
        <w:rPr>
          <w:rStyle w:val="VerbatimChar"/>
        </w:rPr>
        <w:t xml:space="preserve">    seed_33/</w:t>
      </w:r>
      <w:r>
        <w:br/>
      </w:r>
      <w:r>
        <w:rPr>
          <w:rStyle w:val="VerbatimChar"/>
        </w:rPr>
        <w:t xml:space="preserve">    seed_44/</w:t>
      </w:r>
      <w:r>
        <w:br/>
      </w:r>
      <w:r>
        <w:rPr>
          <w:rStyle w:val="VerbatimChar"/>
        </w:rPr>
        <w:t xml:space="preserve">    seed_55/</w:t>
      </w:r>
    </w:p>
    <w:p>
      <w:pPr>
        <w:pStyle w:val="FirstParagraph"/>
      </w:pPr>
      <w:r>
        <w:t xml:space="preserve">Generation evaluation records contexts extracted from the ask response rather than from a separate search call. This matters because faithfulness must be evaluated against the evidence actually supplied to the synthesis stage. Extraction evaluation compares predicted factors with a derived reference substrate and skips queries that have no derived gold factors under the configured policy.</w:t>
      </w:r>
    </w:p>
    <w:bookmarkEnd w:id="135"/>
    <w:bookmarkStart w:id="136" w:name="finalized-retrieval-benchmark-artifacts"/>
    <w:p>
      <w:pPr>
        <w:pStyle w:val="Heading3"/>
      </w:pPr>
      <w:r>
        <w:t xml:space="preserve">Finalized Retrieval Benchmark Artifacts</w:t>
      </w:r>
    </w:p>
    <w:p>
      <w:pPr>
        <w:pStyle w:val="FirstParagraph"/>
      </w:pPr>
      <w:r>
        <w:t xml:space="preserve">The finalized retrieval benchmark is stored in the archived June 7 evaluation bundle as run</w:t>
      </w:r>
      <w:r>
        <w:t xml:space="preserve"> </w:t>
      </w:r>
      <w:r>
        <w:rPr>
          <w:rStyle w:val="VerbatimChar"/>
        </w:rPr>
        <w:t xml:space="preserve">20260606_212735_nogit</w:t>
      </w:r>
      <w:r>
        <w:t xml:space="preserve">. It exports ranked direct retrieval records, ranked HyDE retrieval records, final context records, a pooled candidate set, a completed annotation file,</w:t>
      </w:r>
      <w:r>
        <w:t xml:space="preserve"> </w:t>
      </w:r>
      <w:r>
        <w:rPr>
          <w:rStyle w:val="VerbatimChar"/>
        </w:rPr>
        <w:t xml:space="preserve">qrels.tsv</w:t>
      </w:r>
      <w:r>
        <w:t xml:space="preserve">, per-query metrics, and aggregate retrieval summaries.</w:t>
      </w:r>
    </w:p>
    <w:p>
      <w:pPr>
        <w:pStyle w:val="SourceCode"/>
      </w:pPr>
      <w:r>
        <w:rPr>
          <w:rStyle w:val="VerbatimChar"/>
        </w:rPr>
        <w:t xml:space="preserve">20260606_212735_nogit/</w:t>
      </w:r>
      <w:r>
        <w:br/>
      </w:r>
      <w:r>
        <w:rPr>
          <w:rStyle w:val="VerbatimChar"/>
        </w:rPr>
        <w:t xml:space="preserve">  config_snapshot.json</w:t>
      </w:r>
      <w:r>
        <w:br/>
      </w:r>
      <w:r>
        <w:rPr>
          <w:rStyle w:val="VerbatimChar"/>
        </w:rPr>
        <w:t xml:space="preserve">  retrieval_direct.jsonl</w:t>
      </w:r>
      <w:r>
        <w:br/>
      </w:r>
      <w:r>
        <w:rPr>
          <w:rStyle w:val="VerbatimChar"/>
        </w:rPr>
        <w:t xml:space="preserve">  retrieval_hyde.jsonl</w:t>
      </w:r>
      <w:r>
        <w:br/>
      </w:r>
      <w:r>
        <w:rPr>
          <w:rStyle w:val="VerbatimChar"/>
        </w:rPr>
        <w:t xml:space="preserve">  retrieval_final_context.jsonl</w:t>
      </w:r>
      <w:r>
        <w:br/>
      </w:r>
      <w:r>
        <w:rPr>
          <w:rStyle w:val="VerbatimChar"/>
        </w:rPr>
        <w:t xml:space="preserve">  pooled_candidates.jsonl</w:t>
      </w:r>
      <w:r>
        <w:br/>
      </w:r>
      <w:r>
        <w:rPr>
          <w:rStyle w:val="VerbatimChar"/>
        </w:rPr>
        <w:t xml:space="preserve">  qrels_annotation_template.csv</w:t>
      </w:r>
      <w:r>
        <w:br/>
      </w:r>
      <w:r>
        <w:rPr>
          <w:rStyle w:val="VerbatimChar"/>
        </w:rPr>
        <w:t xml:space="preserve">  qrels_annotation_completed.csv</w:t>
      </w:r>
      <w:r>
        <w:br/>
      </w:r>
      <w:r>
        <w:rPr>
          <w:rStyle w:val="VerbatimChar"/>
        </w:rPr>
        <w:t xml:space="preserve">  qrels.tsv</w:t>
      </w:r>
      <w:r>
        <w:br/>
      </w:r>
      <w:r>
        <w:rPr>
          <w:rStyle w:val="VerbatimChar"/>
        </w:rPr>
        <w:t xml:space="preserve">  retrieval_metrics_summary.json</w:t>
      </w:r>
      <w:r>
        <w:br/>
      </w:r>
      <w:r>
        <w:rPr>
          <w:rStyle w:val="VerbatimChar"/>
        </w:rPr>
        <w:t xml:space="preserve">  retrieval_metrics_per_query.csv</w:t>
      </w:r>
      <w:r>
        <w:br/>
      </w:r>
      <w:r>
        <w:rPr>
          <w:rStyle w:val="VerbatimChar"/>
        </w:rPr>
        <w:t xml:space="preserve">  retrieval_metrics_comparison.tex</w:t>
      </w:r>
    </w:p>
    <w:p>
      <w:pPr>
        <w:pStyle w:val="FirstParagraph"/>
      </w:pPr>
      <w:r>
        <w:t xml:space="preserve">The finalized retrieval benchmark contains 25 queries, 250 direct retrieval rows, 250 HyDE retrieval rows, 300 final context rows, 321 pooled candidates, completed qrels artifacts, retrieval metric summaries, and retrieval comparison tables. This is the authoritative retrieval evidence base used throughout the thesis.</w:t>
      </w:r>
    </w:p>
    <w:p>
      <w:pPr>
        <w:pStyle w:val="BodyText"/>
      </w:pPr>
      <w:r>
        <w:t xml:space="preserve">This separation is essential because RAGAS context precision without reference remains an answer-support proxy, extraction metrics evaluate risk-factor recovery against a derived reference substrate, and qrels-based retrieval metrics evaluate ranked documents against query-specific relevance judgments.</w:t>
      </w:r>
    </w:p>
    <w:bookmarkEnd w:id="136"/>
    <w:bookmarkEnd w:id="137"/>
    <w:bookmarkStart w:id="142" w:name="representative-configuration-examples"/>
    <w:p>
      <w:pPr>
        <w:pStyle w:val="Heading2"/>
      </w:pPr>
      <w:r>
        <w:t xml:space="preserve">Representative Configuration Examples</w:t>
      </w:r>
    </w:p>
    <w:p>
      <w:pPr>
        <w:pStyle w:val="FirstParagraph"/>
      </w:pPr>
      <w:r>
        <w:t xml:space="preserve">This section collects small configuration excerpts that are sufficient to identify the runtime shape of the thesis system. The snippets are intentionally incomplete; full configuration files remain in the repository and should be used as the source of execution truth.</w:t>
      </w:r>
    </w:p>
    <w:bookmarkStart w:id="138" w:name="rag-service-snippet"/>
    <w:p>
      <w:pPr>
        <w:pStyle w:val="Heading3"/>
      </w:pPr>
      <w:r>
        <w:t xml:space="preserve">RAG Service Snippet</w:t>
      </w:r>
    </w:p>
    <w:p>
      <w:pPr>
        <w:pStyle w:val="SourceCode"/>
      </w:pPr>
      <w:r>
        <w:rPr>
          <w:rStyle w:val="VerbatimChar"/>
        </w:rPr>
        <w:t xml:space="preserve">embedding:</w:t>
      </w:r>
      <w:r>
        <w:br/>
      </w:r>
      <w:r>
        <w:rPr>
          <w:rStyle w:val="VerbatimChar"/>
        </w:rPr>
        <w:t xml:space="preserve">  provider: "sentence-transformers/all-MiniLM-L6-v2"</w:t>
      </w:r>
      <w:r>
        <w:br/>
      </w:r>
      <w:r>
        <w:rPr>
          <w:rStyle w:val="VerbatimChar"/>
        </w:rPr>
        <w:t xml:space="preserve">  device: "cpu"</w:t>
      </w:r>
      <w:r>
        <w:br/>
      </w:r>
      <w:r>
        <w:rPr>
          <w:rStyle w:val="VerbatimChar"/>
        </w:rPr>
        <w:t xml:space="preserve">chunking:</w:t>
      </w:r>
      <w:r>
        <w:br/>
      </w:r>
      <w:r>
        <w:rPr>
          <w:rStyle w:val="VerbatimChar"/>
        </w:rPr>
        <w:t xml:space="preserve">  chunk_size: 1200</w:t>
      </w:r>
      <w:r>
        <w:br/>
      </w:r>
      <w:r>
        <w:rPr>
          <w:rStyle w:val="VerbatimChar"/>
        </w:rPr>
        <w:t xml:space="preserve">  overlap: 150</w:t>
      </w:r>
      <w:r>
        <w:br/>
      </w:r>
      <w:r>
        <w:rPr>
          <w:rStyle w:val="VerbatimChar"/>
        </w:rPr>
        <w:t xml:space="preserve">retrieval:</w:t>
      </w:r>
      <w:r>
        <w:br/>
      </w:r>
      <w:r>
        <w:rPr>
          <w:rStyle w:val="VerbatimChar"/>
        </w:rPr>
        <w:t xml:space="preserve">  top_k: 10</w:t>
      </w:r>
    </w:p>
    <w:bookmarkEnd w:id="138"/>
    <w:bookmarkStart w:id="139" w:name="scheduler-snippet"/>
    <w:p>
      <w:pPr>
        <w:pStyle w:val="Heading3"/>
      </w:pPr>
      <w:r>
        <w:t xml:space="preserve">Scheduler Snippet</w:t>
      </w:r>
    </w:p>
    <w:p>
      <w:pPr>
        <w:pStyle w:val="SourceCode"/>
      </w:pPr>
      <w:r>
        <w:rPr>
          <w:rStyle w:val="VerbatimChar"/>
        </w:rPr>
        <w:t xml:space="preserve">api:</w:t>
      </w:r>
      <w:r>
        <w:br/>
      </w:r>
      <w:r>
        <w:rPr>
          <w:rStyle w:val="VerbatimChar"/>
        </w:rPr>
        <w:t xml:space="preserve">  base_url: http://localhost:8000</w:t>
      </w:r>
      <w:r>
        <w:br/>
      </w:r>
      <w:r>
        <w:rPr>
          <w:rStyle w:val="VerbatimChar"/>
        </w:rPr>
        <w:t xml:space="preserve">  documents_get: /v1/documents/</w:t>
      </w:r>
      <w:r>
        <w:br/>
      </w:r>
      <w:r>
        <w:rPr>
          <w:rStyle w:val="VerbatimChar"/>
        </w:rPr>
        <w:t xml:space="preserve">  documents_post_batch: /v1/documents/fetch/batch</w:t>
      </w:r>
      <w:r>
        <w:br/>
      </w:r>
      <w:r>
        <w:rPr>
          <w:rStyle w:val="VerbatimChar"/>
        </w:rPr>
        <w:t xml:space="preserve">  ingest_jobs_get: /v1/ingest/jobs/</w:t>
      </w:r>
    </w:p>
    <w:bookmarkEnd w:id="139"/>
    <w:bookmarkStart w:id="140" w:name="evaluation-snippet"/>
    <w:p>
      <w:pPr>
        <w:pStyle w:val="Heading3"/>
      </w:pPr>
      <w:r>
        <w:t xml:space="preserve">Evaluation Snippet</w:t>
      </w:r>
    </w:p>
    <w:p>
      <w:pPr>
        <w:pStyle w:val="SourceCode"/>
      </w:pPr>
      <w:r>
        <w:rPr>
          <w:rStyle w:val="VerbatimChar"/>
        </w:rPr>
        <w:t xml:space="preserve">ask:</w:t>
      </w:r>
      <w:r>
        <w:br/>
      </w:r>
      <w:r>
        <w:rPr>
          <w:rStyle w:val="VerbatimChar"/>
        </w:rPr>
        <w:t xml:space="preserve">  hyde_header_name: X-HyDE-Enabled</w:t>
      </w:r>
      <w:r>
        <w:br/>
      </w:r>
      <w:r>
        <w:rPr>
          <w:rStyle w:val="VerbatimChar"/>
        </w:rPr>
        <w:t xml:space="preserve">paths:</w:t>
      </w:r>
      <w:r>
        <w:br/>
      </w:r>
      <w:r>
        <w:rPr>
          <w:rStyle w:val="VerbatimChar"/>
        </w:rPr>
        <w:t xml:space="preserve">  queries_jsonl: evaluation_metrics/queries/queries.jsonl</w:t>
      </w:r>
      <w:r>
        <w:br/>
      </w:r>
      <w:r>
        <w:rPr>
          <w:rStyle w:val="VerbatimChar"/>
        </w:rPr>
        <w:t xml:space="preserve">extraction:</w:t>
      </w:r>
      <w:r>
        <w:br/>
      </w:r>
      <w:r>
        <w:rPr>
          <w:rStyle w:val="VerbatimChar"/>
        </w:rPr>
        <w:t xml:space="preserve">  tasks_clean_json: evaluation_metrics/tasks_clean.json</w:t>
      </w:r>
    </w:p>
    <w:bookmarkEnd w:id="140"/>
    <w:bookmarkStart w:id="141" w:name="compose-snippet"/>
    <w:p>
      <w:pPr>
        <w:pStyle w:val="Heading3"/>
      </w:pPr>
      <w:r>
        <w:t xml:space="preserve">Compose Snippet</w:t>
      </w:r>
    </w:p>
    <w:p>
      <w:pPr>
        <w:pStyle w:val="SourceCode"/>
      </w:pPr>
      <w:r>
        <w:rPr>
          <w:rStyle w:val="VerbatimChar"/>
        </w:rPr>
        <w:t xml:space="preserve">volumes:</w:t>
      </w:r>
      <w:r>
        <w:br/>
      </w:r>
      <w:r>
        <w:rPr>
          <w:rStyle w:val="VerbatimChar"/>
        </w:rPr>
        <w:t xml:space="preserve">  qdrant_storage:</w:t>
      </w:r>
      <w:r>
        <w:br/>
      </w:r>
      <w:r>
        <w:rPr>
          <w:rStyle w:val="VerbatimChar"/>
        </w:rPr>
        <w:t xml:space="preserve">  postgres_data:</w:t>
      </w:r>
      <w:r>
        <w:br/>
      </w:r>
      <w:r>
        <w:rPr>
          <w:rStyle w:val="VerbatimChar"/>
        </w:rPr>
        <w:t xml:space="preserve">services:</w:t>
      </w:r>
      <w:r>
        <w:br/>
      </w:r>
      <w:r>
        <w:rPr>
          <w:rStyle w:val="VerbatimChar"/>
        </w:rPr>
        <w:t xml:space="preserve">  qdrant:</w:t>
      </w:r>
      <w:r>
        <w:br/>
      </w:r>
      <w:r>
        <w:rPr>
          <w:rStyle w:val="VerbatimChar"/>
        </w:rPr>
        <w:t xml:space="preserve">    image: qdrant/qdrant:v1.16.3</w:t>
      </w:r>
      <w:r>
        <w:br/>
      </w:r>
      <w:r>
        <w:rPr>
          <w:rStyle w:val="VerbatimChar"/>
        </w:rPr>
        <w:t xml:space="preserve">  postgres:</w:t>
      </w:r>
      <w:r>
        <w:br/>
      </w:r>
      <w:r>
        <w:rPr>
          <w:rStyle w:val="VerbatimChar"/>
        </w:rPr>
        <w:t xml:space="preserve">    image: postgres:17.7</w:t>
      </w:r>
    </w:p>
    <w:bookmarkEnd w:id="141"/>
    <w:bookmarkEnd w:id="142"/>
    <w:bookmarkStart w:id="143" w:name="reproducibility-notes"/>
    <w:p>
      <w:pPr>
        <w:pStyle w:val="Heading2"/>
      </w:pPr>
      <w:r>
        <w:t xml:space="preserve">Reproducibility Notes</w:t>
      </w:r>
    </w:p>
    <w:p>
      <w:pPr>
        <w:pStyle w:val="FirstParagraph"/>
      </w:pPr>
      <w:r>
        <w:t xml:space="preserve">Reproducibility in this repository is strongest at the artifact and configuration level. The Makefile builds the thesis with two pdflatex passes, and the evaluation CLI writes timestamped run directories with configuration snapshots. The canonical thesis runs are registered in the evidence index, which gives later readers fixed reference points for both the generation benchmark and the retrieval benchmark.</w:t>
      </w:r>
    </w:p>
    <w:p>
      <w:pPr>
        <w:pStyle w:val="BodyText"/>
      </w:pPr>
      <w:r>
        <w:t xml:space="preserve">Local LLM behavior remains a reproducibility constraint. The service uses a locally reachable Ollama endpoint and a quantized Llama model. Even with deterministic seeds in the evaluation configuration, exact rerun identity can still depend on model files, host hardware, Ollama version, concurrency, timeout behavior, and service state. The benchmark artifacts therefore support audit of the completed run, but they do not by themselves guarantee byte-identical future generations.</w:t>
      </w:r>
    </w:p>
    <w:p>
      <w:pPr>
        <w:pStyle w:val="BodyText"/>
      </w:pPr>
      <w:r>
        <w:t xml:space="preserve">Hardware and runtime dependencies also affect repeatability. The archived canonical benchmark used CPU-side evaluation embeddings, while the "cuda-validation-metrics" branch also documents a CUDA execution option for evaluation-side embeddings through commit</w:t>
      </w:r>
      <w:r>
        <w:t xml:space="preserve"> </w:t>
      </w:r>
      <w:r>
        <w:rPr>
          <w:rStyle w:val="VerbatimChar"/>
        </w:rPr>
        <w:t xml:space="preserve">a1faf166</w:t>
      </w:r>
      <w:r>
        <w:t xml:space="preserve">. Qdrant and PostgreSQL persist local state through volumes, and the API uses in-memory ingestion queues and stores in the current composition. These are acceptable thesis-prototype choices, but they should be recorded when comparing new runs against the canonical run.</w:t>
      </w:r>
    </w:p>
    <w:bookmarkEnd w:id="143"/>
    <w:bookmarkStart w:id="144" w:name="cuda-and-apex-preparation"/>
    <w:p>
      <w:pPr>
        <w:pStyle w:val="Heading2"/>
      </w:pPr>
      <w:r>
        <w:t xml:space="preserve">CUDA and APEX Preparation</w:t>
      </w:r>
    </w:p>
    <w:p>
      <w:pPr>
        <w:pStyle w:val="FirstParagraph"/>
      </w:pPr>
      <w:r>
        <w:t xml:space="preserve">CUDA execution for the evaluation subsystem should be prepared as an environment-validation procedure rather than as an informal host assumption. The required checks are straightforward. First, verify NVIDIA driver availability with</w:t>
      </w:r>
      <w:r>
        <w:t xml:space="preserve"> </w:t>
      </w:r>
      <w:r>
        <w:rPr>
          <w:rStyle w:val="VerbatimChar"/>
        </w:rPr>
        <w:t xml:space="preserve">nvidia-smi</w:t>
      </w:r>
      <w:r>
        <w:t xml:space="preserve">. Second, verify that the CUDA toolkit is available on the workstation and matches the intended runtime toolchain. Third, verify that the active PyTorch environment detects CUDA correctly before running the evaluation pipeline.</w:t>
      </w:r>
    </w:p>
    <w:p>
      <w:pPr>
        <w:pStyle w:val="SourceCode"/>
      </w:pPr>
      <w:r>
        <w:rPr>
          <w:rStyle w:val="ExtensionTok"/>
        </w:rPr>
        <w:t xml:space="preserve">nvidia-smi</w:t>
      </w:r>
      <w:r>
        <w:br/>
      </w:r>
      <w:r>
        <w:rPr>
          <w:rStyle w:val="ExtensionTok"/>
        </w:rPr>
        <w:t xml:space="preserve">nvcc</w:t>
      </w:r>
      <w:r>
        <w:rPr>
          <w:rStyle w:val="NormalTok"/>
        </w:rPr>
        <w:t xml:space="preserve"> </w:t>
      </w:r>
      <w:r>
        <w:rPr>
          <w:rStyle w:val="AttributeTok"/>
        </w:rPr>
        <w:t xml:space="preserve">--version</w:t>
      </w:r>
      <w:r>
        <w:br/>
      </w:r>
      <w:r>
        <w:rPr>
          <w:rStyle w:val="ExtensionTok"/>
        </w:rPr>
        <w:t xml:space="preserve">python</w:t>
      </w:r>
      <w:r>
        <w:rPr>
          <w:rStyle w:val="NormalTok"/>
        </w:rPr>
        <w:t xml:space="preserve"> </w:t>
      </w:r>
      <w:r>
        <w:rPr>
          <w:rStyle w:val="AttributeTok"/>
        </w:rPr>
        <w:t xml:space="preserve">-c</w:t>
      </w:r>
      <w:r>
        <w:rPr>
          <w:rStyle w:val="NormalTok"/>
        </w:rPr>
        <w:t xml:space="preserve"> </w:t>
      </w:r>
      <w:r>
        <w:rPr>
          <w:rStyle w:val="StringTok"/>
        </w:rPr>
        <w:t xml:space="preserve">"import torch; print(torch.cuda.is_available())"</w:t>
      </w:r>
    </w:p>
    <w:p>
      <w:pPr>
        <w:pStyle w:val="FirstParagraph"/>
      </w:pPr>
      <w:r>
        <w:t xml:space="preserve">APEX should be treated conditionally. The verified repository configuration for the thesis evaluation subsystem does not declare NVIDIA APEX as a mandatory dependency, so APEX should only be installed or validated if a local execution profile explicitly requires it. When APEX is required, it must be built against the same CUDA toolkit and the same PyTorch environment that will execute the evaluation pipeline; mixing a different CUDA or PyTorch build is a common cause of import and runtime failures.</w:t>
      </w:r>
    </w:p>
    <w:p>
      <w:pPr>
        <w:pStyle w:val="BodyText"/>
      </w:pPr>
      <w:r>
        <w:t xml:space="preserve">A short troubleshooting rule is sufficient for most failures. If CUDA is visible to the host but not to PyTorch, the problem is usually an environment or binary compatibility mismatch. If APEX imports fail, undefined symbol errors or extension build errors should be treated first as a signal that APEX was compiled against a different CUDA or PyTorch installation than the one currently active. In that situation, the correct response is to rebuild or reinstall APEX inside the exact execution environment intended for the thesis run, rather than to treat the failure as a benchmark anomaly.</w:t>
      </w:r>
    </w:p>
    <w:bookmarkEnd w:id="144"/>
    <w:bookmarkStart w:id="171" w:name="additional-technical-notes"/>
    <w:p>
      <w:pPr>
        <w:pStyle w:val="Heading2"/>
      </w:pPr>
      <w:r>
        <w:t xml:space="preserve">Additional Technical Notes</w:t>
      </w:r>
    </w:p>
    <w:bookmarkStart w:id="145" w:name="synthesis-and-extraction-artifacts"/>
    <w:p>
      <w:pPr>
        <w:pStyle w:val="Heading3"/>
      </w:pPr>
      <w:r>
        <w:t xml:space="preserve">Synthesis and Extraction Artifacts</w:t>
      </w:r>
    </w:p>
    <w:p>
      <w:pPr>
        <w:pStyle w:val="FirstParagraph"/>
      </w:pPr>
      <w:r>
        <w:t xml:space="preserve">To ensure reproducibility of the extraction and synthesis stages, the following artifacts define the JSON schema prompt and the canonical mapping rules.</w:t>
      </w:r>
    </w:p>
    <w:p>
      <w:pPr>
        <w:pStyle w:val="BodyText"/>
      </w:pPr>
      <w:r>
        <w:t xml:space="preserve">The synthesis step enforces structured generation using a strict prompt schema:</w:t>
      </w:r>
    </w:p>
    <w:p>
      <w:pPr>
        <w:pStyle w:val="SourceCode"/>
      </w:pPr>
      <w:r>
        <w:rPr>
          <w:rStyle w:val="VerbatimChar"/>
        </w:rPr>
        <w:t xml:space="preserve">You are a biomedical evidence grounded answer generator.</w:t>
      </w:r>
      <w:r>
        <w:br/>
      </w:r>
      <w:r>
        <w:br/>
      </w:r>
      <w:r>
        <w:rPr>
          <w:rStyle w:val="VerbatimChar"/>
        </w:rPr>
        <w:t xml:space="preserve">Hard rules</w:t>
      </w:r>
      <w:r>
        <w:br/>
      </w:r>
      <w:r>
        <w:rPr>
          <w:rStyle w:val="VerbatimChar"/>
        </w:rPr>
        <w:t xml:space="preserve">1. Output MUST be a single JSON object and nothing else.</w:t>
      </w:r>
      <w:r>
        <w:br/>
      </w:r>
      <w:r>
        <w:rPr>
          <w:rStyle w:val="VerbatimChar"/>
        </w:rPr>
        <w:t xml:space="preserve">2. No markdown, no prose, no commentary.</w:t>
      </w:r>
      <w:r>
        <w:br/>
      </w:r>
      <w:r>
        <w:rPr>
          <w:rStyle w:val="VerbatimChar"/>
        </w:rPr>
        <w:t xml:space="preserve">3. Use ONLY the provided chunk contexts, do not invent facts.</w:t>
      </w:r>
      <w:r>
        <w:br/>
      </w:r>
      <w:r>
        <w:rPr>
          <w:rStyle w:val="VerbatimChar"/>
        </w:rPr>
        <w:t xml:space="preserve">4. Cite ONLY allowed chunk_ids.</w:t>
      </w:r>
      <w:r>
        <w:br/>
      </w:r>
      <w:r>
        <w:rPr>
          <w:rStyle w:val="VerbatimChar"/>
        </w:rPr>
        <w:t xml:space="preserve">...</w:t>
      </w:r>
      <w:r>
        <w:br/>
      </w:r>
      <w:r>
        <w:rPr>
          <w:rStyle w:val="VerbatimChar"/>
        </w:rPr>
        <w:t xml:space="preserve">Required JSON schema</w:t>
      </w:r>
      <w:r>
        <w:br/>
      </w:r>
      <w:r>
        <w:rPr>
          <w:rStyle w:val="VerbatimChar"/>
        </w:rPr>
        <w:t xml:space="preserve">{</w:t>
      </w:r>
      <w:r>
        <w:br/>
      </w:r>
      <w:r>
        <w:rPr>
          <w:rStyle w:val="VerbatimChar"/>
        </w:rPr>
        <w:t xml:space="preserve">  "answer": {</w:t>
      </w:r>
      <w:r>
        <w:br/>
      </w:r>
      <w:r>
        <w:rPr>
          <w:rStyle w:val="VerbatimChar"/>
        </w:rPr>
        <w:t xml:space="preserve">    "summary": "string",</w:t>
      </w:r>
      <w:r>
        <w:br/>
      </w:r>
      <w:r>
        <w:rPr>
          <w:rStyle w:val="VerbatimChar"/>
        </w:rPr>
        <w:t xml:space="preserve">    "risk_factors": [</w:t>
      </w:r>
      <w:r>
        <w:br/>
      </w:r>
      <w:r>
        <w:rPr>
          <w:rStyle w:val="VerbatimChar"/>
        </w:rPr>
        <w:t xml:space="preserve">      {</w:t>
      </w:r>
      <w:r>
        <w:br/>
      </w:r>
      <w:r>
        <w:rPr>
          <w:rStyle w:val="VerbatimChar"/>
        </w:rPr>
        <w:t xml:space="preserve">        "rank": 1,</w:t>
      </w:r>
      <w:r>
        <w:br/>
      </w:r>
      <w:r>
        <w:rPr>
          <w:rStyle w:val="VerbatimChar"/>
        </w:rPr>
        <w:t xml:space="preserve">        "normalized_name": "string",</w:t>
      </w:r>
      <w:r>
        <w:br/>
      </w:r>
      <w:r>
        <w:rPr>
          <w:rStyle w:val="VerbatimChar"/>
        </w:rPr>
        <w:t xml:space="preserve">        "aliases": ["string"],</w:t>
      </w:r>
      <w:r>
        <w:br/>
      </w:r>
      <w:r>
        <w:rPr>
          <w:rStyle w:val="VerbatimChar"/>
        </w:rPr>
        <w:t xml:space="preserve">        "confidence": 0.5,</w:t>
      </w:r>
      <w:r>
        <w:br/>
      </w:r>
      <w:r>
        <w:rPr>
          <w:rStyle w:val="VerbatimChar"/>
        </w:rPr>
        <w:t xml:space="preserve">        "rationale": "string",</w:t>
      </w:r>
      <w:r>
        <w:br/>
      </w:r>
      <w:r>
        <w:rPr>
          <w:rStyle w:val="VerbatimChar"/>
        </w:rPr>
        <w:t xml:space="preserve">        "citations": ["chunk_id"]</w:t>
      </w:r>
      <w:r>
        <w:br/>
      </w:r>
      <w:r>
        <w:rPr>
          <w:rStyle w:val="VerbatimChar"/>
        </w:rPr>
        <w:t xml:space="preserve">      }</w:t>
      </w:r>
      <w:r>
        <w:br/>
      </w:r>
      <w:r>
        <w:rPr>
          <w:rStyle w:val="VerbatimChar"/>
        </w:rPr>
        <w:t xml:space="preserve">    ],</w:t>
      </w:r>
      <w:r>
        <w:br/>
      </w:r>
      <w:r>
        <w:rPr>
          <w:rStyle w:val="VerbatimChar"/>
        </w:rPr>
        <w:t xml:space="preserve">    "limitations": ["string"]</w:t>
      </w:r>
      <w:r>
        <w:br/>
      </w:r>
      <w:r>
        <w:rPr>
          <w:rStyle w:val="VerbatimChar"/>
        </w:rPr>
        <w:t xml:space="preserve">  },</w:t>
      </w:r>
      <w:r>
        <w:br/>
      </w:r>
      <w:r>
        <w:rPr>
          <w:rStyle w:val="VerbatimChar"/>
        </w:rPr>
        <w:t xml:space="preserve">  "citations": ["chunk_id"]</w:t>
      </w:r>
      <w:r>
        <w:br/>
      </w:r>
      <w:r>
        <w:rPr>
          <w:rStyle w:val="VerbatimChar"/>
        </w:rPr>
        <w:t xml:space="preserve">}</w:t>
      </w:r>
    </w:p>
    <w:p>
      <w:pPr>
        <w:pStyle w:val="FirstParagraph"/>
      </w:pPr>
      <w:r>
        <w:t xml:space="preserve">The Phase 6 extraction evaluation maps specific terminology back to its default canonical-factor dictionary. An excerpt of this mapping includes:</w:t>
      </w:r>
    </w:p>
    <w:p>
      <w:pPr>
        <w:pStyle w:val="SourceCode"/>
      </w:pPr>
      <w:r>
        <w:rPr>
          <w:rStyle w:val="VerbatimChar"/>
        </w:rPr>
        <w:t xml:space="preserve">{</w:t>
      </w:r>
      <w:r>
        <w:br/>
      </w:r>
      <w:r>
        <w:rPr>
          <w:rStyle w:val="VerbatimChar"/>
        </w:rPr>
        <w:t xml:space="preserve">    "prior_vte": [</w:t>
      </w:r>
      <w:r>
        <w:br/>
      </w:r>
      <w:r>
        <w:rPr>
          <w:rStyle w:val="VerbatimChar"/>
        </w:rPr>
        <w:t xml:space="preserve">        "prior vte",</w:t>
      </w:r>
      <w:r>
        <w:br/>
      </w:r>
      <w:r>
        <w:rPr>
          <w:rStyle w:val="VerbatimChar"/>
        </w:rPr>
        <w:t xml:space="preserve">        "previous vte",</w:t>
      </w:r>
      <w:r>
        <w:br/>
      </w:r>
      <w:r>
        <w:rPr>
          <w:rStyle w:val="VerbatimChar"/>
        </w:rPr>
        <w:t xml:space="preserve">        "history of vte",</w:t>
      </w:r>
      <w:r>
        <w:br/>
      </w:r>
      <w:r>
        <w:rPr>
          <w:rStyle w:val="VerbatimChar"/>
        </w:rPr>
        <w:t xml:space="preserve">        "vte history",</w:t>
      </w:r>
      <w:r>
        <w:br/>
      </w:r>
      <w:r>
        <w:rPr>
          <w:rStyle w:val="VerbatimChar"/>
        </w:rPr>
        <w:t xml:space="preserve">        "venous thromboembolism history",</w:t>
      </w:r>
      <w:r>
        <w:br/>
      </w:r>
      <w:r>
        <w:rPr>
          <w:rStyle w:val="VerbatimChar"/>
        </w:rPr>
        <w:t xml:space="preserve">        "prior dvt",</w:t>
      </w:r>
      <w:r>
        <w:br/>
      </w:r>
      <w:r>
        <w:rPr>
          <w:rStyle w:val="VerbatimChar"/>
        </w:rPr>
        <w:t xml:space="preserve">        "history of dvt",</w:t>
      </w:r>
      <w:r>
        <w:br/>
      </w:r>
      <w:r>
        <w:rPr>
          <w:rStyle w:val="VerbatimChar"/>
        </w:rPr>
        <w:t xml:space="preserve">        "deep vein thrombosis history",</w:t>
      </w:r>
      <w:r>
        <w:br/>
      </w:r>
      <w:r>
        <w:rPr>
          <w:rStyle w:val="VerbatimChar"/>
        </w:rPr>
        <w:t xml:space="preserve">        "prior pulmonary embolism",</w:t>
      </w:r>
      <w:r>
        <w:br/>
      </w:r>
      <w:r>
        <w:rPr>
          <w:rStyle w:val="VerbatimChar"/>
        </w:rPr>
        <w:t xml:space="preserve">        "history of pulmonary embolism",</w:t>
      </w:r>
      <w:r>
        <w:br/>
      </w:r>
      <w:r>
        <w:rPr>
          <w:rStyle w:val="VerbatimChar"/>
        </w:rPr>
        <w:t xml:space="preserve">        "previous thrombosis",</w:t>
      </w:r>
      <w:r>
        <w:br/>
      </w:r>
      <w:r>
        <w:rPr>
          <w:rStyle w:val="VerbatimChar"/>
        </w:rPr>
        <w:t xml:space="preserve">    ],</w:t>
      </w:r>
      <w:r>
        <w:br/>
      </w:r>
      <w:r>
        <w:rPr>
          <w:rStyle w:val="VerbatimChar"/>
        </w:rPr>
        <w:t xml:space="preserve">    "age": [</w:t>
      </w:r>
      <w:r>
        <w:br/>
      </w:r>
      <w:r>
        <w:rPr>
          <w:rStyle w:val="VerbatimChar"/>
        </w:rPr>
        <w:t xml:space="preserve">        "advanced age",</w:t>
      </w:r>
      <w:r>
        <w:br/>
      </w:r>
      <w:r>
        <w:rPr>
          <w:rStyle w:val="VerbatimChar"/>
        </w:rPr>
        <w:t xml:space="preserve">        "older age",</w:t>
      </w:r>
      <w:r>
        <w:br/>
      </w:r>
      <w:r>
        <w:rPr>
          <w:rStyle w:val="VerbatimChar"/>
        </w:rPr>
        <w:t xml:space="preserve">        "elderly",</w:t>
      </w:r>
      <w:r>
        <w:br/>
      </w:r>
      <w:r>
        <w:rPr>
          <w:rStyle w:val="VerbatimChar"/>
        </w:rPr>
        <w:t xml:space="preserve">        "aging",</w:t>
      </w:r>
      <w:r>
        <w:br/>
      </w:r>
      <w:r>
        <w:rPr>
          <w:rStyle w:val="VerbatimChar"/>
        </w:rPr>
        <w:t xml:space="preserve">    ],</w:t>
      </w:r>
      <w:r>
        <w:br/>
      </w:r>
      <w:r>
        <w:rPr>
          <w:rStyle w:val="VerbatimChar"/>
        </w:rPr>
        <w:t xml:space="preserve">    "obesity": [</w:t>
      </w:r>
      <w:r>
        <w:br/>
      </w:r>
      <w:r>
        <w:rPr>
          <w:rStyle w:val="VerbatimChar"/>
        </w:rPr>
        <w:t xml:space="preserve">        "obesity",</w:t>
      </w:r>
      <w:r>
        <w:br/>
      </w:r>
      <w:r>
        <w:rPr>
          <w:rStyle w:val="VerbatimChar"/>
        </w:rPr>
        <w:t xml:space="preserve">        "obese",</w:t>
      </w:r>
      <w:r>
        <w:br/>
      </w:r>
      <w:r>
        <w:rPr>
          <w:rStyle w:val="VerbatimChar"/>
        </w:rPr>
        <w:t xml:space="preserve">        "body mass index",</w:t>
      </w:r>
      <w:r>
        <w:br/>
      </w:r>
      <w:r>
        <w:rPr>
          <w:rStyle w:val="VerbatimChar"/>
        </w:rPr>
        <w:t xml:space="preserve">        "bmi",</w:t>
      </w:r>
      <w:r>
        <w:br/>
      </w:r>
      <w:r>
        <w:rPr>
          <w:rStyle w:val="VerbatimChar"/>
        </w:rPr>
        <w:t xml:space="preserve">    ],</w:t>
      </w:r>
      <w:r>
        <w:br/>
      </w:r>
      <w:r>
        <w:rPr>
          <w:rStyle w:val="VerbatimChar"/>
        </w:rPr>
        <w:t xml:space="preserve">    "cancer": [</w:t>
      </w:r>
      <w:r>
        <w:br/>
      </w:r>
      <w:r>
        <w:rPr>
          <w:rStyle w:val="VerbatimChar"/>
        </w:rPr>
        <w:t xml:space="preserve">        "cancer",</w:t>
      </w:r>
      <w:r>
        <w:br/>
      </w:r>
      <w:r>
        <w:rPr>
          <w:rStyle w:val="VerbatimChar"/>
        </w:rPr>
        <w:t xml:space="preserve">        "malignancy",</w:t>
      </w:r>
      <w:r>
        <w:br/>
      </w:r>
      <w:r>
        <w:rPr>
          <w:rStyle w:val="VerbatimChar"/>
        </w:rPr>
        <w:t xml:space="preserve">        "neoplasm",</w:t>
      </w:r>
      <w:r>
        <w:br/>
      </w:r>
      <w:r>
        <w:rPr>
          <w:rStyle w:val="VerbatimChar"/>
        </w:rPr>
        <w:t xml:space="preserve">        "tumor",</w:t>
      </w:r>
      <w:r>
        <w:br/>
      </w:r>
      <w:r>
        <w:rPr>
          <w:rStyle w:val="VerbatimChar"/>
        </w:rPr>
        <w:t xml:space="preserve">    ],</w:t>
      </w:r>
      <w:r>
        <w:br/>
      </w:r>
      <w:r>
        <w:rPr>
          <w:rStyle w:val="VerbatimChar"/>
        </w:rPr>
        <w:t xml:space="preserve">    "immobility": [</w:t>
      </w:r>
      <w:r>
        <w:br/>
      </w:r>
      <w:r>
        <w:rPr>
          <w:rStyle w:val="VerbatimChar"/>
        </w:rPr>
        <w:t xml:space="preserve">        "immobility",</w:t>
      </w:r>
      <w:r>
        <w:br/>
      </w:r>
      <w:r>
        <w:rPr>
          <w:rStyle w:val="VerbatimChar"/>
        </w:rPr>
        <w:t xml:space="preserve">        "immobilization",</w:t>
      </w:r>
      <w:r>
        <w:br/>
      </w:r>
      <w:r>
        <w:rPr>
          <w:rStyle w:val="VerbatimChar"/>
        </w:rPr>
        <w:t xml:space="preserve">    ]</w:t>
      </w:r>
      <w:r>
        <w:br/>
      </w:r>
      <w:r>
        <w:rPr>
          <w:rStyle w:val="VerbatimChar"/>
        </w:rPr>
        <w:t xml:space="preserve">}</w:t>
      </w:r>
    </w:p>
    <w:bookmarkEnd w:id="145"/>
    <w:bookmarkStart w:id="146" w:name="observed-label-studio-export-structure"/>
    <w:p>
      <w:pPr>
        <w:pStyle w:val="Heading3"/>
      </w:pPr>
      <w:r>
        <w:t xml:space="preserve">Observed Label Studio Export Structure</w:t>
      </w:r>
    </w:p>
    <w:p>
      <w:pPr>
        <w:pStyle w:val="FirstParagraph"/>
      </w:pPr>
      <w:r>
        <w:t xml:space="preserve">The exported Label Studio tasks contain a top-level identifier and a</w:t>
      </w:r>
      <w:r>
        <w:t xml:space="preserve"> </w:t>
      </w:r>
      <w:r>
        <w:rPr>
          <w:rStyle w:val="VerbatimChar"/>
        </w:rPr>
        <w:t xml:space="preserve">data</w:t>
      </w:r>
      <w:r>
        <w:t xml:space="preserve"> </w:t>
      </w:r>
      <w:r>
        <w:t xml:space="preserve">object holding the bibliographic payload. In the clean export, the</w:t>
      </w:r>
      <w:r>
        <w:t xml:space="preserve"> </w:t>
      </w:r>
      <w:r>
        <w:rPr>
          <w:rStyle w:val="VerbatimChar"/>
        </w:rPr>
        <w:t xml:space="preserve">data</w:t>
      </w:r>
      <w:r>
        <w:t xml:space="preserve"> </w:t>
      </w:r>
      <w:r>
        <w:t xml:space="preserve">object includes at least</w:t>
      </w:r>
      <w:r>
        <w:t xml:space="preserve"> </w:t>
      </w:r>
      <w:r>
        <w:rPr>
          <w:rStyle w:val="VerbatimChar"/>
        </w:rPr>
        <w:t xml:space="preserve">pmid</w:t>
      </w:r>
      <w:r>
        <w:t xml:space="preserve">,</w:t>
      </w:r>
      <w:r>
        <w:t xml:space="preserve"> </w:t>
      </w:r>
      <w:r>
        <w:rPr>
          <w:rStyle w:val="VerbatimChar"/>
        </w:rPr>
        <w:t xml:space="preserve">title</w:t>
      </w:r>
      <w:r>
        <w:t xml:space="preserve">,</w:t>
      </w:r>
      <w:r>
        <w:t xml:space="preserve"> </w:t>
      </w:r>
      <w:r>
        <w:rPr>
          <w:rStyle w:val="VerbatimChar"/>
        </w:rPr>
        <w:t xml:space="preserve">abstract</w:t>
      </w:r>
      <w:r>
        <w:t xml:space="preserve">,</w:t>
      </w:r>
      <w:r>
        <w:t xml:space="preserve"> </w:t>
      </w:r>
      <w:r>
        <w:rPr>
          <w:rStyle w:val="VerbatimChar"/>
        </w:rPr>
        <w:t xml:space="preserve">doi</w:t>
      </w:r>
      <w:r>
        <w:t xml:space="preserve">,</w:t>
      </w:r>
      <w:r>
        <w:t xml:space="preserve"> </w:t>
      </w:r>
      <w:r>
        <w:rPr>
          <w:rStyle w:val="VerbatimChar"/>
        </w:rPr>
        <w:t xml:space="preserve">doi_url</w:t>
      </w:r>
      <w:r>
        <w:t xml:space="preserve">,</w:t>
      </w:r>
      <w:r>
        <w:t xml:space="preserve"> </w:t>
      </w:r>
      <w:r>
        <w:rPr>
          <w:rStyle w:val="VerbatimChar"/>
        </w:rPr>
        <w:t xml:space="preserve">source</w:t>
      </w:r>
      <w:r>
        <w:t xml:space="preserve">,</w:t>
      </w:r>
      <w:r>
        <w:t xml:space="preserve"> </w:t>
      </w:r>
      <w:r>
        <w:rPr>
          <w:rStyle w:val="VerbatimChar"/>
        </w:rPr>
        <w:t xml:space="preserve">source_id</w:t>
      </w:r>
      <w:r>
        <w:t xml:space="preserve">,</w:t>
      </w:r>
      <w:r>
        <w:t xml:space="preserve"> </w:t>
      </w:r>
      <w:r>
        <w:rPr>
          <w:rStyle w:val="VerbatimChar"/>
        </w:rPr>
        <w:t xml:space="preserve">source_url</w:t>
      </w:r>
      <w:r>
        <w:t xml:space="preserve">,</w:t>
      </w:r>
      <w:r>
        <w:t xml:space="preserve"> </w:t>
      </w:r>
      <w:r>
        <w:rPr>
          <w:rStyle w:val="VerbatimChar"/>
        </w:rPr>
        <w:t xml:space="preserve">year</w:t>
      </w:r>
      <w:r>
        <w:t xml:space="preserve">,</w:t>
      </w:r>
      <w:r>
        <w:t xml:space="preserve"> </w:t>
      </w:r>
      <w:r>
        <w:rPr>
          <w:rStyle w:val="VerbatimChar"/>
        </w:rPr>
        <w:t xml:space="preserve">journal</w:t>
      </w:r>
      <w:r>
        <w:t xml:space="preserve">, and</w:t>
      </w:r>
      <w:r>
        <w:t xml:space="preserve"> </w:t>
      </w:r>
      <w:r>
        <w:rPr>
          <w:rStyle w:val="VerbatimChar"/>
        </w:rPr>
        <w:t xml:space="preserve">authors</w:t>
      </w:r>
      <w:r>
        <w:t xml:space="preserve">. Additional export metadata includes timestamps, labeling status, project information, and the full list of annotations attached to the task.</w:t>
      </w:r>
    </w:p>
    <w:p>
      <w:pPr>
        <w:pStyle w:val="BodyText"/>
      </w:pPr>
      <w:r>
        <w:t xml:space="preserve">The observed artifact snapshot contains 1300 raw exported tasks, 1288 clean tasks, and 12 rejected tasks. All clean tasks are marked as labeled in the export metadata. Within the clean task file, 1277 tasks contain one annotation object and 11 tasks contain two annotation objects. The evaluation code currently reads the first annotation object for a task, so this export shape should be treated as an implementation assumption rather than as proof of adjudicated multi-reviewer consensus.</w:t>
      </w:r>
    </w:p>
    <w:p>
      <w:pPr>
        <w:pStyle w:val="BodyText"/>
      </w:pPr>
      <w:r>
        <w:t xml:space="preserve">Within the observed annotations, the</w:t>
      </w:r>
      <w:r>
        <w:t xml:space="preserve"> </w:t>
      </w:r>
      <w:r>
        <w:rPr>
          <w:rStyle w:val="VerbatimChar"/>
        </w:rPr>
        <w:t xml:space="preserve">result</w:t>
      </w:r>
      <w:r>
        <w:t xml:space="preserve"> </w:t>
      </w:r>
      <w:r>
        <w:t xml:space="preserve">array stores heterogeneous review items. These include span labels over abstract text, binary choices for relation to venous thrombosis and risk-factor reporting, confidence ratings, article-type choices, and clinical category selections. The repository supports an annotation model that combines inclusion rationale, topical relevance, confidence, and coarse categorization, but it does not prove that every task contains identical annotation content.</w:t>
      </w:r>
    </w:p>
    <w:p>
      <w:pPr>
        <w:pStyle w:val="BodyText"/>
      </w:pPr>
      <w:r>
        <w:t xml:space="preserve">For downstream ingestion, the pipeline applies a stricter validity schema than the raw export format. A task is ingestion-ready only when it contains non-empty source metadata, DOI, year, journal, authors, title, and abstract fields. Tasks failing these checks are written to a rejected-task report, and unresolved identifier cases are tracked separately. This means that the RAG handoff assumes metadata completeness, while annotation completeness remains a procedural expectation outside the current code-enforced contract.</w:t>
      </w:r>
    </w:p>
    <w:bookmarkEnd w:id="146"/>
    <w:bookmarkStart w:id="147" w:name="operational-caveats"/>
    <w:p>
      <w:pPr>
        <w:pStyle w:val="Heading3"/>
      </w:pPr>
      <w:r>
        <w:t xml:space="preserve">Operational Caveats</w:t>
      </w:r>
    </w:p>
    <w:p>
      <w:pPr>
        <w:pStyle w:val="FirstParagraph"/>
      </w:pPr>
      <w:r>
        <w:t xml:space="preserve">The current ingestion runtime uses one worker, a small in-memory queue, in-memory job and idempotency stores, and bounded backpressure. This design is transparent and sufficient for local experiments, but it is not durable across process restarts. Production-oriented work would require durable queues, persistent job-state recovery, and corpus versioning before large-scale evaluation claims could be made.</w:t>
      </w:r>
    </w:p>
    <w:p>
      <w:pPr>
        <w:pStyle w:val="BodyText"/>
      </w:pPr>
      <w:r>
        <w:t xml:space="preserve">The complete chained June execution ran from 2026-06-05 15:39:43.685 to 2026-06-07 02:12:18.683, for 34 hours, 32 minutes, and 35 seconds. The paper benchmark phase consumed 32 hours, 47 minutes, and 46 seconds, followed by 1 hour, 44 minutes, and 42 seconds for retrieval preparation. Phase 4 RAGAS evaluation consumed approximately 20 hours, 26 minutes, and 56 seconds, making it the dominant runtime bottleneck.</w:t>
      </w:r>
    </w:p>
    <w:p>
      <w:pPr>
        <w:pStyle w:val="BodyText"/>
      </w:pPr>
      <w:r>
        <w:t xml:space="preserve">The same logs contain repeated warnings that the evaluator returned one generation instead of the requested three. RAGAS scoring completed successfully, but this evaluator behavior must be disclosed when interpreting the reported metrics. The logs also contain a Python 3.14 compatibility warning involving Pydantic V1 functionality; this is recorded here as an operational caveat rather than as a central scientific finding.</w:t>
      </w:r>
    </w:p>
    <w:p>
      <w:pPr>
        <w:pStyle w:val="BodyText"/>
      </w:pPr>
      <w:r>
        <w:t xml:space="preserve">The nominal robustness runs should also be interpreted with care. The evaluation CLI passes seed and temperature controls to the direct Ollama call used by the LLM-only baseline. The current RAG API path does not expose equivalent request-level stochastic controls for synthesis or HyDE generation, and the RAG answers and contexts are identical across robustness seeds except for volatile identifiers. Zero variance in the RAG modes is therefore deterministic service behavior under the benchmark path, not evidence of stochastic robustness.</w:t>
      </w:r>
    </w:p>
    <w:bookmarkEnd w:id="147"/>
    <w:bookmarkStart w:id="148" w:name="dependency-limitations"/>
    <w:p>
      <w:pPr>
        <w:pStyle w:val="Heading3"/>
      </w:pPr>
      <w:r>
        <w:t xml:space="preserve">Dependency Limitations</w:t>
      </w:r>
    </w:p>
    <w:p>
      <w:pPr>
        <w:pStyle w:val="FirstParagraph"/>
      </w:pPr>
      <w:r>
        <w:t xml:space="preserve">PubMed acquisition depends on upstream response structure, DOI availability, and publication-date parsing. The scheduler records success, failure, and partial-success outcomes, but missing DOI metadata or inconsistent publication dates can reduce acquisition coverage. Similarly, vector retrieval depends on Qdrant availability and on the configured embedding model; generation depends on the local Ollama service.</w:t>
      </w:r>
    </w:p>
    <w:bookmarkEnd w:id="148"/>
    <w:bookmarkStart w:id="170" w:name="scalability-and-extensibility"/>
    <w:p>
      <w:pPr>
        <w:pStyle w:val="Heading3"/>
      </w:pPr>
      <w:r>
        <w:t xml:space="preserve">Scalability and Extensibility</w:t>
      </w:r>
    </w:p>
    <w:p>
      <w:pPr>
        <w:pStyle w:val="FirstParagraph"/>
      </w:pPr>
      <w:r>
        <w:t xml:space="preserve">The repository structure supports future extension through ports and adapters. Embedding providers, vector storage behavior, PubMed clients, LLM clients, and evaluation phases can be replaced or extended behind existing boundaries. The current scalability constraints are therefore primarily operational rather than structural: durable ingestion state, corpus versioning, larger benchmark datasets, vector-store snapshots, and model-runtime provenance remain the key missing pieces for stronger future claims.</w:t>
      </w:r>
    </w:p>
    <w:p>
      <w:pPr>
        <w:pStyle w:val="BodyText"/>
      </w:pPr>
      <w:r>
        <w:t xml:space="preserve">99</w:t>
      </w:r>
    </w:p>
    <w:p>
      <w:pPr>
        <w:pStyle w:val="BodyText"/>
      </w:pPr>
      <w:r>
        <w:t xml:space="preserve">E. Sayers,</w:t>
      </w:r>
      <w:r>
        <w:t xml:space="preserve"> </w:t>
      </w:r>
      <w:r>
        <w:t xml:space="preserve">“A general introduction to the E-utilities,”</w:t>
      </w:r>
      <w:r>
        <w:t xml:space="preserve"> </w:t>
      </w:r>
      <w:r>
        <w:rPr>
          <w:i/>
          <w:iCs/>
        </w:rPr>
        <w:t xml:space="preserve">Entrez Programming Utilities Help</w:t>
      </w:r>
      <w:r>
        <w:t xml:space="preserve">, National Center for Biotechnology Information, updated Nov. 17, 2022. [Online]. Available:</w:t>
      </w:r>
      <w:r>
        <w:t xml:space="preserve"> </w:t>
      </w:r>
      <w:hyperlink r:id="rId149">
        <w:r>
          <w:rPr>
            <w:rStyle w:val="Hyperlink"/>
          </w:rPr>
          <w:t xml:space="preserve">https://www.ncbi.nlm.nih.gov/books/NBK25497/</w:t>
        </w:r>
      </w:hyperlink>
    </w:p>
    <w:p>
      <w:pPr>
        <w:pStyle w:val="BodyText"/>
      </w:pPr>
      <w:r>
        <w:t xml:space="preserve">N. Fiorini</w:t>
      </w:r>
      <w:r>
        <w:t xml:space="preserve"> </w:t>
      </w:r>
      <w:r>
        <w:rPr>
          <w:i/>
          <w:iCs/>
        </w:rPr>
        <w:t xml:space="preserve">et al.</w:t>
      </w:r>
      <w:r>
        <w:t xml:space="preserve">,</w:t>
      </w:r>
      <w:r>
        <w:t xml:space="preserve"> </w:t>
      </w:r>
      <w:r>
        <w:t xml:space="preserve">“Best Match: New relevance search for PubMed,”</w:t>
      </w:r>
      <w:r>
        <w:t xml:space="preserve"> </w:t>
      </w:r>
      <w:r>
        <w:rPr>
          <w:i/>
          <w:iCs/>
        </w:rPr>
        <w:t xml:space="preserve">PLOS Biology</w:t>
      </w:r>
      <w:r>
        <w:t xml:space="preserve">, vol. 16, no. 8, Art. no. e2005343, 2018, doi: 10.1371/journal.pbio.2005343.</w:t>
      </w:r>
    </w:p>
    <w:p>
      <w:pPr>
        <w:pStyle w:val="BodyText"/>
      </w:pPr>
      <w:r>
        <w:t xml:space="preserve">P. Lewis</w:t>
      </w:r>
      <w:r>
        <w:t xml:space="preserve"> </w:t>
      </w:r>
      <w:r>
        <w:rPr>
          <w:i/>
          <w:iCs/>
        </w:rPr>
        <w:t xml:space="preserve">et al.</w:t>
      </w:r>
      <w:r>
        <w:t xml:space="preserve">,</w:t>
      </w:r>
      <w:r>
        <w:t xml:space="preserve"> </w:t>
      </w:r>
      <w:r>
        <w:t xml:space="preserve">“Retrieval-augmented generation for knowledge-intensive NLP tasks,”</w:t>
      </w:r>
      <w:r>
        <w:t xml:space="preserve"> </w:t>
      </w:r>
      <w:r>
        <w:t xml:space="preserve">in</w:t>
      </w:r>
      <w:r>
        <w:t xml:space="preserve"> </w:t>
      </w:r>
      <w:r>
        <w:rPr>
          <w:i/>
          <w:iCs/>
        </w:rPr>
        <w:t xml:space="preserve">Proc. NeurIPS</w:t>
      </w:r>
      <w:r>
        <w:t xml:space="preserve">, 2020. [Online]. Available:</w:t>
      </w:r>
      <w:r>
        <w:t xml:space="preserve"> </w:t>
      </w:r>
      <w:hyperlink r:id="rId150">
        <w:r>
          <w:rPr>
            <w:rStyle w:val="Hyperlink"/>
          </w:rPr>
          <w:t xml:space="preserve">https://arxiv.org/abs/2005.11401</w:t>
        </w:r>
      </w:hyperlink>
    </w:p>
    <w:p>
      <w:pPr>
        <w:pStyle w:val="BodyText"/>
      </w:pPr>
      <w:r>
        <w:t xml:space="preserve">L. Gao, X. Ma, J. Lin, and J. Callan,</w:t>
      </w:r>
      <w:r>
        <w:t xml:space="preserve"> </w:t>
      </w:r>
      <w:r>
        <w:t xml:space="preserve">“Precise zero-shot dense retrieval without relevance labels,”</w:t>
      </w:r>
      <w:r>
        <w:t xml:space="preserve"> </w:t>
      </w:r>
      <w:r>
        <w:t xml:space="preserve">in</w:t>
      </w:r>
      <w:r>
        <w:t xml:space="preserve"> </w:t>
      </w:r>
      <w:r>
        <w:rPr>
          <w:i/>
          <w:iCs/>
        </w:rPr>
        <w:t xml:space="preserve">Proc. ACL</w:t>
      </w:r>
      <w:r>
        <w:t xml:space="preserve">, 2023, pp. 1762–1777, doi: 10.18653/v1/2023.acl-long.99.</w:t>
      </w:r>
    </w:p>
    <w:p>
      <w:pPr>
        <w:pStyle w:val="BodyText"/>
      </w:pPr>
      <w:r>
        <w:t xml:space="preserve">G. Tsatsaronis</w:t>
      </w:r>
      <w:r>
        <w:t xml:space="preserve"> </w:t>
      </w:r>
      <w:r>
        <w:rPr>
          <w:i/>
          <w:iCs/>
        </w:rPr>
        <w:t xml:space="preserve">et al.</w:t>
      </w:r>
      <w:r>
        <w:t xml:space="preserve">,</w:t>
      </w:r>
      <w:r>
        <w:t xml:space="preserve"> </w:t>
      </w:r>
      <w:r>
        <w:t xml:space="preserve">“An overview of the BIOASQ large-scale biomedical semantic indexing and question answering competition,”</w:t>
      </w:r>
      <w:r>
        <w:t xml:space="preserve"> </w:t>
      </w:r>
      <w:r>
        <w:rPr>
          <w:i/>
          <w:iCs/>
        </w:rPr>
        <w:t xml:space="preserve">BMC Bioinformatics</w:t>
      </w:r>
      <w:r>
        <w:t xml:space="preserve">, vol. 16, Art. no. 138, 2015, doi: 10.1186/s12859-015-0564-6.</w:t>
      </w:r>
    </w:p>
    <w:p>
      <w:pPr>
        <w:pStyle w:val="BodyText"/>
      </w:pPr>
      <w:r>
        <w:t xml:space="preserve">K. Roberts, D. Demner-Fushman, E. M. Voorhees, S. Bedrick, and W. R. Hersh,</w:t>
      </w:r>
      <w:r>
        <w:t xml:space="preserve"> </w:t>
      </w:r>
      <w:r>
        <w:t xml:space="preserve">“Overview of the TREC 2020 Precision Medicine Track,”</w:t>
      </w:r>
      <w:r>
        <w:t xml:space="preserve"> </w:t>
      </w:r>
      <w:r>
        <w:rPr>
          <w:i/>
          <w:iCs/>
        </w:rPr>
        <w:t xml:space="preserve">NIST Special Publication 1266</w:t>
      </w:r>
      <w:r>
        <w:t xml:space="preserve">, 2020, doi: 10.6028/NIST.SP.1266.pm-overview.</w:t>
      </w:r>
    </w:p>
    <w:p>
      <w:pPr>
        <w:pStyle w:val="BodyText"/>
      </w:pPr>
      <w:r>
        <w:t xml:space="preserve">Q. Jin</w:t>
      </w:r>
      <w:r>
        <w:t xml:space="preserve"> </w:t>
      </w:r>
      <w:r>
        <w:rPr>
          <w:i/>
          <w:iCs/>
        </w:rPr>
        <w:t xml:space="preserve">et al.</w:t>
      </w:r>
      <w:r>
        <w:t xml:space="preserve">,</w:t>
      </w:r>
      <w:r>
        <w:t xml:space="preserve"> </w:t>
      </w:r>
      <w:r>
        <w:t xml:space="preserve">“MedCPT: Contrastive pre-trained transformers with large-scale PubMed search logs for zero-shot biomedical information retrieval,”</w:t>
      </w:r>
      <w:r>
        <w:t xml:space="preserve"> </w:t>
      </w:r>
      <w:r>
        <w:rPr>
          <w:i/>
          <w:iCs/>
        </w:rPr>
        <w:t xml:space="preserve">Bioinformatics</w:t>
      </w:r>
      <w:r>
        <w:t xml:space="preserve">, vol. 39, no. 11, Art. no. btad651, 2023, doi: 10.1093/bioinformatics/btad651.</w:t>
      </w:r>
    </w:p>
    <w:p>
      <w:pPr>
        <w:pStyle w:val="BodyText"/>
      </w:pPr>
      <w:r>
        <w:t xml:space="preserve">J. Lee</w:t>
      </w:r>
      <w:r>
        <w:t xml:space="preserve"> </w:t>
      </w:r>
      <w:r>
        <w:rPr>
          <w:i/>
          <w:iCs/>
        </w:rPr>
        <w:t xml:space="preserve">et al.</w:t>
      </w:r>
      <w:r>
        <w:t xml:space="preserve">,</w:t>
      </w:r>
      <w:r>
        <w:t xml:space="preserve"> </w:t>
      </w:r>
      <w:r>
        <w:t xml:space="preserve">“BioBERT: A pre-trained biomedical language representation model for biomedical text mining,”</w:t>
      </w:r>
      <w:r>
        <w:t xml:space="preserve"> </w:t>
      </w:r>
      <w:r>
        <w:rPr>
          <w:i/>
          <w:iCs/>
        </w:rPr>
        <w:t xml:space="preserve">Bioinformatics</w:t>
      </w:r>
      <w:r>
        <w:t xml:space="preserve">, vol. 36, no. 4, pp. 1234–1240, 2020, doi: 10.1093/bioinformatics/btz682.</w:t>
      </w:r>
    </w:p>
    <w:p>
      <w:pPr>
        <w:pStyle w:val="BodyText"/>
      </w:pPr>
      <w:r>
        <w:t xml:space="preserve">N. Reimers and I. Gurevych,</w:t>
      </w:r>
      <w:r>
        <w:t xml:space="preserve"> </w:t>
      </w:r>
      <w:r>
        <w:t xml:space="preserve">“Sentence-BERT: Sentence embeddings using Siamese BERT-networks,”</w:t>
      </w:r>
      <w:r>
        <w:t xml:space="preserve"> </w:t>
      </w:r>
      <w:r>
        <w:t xml:space="preserve">in</w:t>
      </w:r>
      <w:r>
        <w:t xml:space="preserve"> </w:t>
      </w:r>
      <w:r>
        <w:rPr>
          <w:i/>
          <w:iCs/>
        </w:rPr>
        <w:t xml:space="preserve">Proc. EMNLP-IJCNLP</w:t>
      </w:r>
      <w:r>
        <w:t xml:space="preserve">, 2019, pp. 3982–3992, doi: 10.18653/v1/D19-1410.</w:t>
      </w:r>
    </w:p>
    <w:p>
      <w:pPr>
        <w:pStyle w:val="BodyText"/>
      </w:pPr>
      <w:r>
        <w:t xml:space="preserve">A. Lozano, S. L. Fleming, C.-C. Chiang, and N. Shah,</w:t>
      </w:r>
      <w:r>
        <w:t xml:space="preserve"> </w:t>
      </w:r>
      <w:r>
        <w:t xml:space="preserve">“Clinfo.ai: An open-source retrieval-augmented large language model system for answering medical questions using scientific literature,”</w:t>
      </w:r>
      <w:r>
        <w:t xml:space="preserve"> </w:t>
      </w:r>
      <w:r>
        <w:rPr>
          <w:i/>
          <w:iCs/>
        </w:rPr>
        <w:t xml:space="preserve">Pacific Symposium on Biocomputing</w:t>
      </w:r>
      <w:r>
        <w:t xml:space="preserve">, vol. 29, pp. 8–23, 2024, doi: 10.1142/9789811286421_0002.</w:t>
      </w:r>
    </w:p>
    <w:p>
      <w:pPr>
        <w:pStyle w:val="BodyText"/>
      </w:pPr>
      <w:r>
        <w:t xml:space="preserve">C. Zakka</w:t>
      </w:r>
      <w:r>
        <w:t xml:space="preserve"> </w:t>
      </w:r>
      <w:r>
        <w:rPr>
          <w:i/>
          <w:iCs/>
        </w:rPr>
        <w:t xml:space="preserve">et al.</w:t>
      </w:r>
      <w:r>
        <w:t xml:space="preserve">,</w:t>
      </w:r>
      <w:r>
        <w:t xml:space="preserve"> </w:t>
      </w:r>
      <w:r>
        <w:t xml:space="preserve">“Almanac: Retrieval-augmented language models for clinical medicine,”</w:t>
      </w:r>
      <w:r>
        <w:t xml:space="preserve"> </w:t>
      </w:r>
      <w:r>
        <w:rPr>
          <w:i/>
          <w:iCs/>
        </w:rPr>
        <w:t xml:space="preserve">NEJM AI</w:t>
      </w:r>
      <w:r>
        <w:t xml:space="preserve">, vol. 1, no. 2, 2024, doi: 10.1056/AIoa2300068.</w:t>
      </w:r>
    </w:p>
    <w:p>
      <w:pPr>
        <w:pStyle w:val="BodyText"/>
      </w:pPr>
      <w:r>
        <w:t xml:space="preserve">G. Xiong, Q. Jin, Z. Lu, and A. Zhang,</w:t>
      </w:r>
      <w:r>
        <w:t xml:space="preserve"> </w:t>
      </w:r>
      <w:r>
        <w:t xml:space="preserve">“Benchmarking retrieval-augmented generation for medicine,”</w:t>
      </w:r>
      <w:r>
        <w:t xml:space="preserve"> </w:t>
      </w:r>
      <w:r>
        <w:t xml:space="preserve">in</w:t>
      </w:r>
      <w:r>
        <w:t xml:space="preserve"> </w:t>
      </w:r>
      <w:r>
        <w:rPr>
          <w:i/>
          <w:iCs/>
        </w:rPr>
        <w:t xml:space="preserve">Findings of the Association for Computational Linguistics: ACL 2024</w:t>
      </w:r>
      <w:r>
        <w:t xml:space="preserve">, 2024, pp. 6233–6251, doi: 10.18653/v1/2024.findings-acl.372.</w:t>
      </w:r>
    </w:p>
    <w:p>
      <w:pPr>
        <w:pStyle w:val="BodyText"/>
      </w:pPr>
      <w:r>
        <w:t xml:space="preserve">L. M. Amugongo, P. Mascheroni, S. Brooks, S. Doering, and J. Seidel,</w:t>
      </w:r>
      <w:r>
        <w:t xml:space="preserve"> </w:t>
      </w:r>
      <w:r>
        <w:t xml:space="preserve">“Retrieval augmented generation for large language models in healthcare: A systematic review,”</w:t>
      </w:r>
      <w:r>
        <w:t xml:space="preserve"> </w:t>
      </w:r>
      <w:r>
        <w:rPr>
          <w:i/>
          <w:iCs/>
        </w:rPr>
        <w:t xml:space="preserve">PLOS Digital Health</w:t>
      </w:r>
      <w:r>
        <w:t xml:space="preserve">, vol. 4, no. 6, Art. no. e0000877, 2025, doi: 10.1371/journal.pdig.0000877.</w:t>
      </w:r>
    </w:p>
    <w:p>
      <w:pPr>
        <w:pStyle w:val="BodyText"/>
      </w:pPr>
      <w:r>
        <w:t xml:space="preserve">S. Malik</w:t>
      </w:r>
      <w:r>
        <w:t xml:space="preserve"> </w:t>
      </w:r>
      <w:r>
        <w:rPr>
          <w:i/>
          <w:iCs/>
        </w:rPr>
        <w:t xml:space="preserve">et al.</w:t>
      </w:r>
      <w:r>
        <w:t xml:space="preserve">,</w:t>
      </w:r>
      <w:r>
        <w:t xml:space="preserve"> </w:t>
      </w:r>
      <w:r>
        <w:t xml:space="preserve">“Assessing ChatGPT4 with and without retrieval-augmented generation in anticoagulation management for gastrointestinal procedures,”</w:t>
      </w:r>
      <w:r>
        <w:t xml:space="preserve"> </w:t>
      </w:r>
      <w:r>
        <w:rPr>
          <w:i/>
          <w:iCs/>
        </w:rPr>
        <w:t xml:space="preserve">Annals of Gastroenterology</w:t>
      </w:r>
      <w:r>
        <w:t xml:space="preserve">, vol. 37, no. 5, pp. 514–526, 2024, doi: 10.20524/aog.2024.0907.</w:t>
      </w:r>
    </w:p>
    <w:p>
      <w:pPr>
        <w:pStyle w:val="BodyText"/>
      </w:pPr>
      <w:r>
        <w:t xml:space="preserve">K. Jarvelin and J. Kekalainen,</w:t>
      </w:r>
      <w:r>
        <w:t xml:space="preserve"> </w:t>
      </w:r>
      <w:r>
        <w:t xml:space="preserve">“Cumulated gain-based evaluation of IR techniques,”</w:t>
      </w:r>
      <w:r>
        <w:t xml:space="preserve"> </w:t>
      </w:r>
      <w:r>
        <w:rPr>
          <w:i/>
          <w:iCs/>
        </w:rPr>
        <w:t xml:space="preserve">ACM Transactions on Information Systems</w:t>
      </w:r>
      <w:r>
        <w:t xml:space="preserve">, vol. 20, no. 4, pp. 422–446, 2002, doi: 10.1145/582415.582418.</w:t>
      </w:r>
    </w:p>
    <w:p>
      <w:pPr>
        <w:pStyle w:val="BodyText"/>
      </w:pPr>
      <w:r>
        <w:t xml:space="preserve">N. Thakur, N. Reimers, A. Ruckle, A. Srivastava, and I. Gurevych,</w:t>
      </w:r>
      <w:r>
        <w:t xml:space="preserve"> </w:t>
      </w:r>
      <w:r>
        <w:t xml:space="preserve">“BEIR: A heterogeneous benchmark for zero-shot evaluation of information retrieval models,”</w:t>
      </w:r>
      <w:r>
        <w:t xml:space="preserve"> </w:t>
      </w:r>
      <w:r>
        <w:t xml:space="preserve">in</w:t>
      </w:r>
      <w:r>
        <w:t xml:space="preserve"> </w:t>
      </w:r>
      <w:r>
        <w:rPr>
          <w:i/>
          <w:iCs/>
        </w:rPr>
        <w:t xml:space="preserve">Proc. NeurIPS Datasets and Benchmarks</w:t>
      </w:r>
      <w:r>
        <w:t xml:space="preserve">, 2021. [Online]. Available:</w:t>
      </w:r>
      <w:r>
        <w:t xml:space="preserve"> </w:t>
      </w:r>
      <w:hyperlink r:id="rId151">
        <w:r>
          <w:rPr>
            <w:rStyle w:val="Hyperlink"/>
          </w:rPr>
          <w:t xml:space="preserve">https://arxiv.org/abs/2104.08663</w:t>
        </w:r>
      </w:hyperlink>
    </w:p>
    <w:p>
      <w:pPr>
        <w:pStyle w:val="BodyText"/>
      </w:pPr>
      <w:r>
        <w:t xml:space="preserve">Q. Jin, B. Dhingra, Z. Liu, W. Cohen, and X. Lu,</w:t>
      </w:r>
      <w:r>
        <w:t xml:space="preserve"> </w:t>
      </w:r>
      <w:r>
        <w:t xml:space="preserve">“PubMedQA: A dataset for biomedical research question answering,”</w:t>
      </w:r>
      <w:r>
        <w:t xml:space="preserve"> </w:t>
      </w:r>
      <w:r>
        <w:t xml:space="preserve">in</w:t>
      </w:r>
      <w:r>
        <w:t xml:space="preserve"> </w:t>
      </w:r>
      <w:r>
        <w:rPr>
          <w:i/>
          <w:iCs/>
        </w:rPr>
        <w:t xml:space="preserve">Proc. EMNLP-IJCNLP</w:t>
      </w:r>
      <w:r>
        <w:t xml:space="preserve">, 2019, pp. 2567–2577, doi: 10.18653/v1/D19-1259.</w:t>
      </w:r>
    </w:p>
    <w:p>
      <w:pPr>
        <w:pStyle w:val="BodyText"/>
      </w:pPr>
      <w:r>
        <w:t xml:space="preserve">S. Es, J. James, L. Espinosa-Anke, and S. Schockaert,</w:t>
      </w:r>
      <w:r>
        <w:t xml:space="preserve"> </w:t>
      </w:r>
      <w:r>
        <w:t xml:space="preserve">“RAGAs: Automated evaluation of retrieval augmented generation,”</w:t>
      </w:r>
      <w:r>
        <w:t xml:space="preserve"> </w:t>
      </w:r>
      <w:r>
        <w:t xml:space="preserve">in</w:t>
      </w:r>
      <w:r>
        <w:t xml:space="preserve"> </w:t>
      </w:r>
      <w:r>
        <w:rPr>
          <w:i/>
          <w:iCs/>
        </w:rPr>
        <w:t xml:space="preserve">Proc. EACL: System Demonstrations</w:t>
      </w:r>
      <w:r>
        <w:t xml:space="preserve">, 2024, pp. 150–158, doi: 10.18653/v1/2024.eacl-demo.16.</w:t>
      </w:r>
    </w:p>
    <w:p>
      <w:pPr>
        <w:pStyle w:val="BodyText"/>
      </w:pPr>
      <w:r>
        <w:t xml:space="preserve">J. Saad-Falcon, O. Khattab, C. Potts, and M. Zaharia,</w:t>
      </w:r>
      <w:r>
        <w:t xml:space="preserve"> </w:t>
      </w:r>
      <w:r>
        <w:t xml:space="preserve">“ARES: An automated evaluation framework for retrieval-augmented generation systems,”</w:t>
      </w:r>
      <w:r>
        <w:t xml:space="preserve"> </w:t>
      </w:r>
      <w:r>
        <w:t xml:space="preserve">in</w:t>
      </w:r>
      <w:r>
        <w:t xml:space="preserve"> </w:t>
      </w:r>
      <w:r>
        <w:rPr>
          <w:i/>
          <w:iCs/>
        </w:rPr>
        <w:t xml:space="preserve">Proc. NAACL-HLT</w:t>
      </w:r>
      <w:r>
        <w:t xml:space="preserve">, 2024, pp. 338–354, doi: 10.18653/v1/2024.naacl-long.20.</w:t>
      </w:r>
    </w:p>
    <w:p>
      <w:pPr>
        <w:pStyle w:val="BodyText"/>
      </w:pPr>
      <w:r>
        <w:t xml:space="preserve">D. Ru</w:t>
      </w:r>
      <w:r>
        <w:t xml:space="preserve"> </w:t>
      </w:r>
      <w:r>
        <w:rPr>
          <w:i/>
          <w:iCs/>
        </w:rPr>
        <w:t xml:space="preserve">et al.</w:t>
      </w:r>
      <w:r>
        <w:t xml:space="preserve">,</w:t>
      </w:r>
      <w:r>
        <w:t xml:space="preserve"> </w:t>
      </w:r>
      <w:r>
        <w:t xml:space="preserve">“RAGChecker: A fine-grained framework for diagnosing retrieval-augmented generation,”</w:t>
      </w:r>
      <w:r>
        <w:t xml:space="preserve"> </w:t>
      </w:r>
      <w:r>
        <w:t xml:space="preserve">in</w:t>
      </w:r>
      <w:r>
        <w:t xml:space="preserve"> </w:t>
      </w:r>
      <w:r>
        <w:rPr>
          <w:i/>
          <w:iCs/>
        </w:rPr>
        <w:t xml:space="preserve">Proc. NeurIPS Datasets and Benchmarks</w:t>
      </w:r>
      <w:r>
        <w:t xml:space="preserve">, 2024, doi: 10.52202/079017-0692.</w:t>
      </w:r>
    </w:p>
    <w:p>
      <w:pPr>
        <w:pStyle w:val="BodyText"/>
      </w:pPr>
      <w:r>
        <w:t xml:space="preserve">L. Deleger</w:t>
      </w:r>
      <w:r>
        <w:t xml:space="preserve"> </w:t>
      </w:r>
      <w:r>
        <w:rPr>
          <w:i/>
          <w:iCs/>
        </w:rPr>
        <w:t xml:space="preserve">et al.</w:t>
      </w:r>
      <w:r>
        <w:t xml:space="preserve">,</w:t>
      </w:r>
      <w:r>
        <w:t xml:space="preserve"> </w:t>
      </w:r>
      <w:r>
        <w:t xml:space="preserve">“Building gold standard corpora for medical natural language processing tasks,”</w:t>
      </w:r>
      <w:r>
        <w:t xml:space="preserve"> </w:t>
      </w:r>
      <w:r>
        <w:rPr>
          <w:i/>
          <w:iCs/>
        </w:rPr>
        <w:t xml:space="preserve">AMIA Annual Symposium Proceedings</w:t>
      </w:r>
      <w:r>
        <w:t xml:space="preserve">, vol. 2012, pp. 144–153, 2012.</w:t>
      </w:r>
    </w:p>
    <w:p>
      <w:pPr>
        <w:pStyle w:val="BodyText"/>
      </w:pPr>
      <w:r>
        <w:t xml:space="preserve">A. Stubbs, C. Kotfila, H. Xu, and O. Uzuner,</w:t>
      </w:r>
      <w:r>
        <w:t xml:space="preserve"> </w:t>
      </w:r>
      <w:r>
        <w:t xml:space="preserve">“Identifying risk factors for heart disease over time: Overview of 2014 i2b2/UTHealth shared task Track 2,”</w:t>
      </w:r>
      <w:r>
        <w:t xml:space="preserve"> </w:t>
      </w:r>
      <w:r>
        <w:rPr>
          <w:i/>
          <w:iCs/>
        </w:rPr>
        <w:t xml:space="preserve">Journal of Biomedical Informatics</w:t>
      </w:r>
      <w:r>
        <w:t xml:space="preserve">, vol. 58, Suppl., pp. S67–S77, 2015, doi: 10.1016/j.jbi.2015.07.001.</w:t>
      </w:r>
    </w:p>
    <w:p>
      <w:pPr>
        <w:pStyle w:val="BodyText"/>
      </w:pPr>
      <w:r>
        <w:t xml:space="preserve">A. Stubbs and O. Uzuner,</w:t>
      </w:r>
      <w:r>
        <w:t xml:space="preserve"> </w:t>
      </w:r>
      <w:r>
        <w:t xml:space="preserve">“Annotating risk factors for heart disease in clinical narratives for diabetic patients,”</w:t>
      </w:r>
      <w:r>
        <w:t xml:space="preserve"> </w:t>
      </w:r>
      <w:r>
        <w:rPr>
          <w:i/>
          <w:iCs/>
        </w:rPr>
        <w:t xml:space="preserve">Journal of Biomedical Informatics</w:t>
      </w:r>
      <w:r>
        <w:t xml:space="preserve">, vol. 58, Suppl., pp. S78–S91, 2015, doi: 10.1016/j.jbi.2015.05.009.</w:t>
      </w:r>
    </w:p>
    <w:p>
      <w:pPr>
        <w:pStyle w:val="BodyText"/>
      </w:pPr>
      <w:r>
        <w:t xml:space="preserve">A. Neveol, R. Islamaj Dogan, and Z. Lu,</w:t>
      </w:r>
      <w:r>
        <w:t xml:space="preserve"> </w:t>
      </w:r>
      <w:r>
        <w:t xml:space="preserve">“Semi-automatic semantic annotation of PubMed queries: A study on quality, efficiency, satisfaction,”</w:t>
      </w:r>
      <w:r>
        <w:t xml:space="preserve"> </w:t>
      </w:r>
      <w:r>
        <w:rPr>
          <w:i/>
          <w:iCs/>
        </w:rPr>
        <w:t xml:space="preserve">Journal of Biomedical Informatics</w:t>
      </w:r>
      <w:r>
        <w:t xml:space="preserve">, vol. 44, no. 2, pp. 310–318, 2011, doi: 10.1016/j.jbi.2010.11.001.</w:t>
      </w:r>
    </w:p>
    <w:p>
      <w:pPr>
        <w:pStyle w:val="BodyText"/>
      </w:pPr>
      <w:r>
        <w:t xml:space="preserve">M. Tkachenko, M. Malyuk, A. Holmanyuk, and N. Liubimov,</w:t>
      </w:r>
      <w:r>
        <w:t xml:space="preserve"> </w:t>
      </w:r>
      <w:r>
        <w:t xml:space="preserve">“Label Studio: Data labeling software,”</w:t>
      </w:r>
      <w:r>
        <w:t xml:space="preserve"> </w:t>
      </w:r>
      <w:r>
        <w:t xml:space="preserve">2020–2025. [Online]. Available:</w:t>
      </w:r>
      <w:r>
        <w:t xml:space="preserve"> </w:t>
      </w:r>
      <w:hyperlink r:id="rId152">
        <w:r>
          <w:rPr>
            <w:rStyle w:val="Hyperlink"/>
          </w:rPr>
          <w:t xml:space="preserve">https://github.com/HumanSignal/label-studio</w:t>
        </w:r>
      </w:hyperlink>
    </w:p>
    <w:p>
      <w:pPr>
        <w:pStyle w:val="BodyText"/>
      </w:pPr>
      <w:r>
        <w:t xml:space="preserve">R. C. Martin,</w:t>
      </w:r>
      <w:r>
        <w:t xml:space="preserve"> </w:t>
      </w:r>
      <w:r>
        <w:rPr>
          <w:i/>
          <w:iCs/>
        </w:rPr>
        <w:t xml:space="preserve">Clean Architecture: A Craftsman’s Guide to Software Structure and Design</w:t>
      </w:r>
      <w:r>
        <w:t xml:space="preserve">. Boston, MA, USA: Pearson, 2018.</w:t>
      </w:r>
    </w:p>
    <w:p>
      <w:pPr>
        <w:pStyle w:val="BodyText"/>
      </w:pPr>
      <w:r>
        <w:t xml:space="preserve">A. Cockburn,</w:t>
      </w:r>
      <w:r>
        <w:t xml:space="preserve"> </w:t>
      </w:r>
      <w:r>
        <w:t xml:space="preserve">“Hexagonal architecture: The original 2005 article,”</w:t>
      </w:r>
      <w:r>
        <w:t xml:space="preserve"> </w:t>
      </w:r>
      <w:r>
        <w:t xml:space="preserve">2005. [Online]. Available:</w:t>
      </w:r>
      <w:r>
        <w:t xml:space="preserve"> </w:t>
      </w:r>
      <w:hyperlink r:id="rId153">
        <w:r>
          <w:rPr>
            <w:rStyle w:val="Hyperlink"/>
          </w:rPr>
          <w:t xml:space="preserve">https://alistair.cockburn.us/hexagonal-architecture/</w:t>
        </w:r>
      </w:hyperlink>
    </w:p>
    <w:p>
      <w:pPr>
        <w:pStyle w:val="BodyText"/>
      </w:pPr>
      <w:r>
        <w:t xml:space="preserve">Qdrant,</w:t>
      </w:r>
      <w:r>
        <w:t xml:space="preserve"> </w:t>
      </w:r>
      <w:r>
        <w:t xml:space="preserve">“Collections,”</w:t>
      </w:r>
      <w:r>
        <w:t xml:space="preserve"> </w:t>
      </w:r>
      <w:r>
        <w:rPr>
          <w:i/>
          <w:iCs/>
        </w:rPr>
        <w:t xml:space="preserve">Qdrant Documentation</w:t>
      </w:r>
      <w:r>
        <w:t xml:space="preserve">. [Online]. Available:</w:t>
      </w:r>
      <w:r>
        <w:t xml:space="preserve"> </w:t>
      </w:r>
      <w:hyperlink r:id="rId154">
        <w:r>
          <w:rPr>
            <w:rStyle w:val="Hyperlink"/>
          </w:rPr>
          <w:t xml:space="preserve">https://qdrant.tech/documentation/manage-data/collections/</w:t>
        </w:r>
      </w:hyperlink>
      <w:r>
        <w:t xml:space="preserve">. Accessed: May 23, 2026.</w:t>
      </w:r>
    </w:p>
    <w:p>
      <w:pPr>
        <w:pStyle w:val="BodyText"/>
      </w:pPr>
      <w:r>
        <w:t xml:space="preserve">Ollama,</w:t>
      </w:r>
      <w:r>
        <w:t xml:space="preserve"> </w:t>
      </w:r>
      <w:r>
        <w:t xml:space="preserve">“Introduction,”</w:t>
      </w:r>
      <w:r>
        <w:t xml:space="preserve"> </w:t>
      </w:r>
      <w:r>
        <w:rPr>
          <w:i/>
          <w:iCs/>
        </w:rPr>
        <w:t xml:space="preserve">Ollama API Documentation</w:t>
      </w:r>
      <w:r>
        <w:t xml:space="preserve">. [Online]. Available:</w:t>
      </w:r>
      <w:r>
        <w:t xml:space="preserve"> </w:t>
      </w:r>
      <w:hyperlink r:id="rId155">
        <w:r>
          <w:rPr>
            <w:rStyle w:val="Hyperlink"/>
          </w:rPr>
          <w:t xml:space="preserve">https://docs.ollama.com/api/introduction</w:t>
        </w:r>
      </w:hyperlink>
      <w:r>
        <w:t xml:space="preserve">. Accessed: May 23, 2026.</w:t>
      </w:r>
    </w:p>
    <w:p>
      <w:pPr>
        <w:pStyle w:val="BodyText"/>
      </w:pPr>
      <w:r>
        <w:t xml:space="preserve">G. V. Cormack, C. L. A. Clarke, and S. Buettcher,</w:t>
      </w:r>
      <w:r>
        <w:t xml:space="preserve"> </w:t>
      </w:r>
      <w:r>
        <w:t xml:space="preserve">“Reciprocal rank fusion outperforms Condorcet and individual rank learning methods,”</w:t>
      </w:r>
      <w:r>
        <w:t xml:space="preserve"> </w:t>
      </w:r>
      <w:r>
        <w:t xml:space="preserve">in</w:t>
      </w:r>
      <w:r>
        <w:t xml:space="preserve"> </w:t>
      </w:r>
      <w:r>
        <w:rPr>
          <w:i/>
          <w:iCs/>
        </w:rPr>
        <w:t xml:space="preserve">Proc. SIGIR</w:t>
      </w:r>
      <w:r>
        <w:t xml:space="preserve">, 2009, pp. 758–759, doi: 10.1145/1571941.1572114.</w:t>
      </w:r>
    </w:p>
    <w:p>
      <w:pPr>
        <w:pStyle w:val="BodyText"/>
      </w:pPr>
      <w:r>
        <w:t xml:space="preserve">pytest,</w:t>
      </w:r>
      <w:r>
        <w:t xml:space="preserve"> </w:t>
      </w:r>
      <w:r>
        <w:t xml:space="preserve">“Full pytest documentation,”</w:t>
      </w:r>
      <w:r>
        <w:t xml:space="preserve"> </w:t>
      </w:r>
      <w:r>
        <w:rPr>
          <w:i/>
          <w:iCs/>
        </w:rPr>
        <w:t xml:space="preserve">pytest Documentation</w:t>
      </w:r>
      <w:r>
        <w:t xml:space="preserve">. [Online]. Available:</w:t>
      </w:r>
      <w:r>
        <w:t xml:space="preserve"> </w:t>
      </w:r>
      <w:hyperlink r:id="rId156">
        <w:r>
          <w:rPr>
            <w:rStyle w:val="Hyperlink"/>
          </w:rPr>
          <w:t xml:space="preserve">https://docs.pytest.org/en/stable/</w:t>
        </w:r>
      </w:hyperlink>
      <w:r>
        <w:t xml:space="preserve">. Accessed: Jun. 1, 2026.</w:t>
      </w:r>
    </w:p>
    <w:p>
      <w:pPr>
        <w:pStyle w:val="BodyText"/>
      </w:pPr>
      <w:r>
        <w:t xml:space="preserve">Docker Inc.,</w:t>
      </w:r>
      <w:r>
        <w:t xml:space="preserve"> </w:t>
      </w:r>
      <w:r>
        <w:t xml:space="preserve">“Docker Compose,”</w:t>
      </w:r>
      <w:r>
        <w:t xml:space="preserve"> </w:t>
      </w:r>
      <w:r>
        <w:rPr>
          <w:i/>
          <w:iCs/>
        </w:rPr>
        <w:t xml:space="preserve">Docker Documentation</w:t>
      </w:r>
      <w:r>
        <w:t xml:space="preserve">. [Online]. Available:</w:t>
      </w:r>
      <w:r>
        <w:t xml:space="preserve"> </w:t>
      </w:r>
      <w:hyperlink r:id="rId157">
        <w:r>
          <w:rPr>
            <w:rStyle w:val="Hyperlink"/>
          </w:rPr>
          <w:t xml:space="preserve">https://docs.docker.com/compose/</w:t>
        </w:r>
      </w:hyperlink>
      <w:r>
        <w:t xml:space="preserve">. Accessed: Jun. 1, 2026.</w:t>
      </w:r>
    </w:p>
    <w:p>
      <w:pPr>
        <w:pStyle w:val="BodyText"/>
      </w:pPr>
      <w:r>
        <w:t xml:space="preserve">G. Meszaros,</w:t>
      </w:r>
      <w:r>
        <w:t xml:space="preserve"> </w:t>
      </w:r>
      <w:r>
        <w:rPr>
          <w:i/>
          <w:iCs/>
        </w:rPr>
        <w:t xml:space="preserve">xUnit Test Patterns: Refactoring Test Code</w:t>
      </w:r>
      <w:r>
        <w:t xml:space="preserve">. Boston, MA, USA: Addison-Wesley, 2007.</w:t>
      </w:r>
    </w:p>
    <w:p>
      <w:pPr>
        <w:pStyle w:val="BodyText"/>
      </w:pPr>
      <w:r>
        <w:t xml:space="preserve">Python Software Foundation,</w:t>
      </w:r>
      <w:r>
        <w:t xml:space="preserve"> </w:t>
      </w:r>
      <w:r>
        <w:t xml:space="preserve">“unittest—Unit testing framework,”</w:t>
      </w:r>
      <w:r>
        <w:t xml:space="preserve"> </w:t>
      </w:r>
      <w:r>
        <w:rPr>
          <w:i/>
          <w:iCs/>
        </w:rPr>
        <w:t xml:space="preserve">Python 3.14 Documentation</w:t>
      </w:r>
      <w:r>
        <w:t xml:space="preserve">. [Online]. Available:</w:t>
      </w:r>
      <w:r>
        <w:t xml:space="preserve"> </w:t>
      </w:r>
      <w:hyperlink r:id="rId158">
        <w:r>
          <w:rPr>
            <w:rStyle w:val="Hyperlink"/>
          </w:rPr>
          <w:t xml:space="preserve">https://docs.python.org/3/library/unittest.html</w:t>
        </w:r>
      </w:hyperlink>
      <w:r>
        <w:t xml:space="preserve">. Accessed: Jun. 1, 2026.</w:t>
      </w:r>
    </w:p>
    <w:p>
      <w:pPr>
        <w:pStyle w:val="BodyText"/>
      </w:pPr>
      <w:r>
        <w:t xml:space="preserve">Python Software Foundation,</w:t>
      </w:r>
      <w:r>
        <w:t xml:space="preserve"> </w:t>
      </w:r>
      <w:r>
        <w:t xml:space="preserve">“unittest.mock—mock object library,”</w:t>
      </w:r>
      <w:r>
        <w:t xml:space="preserve"> </w:t>
      </w:r>
      <w:r>
        <w:rPr>
          <w:i/>
          <w:iCs/>
        </w:rPr>
        <w:t xml:space="preserve">Python 3.14 Documentation</w:t>
      </w:r>
      <w:r>
        <w:t xml:space="preserve">. [Online]. Available:</w:t>
      </w:r>
      <w:r>
        <w:t xml:space="preserve"> </w:t>
      </w:r>
      <w:hyperlink r:id="rId159">
        <w:r>
          <w:rPr>
            <w:rStyle w:val="Hyperlink"/>
          </w:rPr>
          <w:t xml:space="preserve">https://docs.python.org/3/library/unittest.mock.html</w:t>
        </w:r>
      </w:hyperlink>
      <w:r>
        <w:t xml:space="preserve">. Accessed: Jun. 1, 2026.</w:t>
      </w:r>
    </w:p>
    <w:p>
      <w:pPr>
        <w:pStyle w:val="BodyText"/>
      </w:pPr>
      <w:r>
        <w:t xml:space="preserve">International Software Testing Qualifications Board,</w:t>
      </w:r>
      <w:r>
        <w:t xml:space="preserve"> </w:t>
      </w:r>
      <w:r>
        <w:rPr>
          <w:i/>
          <w:iCs/>
        </w:rPr>
        <w:t xml:space="preserve">Certified Tester Foundation Level Syllabus</w:t>
      </w:r>
      <w:r>
        <w:t xml:space="preserve">, version 4.0.1, 2024. [Online]. Available:</w:t>
      </w:r>
      <w:r>
        <w:t xml:space="preserve"> </w:t>
      </w:r>
      <w:hyperlink r:id="rId160">
        <w:r>
          <w:rPr>
            <w:rStyle w:val="Hyperlink"/>
          </w:rPr>
          <w:t xml:space="preserve">https://istqb.org/wp-content/uploads/2024/11/ISTQB_CTFL_Syllabus_v4.0.1.pdf</w:t>
        </w:r>
      </w:hyperlink>
    </w:p>
    <w:p>
      <w:pPr>
        <w:pStyle w:val="BodyText"/>
      </w:pPr>
      <w:r>
        <w:t xml:space="preserve">FastAPI,</w:t>
      </w:r>
      <w:r>
        <w:t xml:space="preserve"> </w:t>
      </w:r>
      <w:r>
        <w:t xml:space="preserve">“FastAPI,”</w:t>
      </w:r>
      <w:r>
        <w:t xml:space="preserve"> </w:t>
      </w:r>
      <w:r>
        <w:rPr>
          <w:i/>
          <w:iCs/>
        </w:rPr>
        <w:t xml:space="preserve">FastAPI Documentation</w:t>
      </w:r>
      <w:r>
        <w:t xml:space="preserve">. [Online]. Available:</w:t>
      </w:r>
      <w:r>
        <w:t xml:space="preserve"> </w:t>
      </w:r>
      <w:hyperlink r:id="rId161">
        <w:r>
          <w:rPr>
            <w:rStyle w:val="Hyperlink"/>
          </w:rPr>
          <w:t xml:space="preserve">https://fastapi.tiangolo.com/</w:t>
        </w:r>
      </w:hyperlink>
      <w:r>
        <w:t xml:space="preserve">. Accessed: Jun. 1, 2026.</w:t>
      </w:r>
    </w:p>
    <w:p>
      <w:pPr>
        <w:pStyle w:val="BodyText"/>
      </w:pPr>
      <w:r>
        <w:t xml:space="preserve">SQLAlchemy,</w:t>
      </w:r>
      <w:r>
        <w:t xml:space="preserve"> </w:t>
      </w:r>
      <w:r>
        <w:t xml:space="preserve">“SQLAlchemy 2.0 documentation,”</w:t>
      </w:r>
      <w:r>
        <w:t xml:space="preserve"> </w:t>
      </w:r>
      <w:r>
        <w:rPr>
          <w:i/>
          <w:iCs/>
        </w:rPr>
        <w:t xml:space="preserve">SQLAlchemy Documentation</w:t>
      </w:r>
      <w:r>
        <w:t xml:space="preserve">. [Online]. Available:</w:t>
      </w:r>
      <w:r>
        <w:t xml:space="preserve"> </w:t>
      </w:r>
      <w:hyperlink r:id="rId162">
        <w:r>
          <w:rPr>
            <w:rStyle w:val="Hyperlink"/>
          </w:rPr>
          <w:t xml:space="preserve">https://docs.sqlalchemy.org/20/</w:t>
        </w:r>
      </w:hyperlink>
      <w:r>
        <w:t xml:space="preserve">. Accessed: Jun. 1, 2026.</w:t>
      </w:r>
    </w:p>
    <w:p>
      <w:pPr>
        <w:pStyle w:val="BodyText"/>
      </w:pPr>
      <w:r>
        <w:t xml:space="preserve">The PostgreSQL Global Development Group,</w:t>
      </w:r>
      <w:r>
        <w:t xml:space="preserve"> </w:t>
      </w:r>
      <w:r>
        <w:rPr>
          <w:i/>
          <w:iCs/>
        </w:rPr>
        <w:t xml:space="preserve">PostgreSQL 17 Documentation</w:t>
      </w:r>
      <w:r>
        <w:t xml:space="preserve">. [Online]. Available:</w:t>
      </w:r>
      <w:r>
        <w:t xml:space="preserve"> </w:t>
      </w:r>
      <w:hyperlink r:id="rId163">
        <w:r>
          <w:rPr>
            <w:rStyle w:val="Hyperlink"/>
          </w:rPr>
          <w:t xml:space="preserve">https://www.postgresql.org/docs/17/</w:t>
        </w:r>
      </w:hyperlink>
      <w:r>
        <w:t xml:space="preserve">. Accessed: Jun. 1, 2026.</w:t>
      </w:r>
    </w:p>
    <w:p>
      <w:pPr>
        <w:pStyle w:val="BodyText"/>
      </w:pPr>
      <w:r>
        <w:t xml:space="preserve">D. North,</w:t>
      </w:r>
      <w:r>
        <w:t xml:space="preserve"> </w:t>
      </w:r>
      <w:r>
        <w:t xml:space="preserve">“Introducing BDD,”</w:t>
      </w:r>
      <w:r>
        <w:t xml:space="preserve"> </w:t>
      </w:r>
      <w:r>
        <w:t xml:space="preserve">2006. [Online]. Available:</w:t>
      </w:r>
      <w:r>
        <w:t xml:space="preserve"> </w:t>
      </w:r>
      <w:hyperlink r:id="rId164">
        <w:r>
          <w:rPr>
            <w:rStyle w:val="Hyperlink"/>
          </w:rPr>
          <w:t xml:space="preserve">https://dannorth.net/blog/introducing-bdd/</w:t>
        </w:r>
      </w:hyperlink>
    </w:p>
    <w:p>
      <w:pPr>
        <w:pStyle w:val="BodyText"/>
      </w:pPr>
      <w:r>
        <w:t xml:space="preserve">pytest-bdd,</w:t>
      </w:r>
      <w:r>
        <w:t xml:space="preserve"> </w:t>
      </w:r>
      <w:r>
        <w:t xml:space="preserve">“pytest-bdd: The BDD framework for pytest,”</w:t>
      </w:r>
      <w:r>
        <w:t xml:space="preserve"> </w:t>
      </w:r>
      <w:r>
        <w:rPr>
          <w:i/>
          <w:iCs/>
        </w:rPr>
        <w:t xml:space="preserve">pytest-bdd Documentation</w:t>
      </w:r>
      <w:r>
        <w:t xml:space="preserve">. [Online]. Available:</w:t>
      </w:r>
      <w:r>
        <w:t xml:space="preserve"> </w:t>
      </w:r>
      <w:hyperlink r:id="rId165">
        <w:r>
          <w:rPr>
            <w:rStyle w:val="Hyperlink"/>
          </w:rPr>
          <w:t xml:space="preserve">https://pytest-bdd.readthedocs.io/en/latest/</w:t>
        </w:r>
      </w:hyperlink>
      <w:r>
        <w:t xml:space="preserve">. Accessed: Jun. 1, 2026.</w:t>
      </w:r>
    </w:p>
    <w:p>
      <w:pPr>
        <w:pStyle w:val="BodyText"/>
      </w:pPr>
      <w:r>
        <w:t xml:space="preserve">Cucumber,</w:t>
      </w:r>
      <w:r>
        <w:t xml:space="preserve"> </w:t>
      </w:r>
      <w:r>
        <w:t xml:space="preserve">“Gherkin reference,”</w:t>
      </w:r>
      <w:r>
        <w:t xml:space="preserve"> </w:t>
      </w:r>
      <w:r>
        <w:rPr>
          <w:i/>
          <w:iCs/>
        </w:rPr>
        <w:t xml:space="preserve">Cucumber Documentation</w:t>
      </w:r>
      <w:r>
        <w:t xml:space="preserve">. [Online]. Available:</w:t>
      </w:r>
      <w:r>
        <w:t xml:space="preserve"> </w:t>
      </w:r>
      <w:hyperlink r:id="rId166">
        <w:r>
          <w:rPr>
            <w:rStyle w:val="Hyperlink"/>
          </w:rPr>
          <w:t xml:space="preserve">https://cucumber.io/docs/gherkin/reference/</w:t>
        </w:r>
      </w:hyperlink>
      <w:r>
        <w:t xml:space="preserve">. Accessed: Jun. 1, 2026.</w:t>
      </w:r>
    </w:p>
    <w:p>
      <w:pPr>
        <w:pStyle w:val="BodyText"/>
      </w:pPr>
      <w:r>
        <w:t xml:space="preserve">M. Cohn,</w:t>
      </w:r>
      <w:r>
        <w:t xml:space="preserve"> </w:t>
      </w:r>
      <w:r>
        <w:rPr>
          <w:i/>
          <w:iCs/>
        </w:rPr>
        <w:t xml:space="preserve">Succeeding with Agile: Software Development Using Scrum</w:t>
      </w:r>
      <w:r>
        <w:t xml:space="preserve">. Boston, MA, USA: Addison-Wesley, 2009.</w:t>
      </w:r>
    </w:p>
    <w:p>
      <w:pPr>
        <w:pStyle w:val="BodyText"/>
      </w:pPr>
      <w:r>
        <w:t xml:space="preserve">O. Ben-Kiki, C. Evans, and I. Net,</w:t>
      </w:r>
      <w:r>
        <w:t xml:space="preserve"> </w:t>
      </w:r>
      <w:r>
        <w:t xml:space="preserve">“YAML Ain’t Markup Language (YAML) version 1.2.2,”</w:t>
      </w:r>
      <w:r>
        <w:t xml:space="preserve"> </w:t>
      </w:r>
      <w:r>
        <w:t xml:space="preserve">YAML Language Development Team, Oct. 1, 2021. [Online]. Available:</w:t>
      </w:r>
      <w:r>
        <w:t xml:space="preserve"> </w:t>
      </w:r>
      <w:hyperlink r:id="rId167">
        <w:r>
          <w:rPr>
            <w:rStyle w:val="Hyperlink"/>
          </w:rPr>
          <w:t xml:space="preserve">https://yaml.org/spec/1.2.2/</w:t>
        </w:r>
      </w:hyperlink>
    </w:p>
    <w:p>
      <w:pPr>
        <w:pStyle w:val="BodyText"/>
      </w:pPr>
      <w:r>
        <w:t xml:space="preserve">A. Vaid</w:t>
      </w:r>
      <w:r>
        <w:t xml:space="preserve"> </w:t>
      </w:r>
      <w:r>
        <w:rPr>
          <w:i/>
          <w:iCs/>
        </w:rPr>
        <w:t xml:space="preserve">et al.</w:t>
      </w:r>
      <w:r>
        <w:t xml:space="preserve">,</w:t>
      </w:r>
      <w:r>
        <w:t xml:space="preserve"> </w:t>
      </w:r>
      <w:r>
        <w:t xml:space="preserve">“Local large language models for privacy-preserving accelerated review of historic echocardiogram reports,”</w:t>
      </w:r>
      <w:r>
        <w:t xml:space="preserve"> </w:t>
      </w:r>
      <w:r>
        <w:rPr>
          <w:i/>
          <w:iCs/>
        </w:rPr>
        <w:t xml:space="preserve">Journal of the American Medical Informatics Association</w:t>
      </w:r>
      <w:r>
        <w:t xml:space="preserve">, vol. 31, no. 9, pp. 2097–2102, 2024, doi: 10.1093/jamia/ocae085.</w:t>
      </w:r>
    </w:p>
    <w:p>
      <w:pPr>
        <w:pStyle w:val="BodyText"/>
      </w:pPr>
      <w:r>
        <w:t xml:space="preserve">I. C. Wiest</w:t>
      </w:r>
      <w:r>
        <w:t xml:space="preserve"> </w:t>
      </w:r>
      <w:r>
        <w:rPr>
          <w:i/>
          <w:iCs/>
        </w:rPr>
        <w:t xml:space="preserve">et al.</w:t>
      </w:r>
      <w:r>
        <w:t xml:space="preserve">,</w:t>
      </w:r>
      <w:r>
        <w:t xml:space="preserve"> </w:t>
      </w:r>
      <w:r>
        <w:t xml:space="preserve">“Privacy-preserving large language models for structured medical information retrieval,”</w:t>
      </w:r>
      <w:r>
        <w:t xml:space="preserve"> </w:t>
      </w:r>
      <w:r>
        <w:rPr>
          <w:i/>
          <w:iCs/>
        </w:rPr>
        <w:t xml:space="preserve">npj Digital Medicine</w:t>
      </w:r>
      <w:r>
        <w:t xml:space="preserve">, vol. 7, Art. no. 257, 2024, doi: 10.1038/s41746-024-01233-2.</w:t>
      </w:r>
    </w:p>
    <w:p>
      <w:pPr>
        <w:pStyle w:val="BodyText"/>
      </w:pPr>
      <w:r>
        <w:t xml:space="preserve">A. J. Thirunavukarasu</w:t>
      </w:r>
      <w:r>
        <w:t xml:space="preserve"> </w:t>
      </w:r>
      <w:r>
        <w:rPr>
          <w:i/>
          <w:iCs/>
        </w:rPr>
        <w:t xml:space="preserve">et al.</w:t>
      </w:r>
      <w:r>
        <w:t xml:space="preserve">,</w:t>
      </w:r>
      <w:r>
        <w:t xml:space="preserve"> </w:t>
      </w:r>
      <w:r>
        <w:t xml:space="preserve">“Large language models in medicine,”</w:t>
      </w:r>
      <w:r>
        <w:t xml:space="preserve"> </w:t>
      </w:r>
      <w:r>
        <w:rPr>
          <w:i/>
          <w:iCs/>
        </w:rPr>
        <w:t xml:space="preserve">Nature Medicine</w:t>
      </w:r>
      <w:r>
        <w:t xml:space="preserve">, vol. 29, pp. 1930–1940, 2023, doi: 10.1038/s41591-023-02448-8.</w:t>
      </w:r>
    </w:p>
    <w:p>
      <w:pPr>
        <w:pStyle w:val="BodyText"/>
      </w:pPr>
      <w:r>
        <w:t xml:space="preserve">L. Riedemann, M. Labonne, and S. Gilbert,</w:t>
      </w:r>
      <w:r>
        <w:t xml:space="preserve"> </w:t>
      </w:r>
      <w:r>
        <w:t xml:space="preserve">“The path forward for large language models in medicine is open,”</w:t>
      </w:r>
      <w:r>
        <w:t xml:space="preserve"> </w:t>
      </w:r>
      <w:r>
        <w:rPr>
          <w:i/>
          <w:iCs/>
        </w:rPr>
        <w:t xml:space="preserve">npj Digital Medicine</w:t>
      </w:r>
      <w:r>
        <w:t xml:space="preserve">, vol. 7, Art. no. 339, 2024, doi: 10.1038/s41746-024-01344-w.</w:t>
      </w:r>
    </w:p>
    <w:p>
      <w:pPr>
        <w:pStyle w:val="BodyText"/>
      </w:pPr>
      <w:r>
        <w:t xml:space="preserve">A. Dubey</w:t>
      </w:r>
      <w:r>
        <w:t xml:space="preserve"> </w:t>
      </w:r>
      <w:r>
        <w:rPr>
          <w:i/>
          <w:iCs/>
        </w:rPr>
        <w:t xml:space="preserve">et al.</w:t>
      </w:r>
      <w:r>
        <w:t xml:space="preserve">,</w:t>
      </w:r>
      <w:r>
        <w:t xml:space="preserve"> </w:t>
      </w:r>
      <w:r>
        <w:t xml:space="preserve">“The Llama 3 herd of models,”</w:t>
      </w:r>
      <w:r>
        <w:t xml:space="preserve"> </w:t>
      </w:r>
      <w:r>
        <w:rPr>
          <w:i/>
          <w:iCs/>
        </w:rPr>
        <w:t xml:space="preserve">arXiv preprint arXiv:2407.21783</w:t>
      </w:r>
      <w:r>
        <w:t xml:space="preserve">, 2024. [Online]. Available:</w:t>
      </w:r>
      <w:r>
        <w:t xml:space="preserve"> </w:t>
      </w:r>
      <w:hyperlink r:id="rId168">
        <w:r>
          <w:rPr>
            <w:rStyle w:val="Hyperlink"/>
          </w:rPr>
          <w:t xml:space="preserve">https://arxiv.org/abs/2407.21783</w:t>
        </w:r>
      </w:hyperlink>
    </w:p>
    <w:p>
      <w:pPr>
        <w:pStyle w:val="BodyText"/>
      </w:pPr>
      <w:r>
        <w:t xml:space="preserve">N. Carlini</w:t>
      </w:r>
      <w:r>
        <w:t xml:space="preserve"> </w:t>
      </w:r>
      <w:r>
        <w:rPr>
          <w:i/>
          <w:iCs/>
        </w:rPr>
        <w:t xml:space="preserve">et al.</w:t>
      </w:r>
      <w:r>
        <w:t xml:space="preserve">,</w:t>
      </w:r>
      <w:r>
        <w:t xml:space="preserve"> </w:t>
      </w:r>
      <w:r>
        <w:t xml:space="preserve">“Extracting training data from large language models,”</w:t>
      </w:r>
      <w:r>
        <w:t xml:space="preserve"> </w:t>
      </w:r>
      <w:r>
        <w:t xml:space="preserve">in</w:t>
      </w:r>
      <w:r>
        <w:t xml:space="preserve"> </w:t>
      </w:r>
      <w:r>
        <w:rPr>
          <w:i/>
          <w:iCs/>
        </w:rPr>
        <w:t xml:space="preserve">Proc. 30th USENIX Security Symposium</w:t>
      </w:r>
      <w:r>
        <w:t xml:space="preserve">, 2021, pp. 2633–2650. [Online]. Available:</w:t>
      </w:r>
      <w:r>
        <w:t xml:space="preserve"> </w:t>
      </w:r>
      <w:hyperlink r:id="rId169">
        <w:r>
          <w:rPr>
            <w:rStyle w:val="Hyperlink"/>
          </w:rPr>
          <w:t xml:space="preserve">https://www.usenix.org/conference/usenixsecurity21/presentation/carlini-extracting</w:t>
        </w:r>
      </w:hyperlink>
    </w:p>
    <w:bookmarkEnd w:id="170"/>
    <w:bookmarkEnd w:id="171"/>
    <w:bookmarkEnd w:id="17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33" Target="media/rId33.pdf" /><Relationship Type="http://schemas.openxmlformats.org/officeDocument/2006/relationships/image" Id="rId12" Target="media/rId12.jpg" /><Relationship Type="http://schemas.openxmlformats.org/officeDocument/2006/relationships/image" Id="rId9" Target="media/rId9.jpg" /><Relationship Type="http://schemas.openxmlformats.org/officeDocument/2006/relationships/image" Id="rId102" Target="media/rId102.pdf" /><Relationship Type="http://schemas.openxmlformats.org/officeDocument/2006/relationships/image" Id="rId96" Target="media/rId96.pdf" /><Relationship Type="http://schemas.openxmlformats.org/officeDocument/2006/relationships/hyperlink" Id="rId153" Target="https://alistair.cockburn.us/hexagonal-architecture/" TargetMode="External" /><Relationship Type="http://schemas.openxmlformats.org/officeDocument/2006/relationships/hyperlink" Id="rId150" Target="https://arxiv.org/abs/2005.11401" TargetMode="External" /><Relationship Type="http://schemas.openxmlformats.org/officeDocument/2006/relationships/hyperlink" Id="rId151" Target="https://arxiv.org/abs/2104.08663" TargetMode="External" /><Relationship Type="http://schemas.openxmlformats.org/officeDocument/2006/relationships/hyperlink" Id="rId168" Target="https://arxiv.org/abs/2407.21783" TargetMode="External" /><Relationship Type="http://schemas.openxmlformats.org/officeDocument/2006/relationships/hyperlink" Id="rId166" Target="https://cucumber.io/docs/gherkin/reference/" TargetMode="External" /><Relationship Type="http://schemas.openxmlformats.org/officeDocument/2006/relationships/hyperlink" Id="rId164" Target="https://dannorth.net/blog/introducing-bdd/" TargetMode="External" /><Relationship Type="http://schemas.openxmlformats.org/officeDocument/2006/relationships/hyperlink" Id="rId157" Target="https://docs.docker.com/compose/" TargetMode="External" /><Relationship Type="http://schemas.openxmlformats.org/officeDocument/2006/relationships/hyperlink" Id="rId155" Target="https://docs.ollama.com/api/introduction" TargetMode="External" /><Relationship Type="http://schemas.openxmlformats.org/officeDocument/2006/relationships/hyperlink" Id="rId156" Target="https://docs.pytest.org/en/stable/" TargetMode="External" /><Relationship Type="http://schemas.openxmlformats.org/officeDocument/2006/relationships/hyperlink" Id="rId158" Target="https://docs.python.org/3/library/unittest.html" TargetMode="External" /><Relationship Type="http://schemas.openxmlformats.org/officeDocument/2006/relationships/hyperlink" Id="rId159" Target="https://docs.python.org/3/library/unittest.mock.html" TargetMode="External" /><Relationship Type="http://schemas.openxmlformats.org/officeDocument/2006/relationships/hyperlink" Id="rId162" Target="https://docs.sqlalchemy.org/20/" TargetMode="External" /><Relationship Type="http://schemas.openxmlformats.org/officeDocument/2006/relationships/hyperlink" Id="rId161" Target="https://fastapi.tiangolo.com/" TargetMode="External" /><Relationship Type="http://schemas.openxmlformats.org/officeDocument/2006/relationships/hyperlink" Id="rId152" Target="https://github.com/HumanSignal/label-studio" TargetMode="External" /><Relationship Type="http://schemas.openxmlformats.org/officeDocument/2006/relationships/hyperlink" Id="rId160" Target="https://istqb.org/wp-content/uploads/2024/11/ISTQB_CTFL_Syllabus_v4.0.1.pdf" TargetMode="External" /><Relationship Type="http://schemas.openxmlformats.org/officeDocument/2006/relationships/hyperlink" Id="rId165" Target="https://pytest-bdd.readthedocs.io/en/latest/" TargetMode="External" /><Relationship Type="http://schemas.openxmlformats.org/officeDocument/2006/relationships/hyperlink" Id="rId154" Target="https://qdrant.tech/documentation/manage-data/collections/" TargetMode="External" /><Relationship Type="http://schemas.openxmlformats.org/officeDocument/2006/relationships/hyperlink" Id="rId149" Target="https://www.ncbi.nlm.nih.gov/books/NBK25497/" TargetMode="External" /><Relationship Type="http://schemas.openxmlformats.org/officeDocument/2006/relationships/hyperlink" Id="rId163" Target="https://www.postgresql.org/docs/17/" TargetMode="External" /><Relationship Type="http://schemas.openxmlformats.org/officeDocument/2006/relationships/hyperlink" Id="rId169" Target="https://www.usenix.org/conference/usenixsecurity21/presentation/carlini-extracting" TargetMode="External" /><Relationship Type="http://schemas.openxmlformats.org/officeDocument/2006/relationships/hyperlink" Id="rId167" Target="https://yaml.org/spec/1.2.2/" TargetMode="External" /></Relationships>
</file>

<file path=word/_rels/footnotes.xml.rels><?xml version="1.0" encoding="UTF-8"?><Relationships xmlns="http://schemas.openxmlformats.org/package/2006/relationships"><Relationship Type="http://schemas.openxmlformats.org/officeDocument/2006/relationships/hyperlink" Id="rId153" Target="https://alistair.cockburn.us/hexagonal-architecture/" TargetMode="External" /><Relationship Type="http://schemas.openxmlformats.org/officeDocument/2006/relationships/hyperlink" Id="rId150" Target="https://arxiv.org/abs/2005.11401" TargetMode="External" /><Relationship Type="http://schemas.openxmlformats.org/officeDocument/2006/relationships/hyperlink" Id="rId151" Target="https://arxiv.org/abs/2104.08663" TargetMode="External" /><Relationship Type="http://schemas.openxmlformats.org/officeDocument/2006/relationships/hyperlink" Id="rId168" Target="https://arxiv.org/abs/2407.21783" TargetMode="External" /><Relationship Type="http://schemas.openxmlformats.org/officeDocument/2006/relationships/hyperlink" Id="rId166" Target="https://cucumber.io/docs/gherkin/reference/" TargetMode="External" /><Relationship Type="http://schemas.openxmlformats.org/officeDocument/2006/relationships/hyperlink" Id="rId164" Target="https://dannorth.net/blog/introducing-bdd/" TargetMode="External" /><Relationship Type="http://schemas.openxmlformats.org/officeDocument/2006/relationships/hyperlink" Id="rId157" Target="https://docs.docker.com/compose/" TargetMode="External" /><Relationship Type="http://schemas.openxmlformats.org/officeDocument/2006/relationships/hyperlink" Id="rId155" Target="https://docs.ollama.com/api/introduction" TargetMode="External" /><Relationship Type="http://schemas.openxmlformats.org/officeDocument/2006/relationships/hyperlink" Id="rId156" Target="https://docs.pytest.org/en/stable/" TargetMode="External" /><Relationship Type="http://schemas.openxmlformats.org/officeDocument/2006/relationships/hyperlink" Id="rId158" Target="https://docs.python.org/3/library/unittest.html" TargetMode="External" /><Relationship Type="http://schemas.openxmlformats.org/officeDocument/2006/relationships/hyperlink" Id="rId159" Target="https://docs.python.org/3/library/unittest.mock.html" TargetMode="External" /><Relationship Type="http://schemas.openxmlformats.org/officeDocument/2006/relationships/hyperlink" Id="rId162" Target="https://docs.sqlalchemy.org/20/" TargetMode="External" /><Relationship Type="http://schemas.openxmlformats.org/officeDocument/2006/relationships/hyperlink" Id="rId161" Target="https://fastapi.tiangolo.com/" TargetMode="External" /><Relationship Type="http://schemas.openxmlformats.org/officeDocument/2006/relationships/hyperlink" Id="rId152" Target="https://github.com/HumanSignal/label-studio" TargetMode="External" /><Relationship Type="http://schemas.openxmlformats.org/officeDocument/2006/relationships/hyperlink" Id="rId160" Target="https://istqb.org/wp-content/uploads/2024/11/ISTQB_CTFL_Syllabus_v4.0.1.pdf" TargetMode="External" /><Relationship Type="http://schemas.openxmlformats.org/officeDocument/2006/relationships/hyperlink" Id="rId165" Target="https://pytest-bdd.readthedocs.io/en/latest/" TargetMode="External" /><Relationship Type="http://schemas.openxmlformats.org/officeDocument/2006/relationships/hyperlink" Id="rId154" Target="https://qdrant.tech/documentation/manage-data/collections/" TargetMode="External" /><Relationship Type="http://schemas.openxmlformats.org/officeDocument/2006/relationships/hyperlink" Id="rId149" Target="https://www.ncbi.nlm.nih.gov/books/NBK25497/" TargetMode="External" /><Relationship Type="http://schemas.openxmlformats.org/officeDocument/2006/relationships/hyperlink" Id="rId163" Target="https://www.postgresql.org/docs/17/" TargetMode="External" /><Relationship Type="http://schemas.openxmlformats.org/officeDocument/2006/relationships/hyperlink" Id="rId169" Target="https://www.usenix.org/conference/usenixsecurity21/presentation/carlini-extracting" TargetMode="External" /><Relationship Type="http://schemas.openxmlformats.org/officeDocument/2006/relationships/hyperlink" Id="rId167" Target="https://yaml.org/spec/1.2.2/"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2026-06-17T17:13:57Z</dcterms:created>
  <dcterms:modified xsi:type="dcterms:W3CDTF">2026-06-17T17:13:57Z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references.bib</vt:lpwstr>
  </property>
</Properties>
</file>