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224" w:rsidRDefault="000502DA">
      <w:pPr>
        <w:keepNext/>
        <w:spacing w:before="240" w:after="6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353050" cy="1362075"/>
            <wp:effectExtent l="0" t="0" r="0" b="0"/>
            <wp:wrapSquare wrapText="bothSides" distT="0" distB="0" distL="114300" distR="114300"/>
            <wp:docPr id="2" name="image1.jpg" descr="IMG-20221221-WA0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G-20221221-WA0009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4224" w:rsidRDefault="00634224">
      <w:pPr>
        <w:keepNext/>
        <w:spacing w:before="240" w:after="6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1C04B8" w:rsidRDefault="001C04B8" w:rsidP="001C04B8">
      <w:pPr>
        <w:keepNext/>
        <w:spacing w:before="240" w:after="60" w:line="360" w:lineRule="auto"/>
        <w:rPr>
          <w:rFonts w:ascii="Arial" w:eastAsia="Arial" w:hAnsi="Arial" w:cs="Arial"/>
          <w:b/>
          <w:sz w:val="24"/>
          <w:szCs w:val="24"/>
        </w:rPr>
      </w:pPr>
    </w:p>
    <w:p w:rsidR="001C04B8" w:rsidRDefault="001C04B8" w:rsidP="001C04B8">
      <w:pPr>
        <w:keepNext/>
        <w:spacing w:before="240" w:after="60" w:line="360" w:lineRule="auto"/>
        <w:rPr>
          <w:rFonts w:ascii="Arial" w:eastAsia="Arial" w:hAnsi="Arial" w:cs="Arial"/>
          <w:b/>
          <w:sz w:val="24"/>
          <w:szCs w:val="24"/>
        </w:rPr>
      </w:pPr>
    </w:p>
    <w:p w:rsidR="00634224" w:rsidRDefault="000502DA" w:rsidP="001C04B8">
      <w:pPr>
        <w:keepNext/>
        <w:spacing w:before="240" w:after="6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EDUCATIONAL COMMUNICATION AND TECHNOLOGY</w:t>
      </w:r>
    </w:p>
    <w:p w:rsidR="00634224" w:rsidRDefault="000502DA">
      <w:pPr>
        <w:keepNext/>
        <w:spacing w:before="240" w:after="6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TERM 1 2023</w:t>
      </w:r>
    </w:p>
    <w:p w:rsidR="00634224" w:rsidRDefault="000502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Unit Code: </w:t>
      </w:r>
      <w:r>
        <w:rPr>
          <w:rFonts w:ascii="Arial" w:eastAsia="Arial" w:hAnsi="Arial" w:cs="Arial"/>
          <w:sz w:val="24"/>
          <w:szCs w:val="24"/>
        </w:rPr>
        <w:t>ED/CUR/TT/CR/18/Pro/A</w:t>
      </w:r>
    </w:p>
    <w:p w:rsidR="00634224" w:rsidRDefault="0063422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634224" w:rsidRDefault="000502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Duration of Unit:</w:t>
      </w:r>
      <w:r>
        <w:rPr>
          <w:rFonts w:ascii="Arial" w:eastAsia="Arial" w:hAnsi="Arial" w:cs="Arial"/>
          <w:sz w:val="24"/>
          <w:szCs w:val="24"/>
        </w:rPr>
        <w:t xml:space="preserve"> 44 hours</w:t>
      </w:r>
    </w:p>
    <w:p w:rsidR="00634224" w:rsidRDefault="00634224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:rsidR="00634224" w:rsidRDefault="000502D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Summary of Learning Outcomes</w:t>
      </w:r>
    </w:p>
    <w:p w:rsidR="00634224" w:rsidRDefault="000502D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Analyse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the concept of Educational Technology</w:t>
      </w:r>
    </w:p>
    <w:p w:rsidR="00634224" w:rsidRDefault="000502D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Analyse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instructional communication</w:t>
      </w:r>
    </w:p>
    <w:p w:rsidR="00634224" w:rsidRDefault="000502D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Plan for the use of  educational resources</w:t>
      </w:r>
    </w:p>
    <w:p w:rsidR="00634224" w:rsidRDefault="000502D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Develop and use instructional aids </w:t>
      </w:r>
    </w:p>
    <w:p w:rsidR="00634224" w:rsidRDefault="000502D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Manage training aids</w:t>
      </w:r>
    </w:p>
    <w:p w:rsidR="00634224" w:rsidRDefault="006342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634224" w:rsidRDefault="00634224">
      <w:pPr>
        <w:spacing w:after="0" w:line="360" w:lineRule="auto"/>
        <w:ind w:left="357" w:hanging="357"/>
        <w:jc w:val="both"/>
        <w:rPr>
          <w:rFonts w:ascii="Arial" w:eastAsia="Arial" w:hAnsi="Arial" w:cs="Arial"/>
          <w:b/>
          <w:sz w:val="24"/>
          <w:szCs w:val="24"/>
        </w:rPr>
      </w:pPr>
    </w:p>
    <w:p w:rsidR="00634224" w:rsidRDefault="00634224">
      <w:pPr>
        <w:spacing w:after="0" w:line="360" w:lineRule="auto"/>
        <w:ind w:left="357" w:hanging="357"/>
        <w:jc w:val="both"/>
        <w:rPr>
          <w:rFonts w:ascii="Arial" w:eastAsia="Arial" w:hAnsi="Arial" w:cs="Arial"/>
          <w:b/>
          <w:sz w:val="24"/>
          <w:szCs w:val="24"/>
        </w:rPr>
      </w:pPr>
    </w:p>
    <w:p w:rsidR="00634224" w:rsidRDefault="00634224">
      <w:pPr>
        <w:spacing w:after="0" w:line="360" w:lineRule="auto"/>
        <w:ind w:left="357" w:hanging="357"/>
        <w:jc w:val="both"/>
        <w:rPr>
          <w:rFonts w:ascii="Arial" w:eastAsia="Arial" w:hAnsi="Arial" w:cs="Arial"/>
          <w:b/>
          <w:sz w:val="24"/>
          <w:szCs w:val="24"/>
        </w:rPr>
      </w:pPr>
    </w:p>
    <w:p w:rsidR="00634224" w:rsidRDefault="000502DA">
      <w:pPr>
        <w:spacing w:after="0" w:line="360" w:lineRule="auto"/>
        <w:ind w:left="357" w:hanging="35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Learning Outcomes, Content and Activities</w:t>
      </w: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  <w:gridCol w:w="5245"/>
        <w:gridCol w:w="2835"/>
        <w:gridCol w:w="1053"/>
      </w:tblGrid>
      <w:tr w:rsidR="00634224">
        <w:trPr>
          <w:tblHeader/>
        </w:trPr>
        <w:tc>
          <w:tcPr>
            <w:tcW w:w="155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Topic</w:t>
            </w:r>
          </w:p>
        </w:tc>
        <w:tc>
          <w:tcPr>
            <w:tcW w:w="3260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Learning  Outcome</w:t>
            </w:r>
          </w:p>
        </w:tc>
        <w:tc>
          <w:tcPr>
            <w:tcW w:w="524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Content</w:t>
            </w:r>
          </w:p>
        </w:tc>
        <w:tc>
          <w:tcPr>
            <w:tcW w:w="2835" w:type="dxa"/>
          </w:tcPr>
          <w:p w:rsidR="00634224" w:rsidRDefault="000502DA">
            <w:pPr>
              <w:spacing w:line="360" w:lineRule="auto"/>
              <w:ind w:left="36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Suggested Learning Activities</w:t>
            </w:r>
          </w:p>
        </w:tc>
        <w:tc>
          <w:tcPr>
            <w:tcW w:w="1053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Time</w:t>
            </w:r>
          </w:p>
        </w:tc>
      </w:tr>
      <w:tr w:rsidR="00634224">
        <w:tc>
          <w:tcPr>
            <w:tcW w:w="1555" w:type="dxa"/>
          </w:tcPr>
          <w:p w:rsidR="00634224" w:rsidRDefault="000502DA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Analyse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the concept of Educational Technology</w:t>
            </w:r>
          </w:p>
          <w:p w:rsidR="00634224" w:rsidRDefault="00634224">
            <w:pPr>
              <w:spacing w:line="360" w:lineRule="auto"/>
              <w:ind w:left="36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5245" w:type="dxa"/>
          </w:tcPr>
          <w:p w:rsidR="00634224" w:rsidRDefault="000502D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Definition of educational technology</w:t>
            </w:r>
          </w:p>
          <w:p w:rsidR="00634224" w:rsidRDefault="000502D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Objectives of educational technology</w:t>
            </w:r>
          </w:p>
          <w:p w:rsidR="00634224" w:rsidRDefault="000502D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Trends in the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individualisation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of instruction</w:t>
            </w:r>
          </w:p>
          <w:p w:rsidR="00634224" w:rsidRDefault="000502D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Personalized system (PSI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)</w:t>
            </w:r>
          </w:p>
          <w:p w:rsidR="00634224" w:rsidRDefault="000502D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Programmed learning</w:t>
            </w:r>
          </w:p>
          <w:p w:rsidR="00634224" w:rsidRDefault="000502D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Resource based learning</w:t>
            </w:r>
          </w:p>
          <w:p w:rsidR="00634224" w:rsidRDefault="000502D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 learning</w:t>
            </w:r>
          </w:p>
        </w:tc>
        <w:tc>
          <w:tcPr>
            <w:tcW w:w="2835" w:type="dxa"/>
          </w:tcPr>
          <w:p w:rsidR="00634224" w:rsidRDefault="00634224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634224" w:rsidRDefault="000502D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Table group discussion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Importance of educational technology</w:t>
            </w:r>
          </w:p>
        </w:tc>
        <w:tc>
          <w:tcPr>
            <w:tcW w:w="1053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</w:tr>
      <w:tr w:rsidR="00634224">
        <w:tc>
          <w:tcPr>
            <w:tcW w:w="155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Analyse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instructional communication</w:t>
            </w:r>
          </w:p>
          <w:p w:rsidR="00634224" w:rsidRDefault="00634224">
            <w:pPr>
              <w:spacing w:line="360" w:lineRule="auto"/>
              <w:ind w:left="36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:rsidR="00634224" w:rsidRDefault="0005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INSTRUCTIONAL COMMUNICATION </w:t>
            </w:r>
          </w:p>
          <w:p w:rsidR="00634224" w:rsidRDefault="000502DA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Definition of instructional communication</w:t>
            </w:r>
          </w:p>
          <w:p w:rsidR="00634224" w:rsidRDefault="000502DA">
            <w:pPr>
              <w:numPr>
                <w:ilvl w:val="0"/>
                <w:numId w:val="18"/>
              </w:num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Components/ elements of communication </w:t>
            </w:r>
          </w:p>
          <w:p w:rsidR="00634224" w:rsidRDefault="000502DA">
            <w:pPr>
              <w:numPr>
                <w:ilvl w:val="0"/>
                <w:numId w:val="18"/>
              </w:num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Models of communication -</w:t>
            </w:r>
          </w:p>
          <w:p w:rsidR="00634224" w:rsidRDefault="000502D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Shannon and weaver model</w:t>
            </w:r>
          </w:p>
          <w:p w:rsidR="00634224" w:rsidRDefault="000502D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Berlo’s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model</w:t>
            </w:r>
          </w:p>
          <w:p w:rsidR="00634224" w:rsidRDefault="000502D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Schramm model</w:t>
            </w:r>
          </w:p>
        </w:tc>
        <w:tc>
          <w:tcPr>
            <w:tcW w:w="283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Think Pair Share </w:t>
            </w:r>
          </w:p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Barriers to instructional communication and how to overcome</w:t>
            </w:r>
          </w:p>
          <w:p w:rsidR="00634224" w:rsidRDefault="00634224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Group presentations Barriers of Communication</w:t>
            </w:r>
          </w:p>
        </w:tc>
        <w:tc>
          <w:tcPr>
            <w:tcW w:w="1053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</w:tr>
      <w:tr w:rsidR="00634224">
        <w:tc>
          <w:tcPr>
            <w:tcW w:w="155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for the use of educational resources</w:t>
            </w:r>
          </w:p>
          <w:p w:rsidR="00634224" w:rsidRDefault="00634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EDUCATIONAL MEDIA</w:t>
            </w:r>
          </w:p>
          <w:p w:rsidR="00634224" w:rsidRDefault="000502D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Sensory basis of learning</w:t>
            </w:r>
          </w:p>
          <w:p w:rsidR="00634224" w:rsidRDefault="000502D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General importance of teaching aids</w:t>
            </w:r>
          </w:p>
          <w:p w:rsidR="00634224" w:rsidRDefault="000502D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General qualities of  good teaching aids</w:t>
            </w:r>
          </w:p>
          <w:p w:rsidR="00634224" w:rsidRDefault="000502D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Classification of teaching aids</w:t>
            </w:r>
          </w:p>
          <w:p w:rsidR="00634224" w:rsidRDefault="000502D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Relative effectiveness of teaching aids (Dale’s cone of experience)</w:t>
            </w:r>
          </w:p>
        </w:tc>
        <w:tc>
          <w:tcPr>
            <w:tcW w:w="2835" w:type="dxa"/>
          </w:tcPr>
          <w:p w:rsidR="00634224" w:rsidRDefault="00634224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Respond to VARK questionnaire on sensory learning styles</w:t>
            </w:r>
          </w:p>
          <w:p w:rsidR="00634224" w:rsidRDefault="00634224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634224" w:rsidRDefault="000502D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Watch video on Dale’s Cone of experience and comment on its importance in relevance in educational technology</w:t>
            </w:r>
          </w:p>
        </w:tc>
        <w:tc>
          <w:tcPr>
            <w:tcW w:w="1053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</w:tr>
      <w:tr w:rsidR="00634224">
        <w:tc>
          <w:tcPr>
            <w:tcW w:w="155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634224" w:rsidRDefault="00634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MODELS FOR SELECTION AND USE OF EDUCATIONAL RESOURCES </w:t>
            </w:r>
          </w:p>
          <w:p w:rsidR="00634224" w:rsidRDefault="000502D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ASSURE Model</w:t>
            </w:r>
          </w:p>
          <w:p w:rsidR="00634224" w:rsidRDefault="000502D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ACTIONS Model</w:t>
            </w:r>
          </w:p>
          <w:p w:rsidR="00634224" w:rsidRDefault="000502D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SECTIONS</w:t>
            </w:r>
          </w:p>
        </w:tc>
        <w:tc>
          <w:tcPr>
            <w:tcW w:w="283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Carousel activity on ACTIONS and SECTIONS Model</w:t>
            </w:r>
          </w:p>
        </w:tc>
        <w:tc>
          <w:tcPr>
            <w:tcW w:w="1053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34224">
        <w:tc>
          <w:tcPr>
            <w:tcW w:w="155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5</w:t>
            </w:r>
          </w:p>
          <w:p w:rsidR="00634224" w:rsidRDefault="00634224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634224" w:rsidRDefault="00634224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634224" w:rsidRDefault="00634224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634224" w:rsidRDefault="00634224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634224" w:rsidRDefault="00634224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634224" w:rsidRDefault="00634224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634224" w:rsidRDefault="00634224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634224" w:rsidRDefault="00634224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Develop and use instructional aids</w:t>
            </w:r>
          </w:p>
        </w:tc>
        <w:tc>
          <w:tcPr>
            <w:tcW w:w="5245" w:type="dxa"/>
          </w:tcPr>
          <w:p w:rsidR="00634224" w:rsidRDefault="0005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  <w:t>DISPLAY BOARDS</w:t>
            </w:r>
          </w:p>
          <w:p w:rsidR="00634224" w:rsidRDefault="000502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Functions of displays</w:t>
            </w:r>
          </w:p>
          <w:p w:rsidR="00634224" w:rsidRDefault="000502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Display surfaces</w:t>
            </w:r>
          </w:p>
          <w:p w:rsidR="00634224" w:rsidRDefault="000502D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Chalkboard</w:t>
            </w:r>
          </w:p>
          <w:p w:rsidR="00634224" w:rsidRDefault="000502D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White board</w:t>
            </w:r>
          </w:p>
          <w:p w:rsidR="00634224" w:rsidRDefault="000502D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Smart board</w:t>
            </w:r>
          </w:p>
          <w:p w:rsidR="00634224" w:rsidRDefault="000502D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Bulletin board</w:t>
            </w:r>
          </w:p>
          <w:p w:rsidR="00634224" w:rsidRDefault="000502D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Peg board</w:t>
            </w:r>
          </w:p>
          <w:p w:rsidR="00634224" w:rsidRDefault="000502D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Flannel board</w:t>
            </w:r>
          </w:p>
          <w:p w:rsidR="00634224" w:rsidRDefault="000502D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Magnetic board</w:t>
            </w:r>
          </w:p>
          <w:p w:rsidR="00634224" w:rsidRDefault="000502D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Electric board</w:t>
            </w:r>
          </w:p>
          <w:p w:rsidR="00634224" w:rsidRDefault="000502DA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Multipurpose board</w:t>
            </w:r>
          </w:p>
        </w:tc>
        <w:tc>
          <w:tcPr>
            <w:tcW w:w="283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Chalkboard/ white board Practice </w:t>
            </w:r>
          </w:p>
          <w:p w:rsidR="00634224" w:rsidRDefault="00634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</w:tcPr>
          <w:p w:rsidR="00634224" w:rsidRDefault="000502DA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634224">
        <w:tc>
          <w:tcPr>
            <w:tcW w:w="155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Develop and use instructional aids</w:t>
            </w:r>
          </w:p>
        </w:tc>
        <w:tc>
          <w:tcPr>
            <w:tcW w:w="5245" w:type="dxa"/>
          </w:tcPr>
          <w:p w:rsidR="00634224" w:rsidRDefault="0005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  <w:t>THREE DIMENSIONAL TEACHING AIDS</w:t>
            </w:r>
          </w:p>
          <w:p w:rsidR="00634224" w:rsidRDefault="000502D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Dioramas</w:t>
            </w:r>
          </w:p>
          <w:p w:rsidR="00634224" w:rsidRDefault="000502D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Puppets</w:t>
            </w:r>
          </w:p>
          <w:p w:rsidR="00634224" w:rsidRDefault="000502D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Models</w:t>
            </w:r>
          </w:p>
          <w:p w:rsidR="00634224" w:rsidRDefault="000502D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Objects /specimens</w:t>
            </w:r>
          </w:p>
          <w:p w:rsidR="00634224" w:rsidRDefault="000502D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Mockups</w:t>
            </w:r>
          </w:p>
          <w:p w:rsidR="00634224" w:rsidRDefault="00634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Group task</w:t>
            </w:r>
          </w:p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Micro teach a lesson using any 3d resource</w:t>
            </w:r>
          </w:p>
        </w:tc>
        <w:tc>
          <w:tcPr>
            <w:tcW w:w="1053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</w:tr>
      <w:tr w:rsidR="00634224">
        <w:tc>
          <w:tcPr>
            <w:tcW w:w="155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0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Develop and use instructional aids</w:t>
            </w:r>
          </w:p>
        </w:tc>
        <w:tc>
          <w:tcPr>
            <w:tcW w:w="5245" w:type="dxa"/>
          </w:tcPr>
          <w:p w:rsidR="00634224" w:rsidRDefault="0005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  <w:t>GRAPHIC MATERIALS</w:t>
            </w:r>
          </w:p>
          <w:p w:rsidR="00634224" w:rsidRDefault="000502D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Advantages of graphic materials</w:t>
            </w:r>
          </w:p>
          <w:p w:rsidR="00634224" w:rsidRDefault="000502D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General qualities of good graphic materials</w:t>
            </w:r>
          </w:p>
          <w:p w:rsidR="00634224" w:rsidRDefault="000502D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Types of graphic Materials </w:t>
            </w:r>
          </w:p>
          <w:p w:rsidR="00634224" w:rsidRDefault="000502DA">
            <w:pPr>
              <w:numPr>
                <w:ilvl w:val="0"/>
                <w:numId w:val="2"/>
              </w:numPr>
              <w:spacing w:line="360" w:lineRule="auto"/>
              <w:ind w:hanging="12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Charts </w:t>
            </w:r>
          </w:p>
          <w:p w:rsidR="00634224" w:rsidRDefault="000502DA">
            <w:pPr>
              <w:numPr>
                <w:ilvl w:val="0"/>
                <w:numId w:val="2"/>
              </w:numPr>
              <w:spacing w:line="360" w:lineRule="auto"/>
              <w:ind w:hanging="12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Posters </w:t>
            </w:r>
          </w:p>
          <w:p w:rsidR="00634224" w:rsidRDefault="000502DA">
            <w:pPr>
              <w:numPr>
                <w:ilvl w:val="0"/>
                <w:numId w:val="2"/>
              </w:numPr>
              <w:spacing w:line="360" w:lineRule="auto"/>
              <w:ind w:hanging="12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Graphs</w:t>
            </w:r>
          </w:p>
          <w:p w:rsidR="00634224" w:rsidRDefault="000502DA">
            <w:pPr>
              <w:numPr>
                <w:ilvl w:val="0"/>
                <w:numId w:val="2"/>
              </w:numPr>
              <w:spacing w:line="360" w:lineRule="auto"/>
              <w:ind w:hanging="12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Diagrams</w:t>
            </w:r>
          </w:p>
          <w:p w:rsidR="00634224" w:rsidRDefault="000502DA">
            <w:pPr>
              <w:numPr>
                <w:ilvl w:val="0"/>
                <w:numId w:val="2"/>
              </w:numPr>
              <w:spacing w:line="360" w:lineRule="auto"/>
              <w:ind w:hanging="12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Cartoons</w:t>
            </w:r>
          </w:p>
          <w:p w:rsidR="00634224" w:rsidRDefault="000502DA">
            <w:pPr>
              <w:numPr>
                <w:ilvl w:val="0"/>
                <w:numId w:val="2"/>
              </w:numPr>
              <w:spacing w:line="360" w:lineRule="auto"/>
              <w:ind w:hanging="126"/>
              <w:rPr>
                <w:rFonts w:ascii="Arial" w:eastAsia="Arial" w:hAnsi="Arial" w:cs="Arial"/>
                <w:smallCap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Maps</w:t>
            </w:r>
          </w:p>
        </w:tc>
        <w:tc>
          <w:tcPr>
            <w:tcW w:w="283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Group work</w:t>
            </w:r>
          </w:p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Facilitate a mini lesson using a graphic material</w:t>
            </w:r>
          </w:p>
          <w:p w:rsidR="00634224" w:rsidRDefault="00634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634224">
        <w:tc>
          <w:tcPr>
            <w:tcW w:w="155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0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Develop and use instructional aids</w:t>
            </w:r>
          </w:p>
        </w:tc>
        <w:tc>
          <w:tcPr>
            <w:tcW w:w="5245" w:type="dxa"/>
          </w:tcPr>
          <w:p w:rsidR="00634224" w:rsidRDefault="0005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PRINT MEDIA</w:t>
            </w:r>
          </w:p>
          <w:p w:rsidR="00634224" w:rsidRDefault="000502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Definition </w:t>
            </w:r>
          </w:p>
          <w:p w:rsidR="00634224" w:rsidRDefault="000502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Types of print media</w:t>
            </w:r>
          </w:p>
          <w:p w:rsidR="00634224" w:rsidRDefault="000502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Textbooks and handouts</w:t>
            </w:r>
          </w:p>
          <w:p w:rsidR="00634224" w:rsidRDefault="000502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Effective use </w:t>
            </w:r>
          </w:p>
          <w:p w:rsidR="00634224" w:rsidRDefault="0005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REPROGRAPHY</w:t>
            </w:r>
          </w:p>
          <w:p w:rsidR="00634224" w:rsidRDefault="000502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Definition of reprographics</w:t>
            </w:r>
          </w:p>
          <w:p w:rsidR="00634224" w:rsidRDefault="0005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Methods of reproduction</w:t>
            </w:r>
          </w:p>
          <w:p w:rsidR="00634224" w:rsidRDefault="000502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Factors to consider in choosing method of reproduction</w:t>
            </w:r>
          </w:p>
        </w:tc>
        <w:tc>
          <w:tcPr>
            <w:tcW w:w="2835" w:type="dxa"/>
          </w:tcPr>
          <w:p w:rsidR="00634224" w:rsidRDefault="000502D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Visit a library and identify categories of print resources</w:t>
            </w:r>
          </w:p>
          <w:p w:rsidR="00634224" w:rsidRDefault="000502D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Visit the reprographic unit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to learn the different types of reprographic equipment and how they function</w:t>
            </w:r>
          </w:p>
          <w:p w:rsidR="00634224" w:rsidRDefault="00634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4</w:t>
            </w:r>
          </w:p>
        </w:tc>
      </w:tr>
      <w:tr w:rsidR="00634224">
        <w:tc>
          <w:tcPr>
            <w:tcW w:w="155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Develop and use instructional aids</w:t>
            </w:r>
          </w:p>
        </w:tc>
        <w:tc>
          <w:tcPr>
            <w:tcW w:w="5245" w:type="dxa"/>
          </w:tcPr>
          <w:p w:rsidR="00634224" w:rsidRDefault="0005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  <w:t>PROJECTED MEDIA</w:t>
            </w:r>
          </w:p>
          <w:p w:rsidR="00634224" w:rsidRDefault="0005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Types of projected visuals</w:t>
            </w:r>
          </w:p>
          <w:p w:rsidR="00634224" w:rsidRDefault="000502D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Filmstrips</w:t>
            </w:r>
          </w:p>
          <w:p w:rsidR="00634224" w:rsidRDefault="000502D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Slides</w:t>
            </w:r>
          </w:p>
          <w:p w:rsidR="00634224" w:rsidRDefault="000502D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Opaque materials</w:t>
            </w:r>
          </w:p>
          <w:p w:rsidR="00634224" w:rsidRDefault="000502D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Transparencies</w:t>
            </w:r>
          </w:p>
          <w:p w:rsidR="00634224" w:rsidRDefault="000502D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Electronic slides</w:t>
            </w:r>
          </w:p>
          <w:p w:rsidR="00634224" w:rsidRDefault="000502D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Types of motion picture projection</w:t>
            </w:r>
          </w:p>
          <w:p w:rsidR="00634224" w:rsidRDefault="000502D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Advantages of motion picture</w:t>
            </w:r>
          </w:p>
          <w:p w:rsidR="00634224" w:rsidRDefault="000502D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Steps in using an instructional film</w:t>
            </w:r>
          </w:p>
          <w:p w:rsidR="00634224" w:rsidRDefault="000502D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Projection equipment</w:t>
            </w:r>
          </w:p>
          <w:p w:rsidR="00634224" w:rsidRDefault="00634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144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634224" w:rsidRDefault="000502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 groups 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esign an instructional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powerpoint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slide and micro teach a short session</w:t>
            </w:r>
          </w:p>
          <w:p w:rsidR="00634224" w:rsidRDefault="000502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Demonstrate the use of LCD projector</w:t>
            </w:r>
          </w:p>
        </w:tc>
        <w:tc>
          <w:tcPr>
            <w:tcW w:w="1053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</w:tr>
      <w:tr w:rsidR="00634224">
        <w:tc>
          <w:tcPr>
            <w:tcW w:w="155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3260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Develop and use instructional aids</w:t>
            </w:r>
          </w:p>
        </w:tc>
        <w:tc>
          <w:tcPr>
            <w:tcW w:w="5245" w:type="dxa"/>
          </w:tcPr>
          <w:p w:rsidR="00634224" w:rsidRDefault="000502D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  <w:t>MASS MEDIA IN INSTRUCTION</w:t>
            </w:r>
          </w:p>
          <w:p w:rsidR="00634224" w:rsidRDefault="000502D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Broadcast media</w:t>
            </w:r>
          </w:p>
          <w:p w:rsidR="00634224" w:rsidRDefault="000502D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Digital media</w:t>
            </w:r>
          </w:p>
          <w:p w:rsidR="00634224" w:rsidRDefault="000502D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Print media</w:t>
            </w:r>
          </w:p>
          <w:p w:rsidR="00634224" w:rsidRDefault="00634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634224" w:rsidRDefault="000502D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Record and edit sound</w:t>
            </w:r>
          </w:p>
          <w:p w:rsidR="00634224" w:rsidRDefault="000502D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Record and edit video</w:t>
            </w:r>
          </w:p>
          <w:p w:rsidR="00634224" w:rsidRDefault="000502D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Visit KICD Media </w:t>
            </w:r>
          </w:p>
        </w:tc>
        <w:tc>
          <w:tcPr>
            <w:tcW w:w="1053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</w:tr>
      <w:tr w:rsidR="00634224">
        <w:trPr>
          <w:trHeight w:val="209"/>
        </w:trPr>
        <w:tc>
          <w:tcPr>
            <w:tcW w:w="155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0" w:type="dxa"/>
          </w:tcPr>
          <w:p w:rsidR="00634224" w:rsidRDefault="0005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Manage training resources</w:t>
            </w:r>
          </w:p>
        </w:tc>
        <w:tc>
          <w:tcPr>
            <w:tcW w:w="5245" w:type="dxa"/>
          </w:tcPr>
          <w:p w:rsidR="00634224" w:rsidRDefault="000502D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Procurement of training aids</w:t>
            </w:r>
          </w:p>
          <w:p w:rsidR="00634224" w:rsidRDefault="000502D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Disposal of obsolete / unusable training aids </w:t>
            </w:r>
          </w:p>
        </w:tc>
        <w:tc>
          <w:tcPr>
            <w:tcW w:w="2835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Interview HOD academic department on how to requisite for training materials</w:t>
            </w:r>
          </w:p>
        </w:tc>
        <w:tc>
          <w:tcPr>
            <w:tcW w:w="1053" w:type="dxa"/>
          </w:tcPr>
          <w:p w:rsidR="00634224" w:rsidRDefault="000502DA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</w:tr>
    </w:tbl>
    <w:p w:rsidR="00634224" w:rsidRDefault="0063422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34224" w:rsidRDefault="000502DA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Assessments</w:t>
      </w:r>
    </w:p>
    <w:p w:rsidR="00634224" w:rsidRDefault="000502DA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Practical tasks in the activity column to graded using the CAT examination guidelines </w:t>
      </w:r>
    </w:p>
    <w:p w:rsidR="00634224" w:rsidRDefault="000502DA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References:</w:t>
      </w:r>
    </w:p>
    <w:p w:rsidR="00634224" w:rsidRDefault="000502DA">
      <w:pPr>
        <w:pStyle w:val="Heading1"/>
        <w:spacing w:before="280" w:after="280" w:line="360" w:lineRule="auto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Michael, J. (Ed.). (2015). </w:t>
      </w:r>
      <w:proofErr w:type="gramStart"/>
      <w:r>
        <w:rPr>
          <w:rFonts w:ascii="Arial" w:eastAsia="Arial" w:hAnsi="Arial" w:cs="Arial"/>
          <w:b w:val="0"/>
          <w:i/>
          <w:sz w:val="24"/>
          <w:szCs w:val="24"/>
        </w:rPr>
        <w:t>The</w:t>
      </w:r>
      <w:proofErr w:type="gramEnd"/>
      <w:r>
        <w:rPr>
          <w:rFonts w:ascii="Arial" w:eastAsia="Arial" w:hAnsi="Arial" w:cs="Arial"/>
          <w:b w:val="0"/>
          <w:i/>
          <w:sz w:val="24"/>
          <w:szCs w:val="24"/>
        </w:rPr>
        <w:t xml:space="preserve"> SAGE Encyclopaedia of Educational Technology</w:t>
      </w:r>
      <w:r>
        <w:rPr>
          <w:rFonts w:ascii="Arial" w:eastAsia="Arial" w:hAnsi="Arial" w:cs="Arial"/>
          <w:b w:val="0"/>
          <w:sz w:val="24"/>
          <w:szCs w:val="24"/>
        </w:rPr>
        <w:t xml:space="preserve">. New Delhi: SAGE Publications, </w:t>
      </w:r>
      <w:proofErr w:type="spellStart"/>
      <w:r>
        <w:rPr>
          <w:rFonts w:ascii="Arial" w:eastAsia="Arial" w:hAnsi="Arial" w:cs="Arial"/>
          <w:b w:val="0"/>
          <w:sz w:val="24"/>
          <w:szCs w:val="24"/>
        </w:rPr>
        <w:t>Inc</w:t>
      </w:r>
      <w:proofErr w:type="spellEnd"/>
    </w:p>
    <w:p w:rsidR="00634224" w:rsidRDefault="000502DA">
      <w:pPr>
        <w:pStyle w:val="Heading1"/>
        <w:spacing w:before="280" w:after="280" w:line="360" w:lineRule="auto"/>
        <w:rPr>
          <w:rFonts w:ascii="Arial" w:eastAsia="Arial" w:hAnsi="Arial" w:cs="Arial"/>
          <w:b w:val="0"/>
          <w:sz w:val="24"/>
          <w:szCs w:val="24"/>
        </w:rPr>
      </w:pPr>
      <w:proofErr w:type="spellStart"/>
      <w:r>
        <w:rPr>
          <w:rFonts w:ascii="Arial" w:eastAsia="Arial" w:hAnsi="Arial" w:cs="Arial"/>
          <w:b w:val="0"/>
          <w:sz w:val="24"/>
          <w:szCs w:val="24"/>
        </w:rPr>
        <w:t>Reiser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>, Robert A. and John V. Dempsey (</w:t>
      </w:r>
      <w:proofErr w:type="spellStart"/>
      <w:proofErr w:type="gramStart"/>
      <w:r>
        <w:rPr>
          <w:rFonts w:ascii="Arial" w:eastAsia="Arial" w:hAnsi="Arial" w:cs="Arial"/>
          <w:b w:val="0"/>
          <w:sz w:val="24"/>
          <w:szCs w:val="24"/>
        </w:rPr>
        <w:t>eds</w:t>
      </w:r>
      <w:proofErr w:type="spellEnd"/>
      <w:proofErr w:type="gramEnd"/>
      <w:r>
        <w:rPr>
          <w:rFonts w:ascii="Arial" w:eastAsia="Arial" w:hAnsi="Arial" w:cs="Arial"/>
          <w:b w:val="0"/>
          <w:sz w:val="24"/>
          <w:szCs w:val="24"/>
        </w:rPr>
        <w:t xml:space="preserve">). (2006). </w:t>
      </w:r>
      <w:r>
        <w:rPr>
          <w:rFonts w:ascii="Arial" w:eastAsia="Arial" w:hAnsi="Arial" w:cs="Arial"/>
          <w:b w:val="0"/>
          <w:i/>
          <w:sz w:val="24"/>
          <w:szCs w:val="24"/>
        </w:rPr>
        <w:t>Trends and Issues in Instructional Design and Technology, 2nd edition</w:t>
      </w:r>
      <w:r>
        <w:rPr>
          <w:rFonts w:ascii="Arial" w:eastAsia="Arial" w:hAnsi="Arial" w:cs="Arial"/>
          <w:b w:val="0"/>
          <w:sz w:val="24"/>
          <w:szCs w:val="24"/>
        </w:rPr>
        <w:t xml:space="preserve">. Prentice Hall. </w:t>
      </w:r>
      <w:hyperlink r:id="rId7">
        <w:r>
          <w:rPr>
            <w:rFonts w:ascii="Arial" w:eastAsia="Arial" w:hAnsi="Arial" w:cs="Arial"/>
            <w:b w:val="0"/>
            <w:color w:val="0000FF"/>
            <w:sz w:val="24"/>
            <w:szCs w:val="24"/>
            <w:u w:val="single"/>
          </w:rPr>
          <w:t>ISBN 0131708058</w:t>
        </w:r>
      </w:hyperlink>
    </w:p>
    <w:p w:rsidR="00634224" w:rsidRDefault="000502DA">
      <w:pPr>
        <w:pStyle w:val="Heading1"/>
        <w:spacing w:before="280" w:after="280" w:line="360" w:lineRule="auto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lastRenderedPageBreak/>
        <w:t xml:space="preserve">Spector J. Michael, M. David Merrill, Jan </w:t>
      </w:r>
      <w:proofErr w:type="spellStart"/>
      <w:r>
        <w:rPr>
          <w:rFonts w:ascii="Arial" w:eastAsia="Arial" w:hAnsi="Arial" w:cs="Arial"/>
          <w:b w:val="0"/>
          <w:sz w:val="24"/>
          <w:szCs w:val="24"/>
        </w:rPr>
        <w:t>Elen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&amp; M. J. Bishop (eds.) (2013) </w:t>
      </w:r>
      <w:r>
        <w:rPr>
          <w:rFonts w:ascii="Arial" w:eastAsia="Arial" w:hAnsi="Arial" w:cs="Arial"/>
          <w:b w:val="0"/>
          <w:i/>
          <w:sz w:val="24"/>
          <w:szCs w:val="24"/>
        </w:rPr>
        <w:t>Handbook of Research on Educational Communications and Technology</w:t>
      </w:r>
      <w:r>
        <w:rPr>
          <w:rFonts w:ascii="Arial" w:eastAsia="Arial" w:hAnsi="Arial" w:cs="Arial"/>
          <w:b w:val="0"/>
          <w:sz w:val="24"/>
          <w:szCs w:val="24"/>
        </w:rPr>
        <w:t xml:space="preserve">, Springer, </w:t>
      </w:r>
      <w:hyperlink r:id="rId8">
        <w:r>
          <w:rPr>
            <w:rFonts w:ascii="Arial" w:eastAsia="Arial" w:hAnsi="Arial" w:cs="Arial"/>
            <w:b w:val="0"/>
            <w:color w:val="0000FF"/>
            <w:sz w:val="24"/>
            <w:szCs w:val="24"/>
            <w:u w:val="single"/>
          </w:rPr>
          <w:t>ISBN 1461431840</w:t>
        </w:r>
      </w:hyperlink>
    </w:p>
    <w:p w:rsidR="00634224" w:rsidRDefault="000502DA">
      <w:pPr>
        <w:pStyle w:val="Heading1"/>
        <w:spacing w:before="280" w:after="280" w:line="360" w:lineRule="auto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Mayer, Richard, E. (ed.) (2005). </w:t>
      </w:r>
      <w:r>
        <w:rPr>
          <w:rFonts w:ascii="Arial" w:eastAsia="Arial" w:hAnsi="Arial" w:cs="Arial"/>
          <w:b w:val="0"/>
          <w:i/>
          <w:sz w:val="24"/>
          <w:szCs w:val="24"/>
        </w:rPr>
        <w:t>The Cambridge Handbook of Multimedia Learning</w:t>
      </w:r>
      <w:r>
        <w:rPr>
          <w:rFonts w:ascii="Arial" w:eastAsia="Arial" w:hAnsi="Arial" w:cs="Arial"/>
          <w:b w:val="0"/>
          <w:sz w:val="24"/>
          <w:szCs w:val="24"/>
        </w:rPr>
        <w:t xml:space="preserve">, Cambridge University Press, </w:t>
      </w:r>
      <w:hyperlink r:id="rId9">
        <w:r>
          <w:rPr>
            <w:rFonts w:ascii="Arial" w:eastAsia="Arial" w:hAnsi="Arial" w:cs="Arial"/>
            <w:b w:val="0"/>
            <w:color w:val="0000FF"/>
            <w:sz w:val="24"/>
            <w:szCs w:val="24"/>
            <w:u w:val="single"/>
          </w:rPr>
          <w:t>ISBN 0521547512</w:t>
        </w:r>
      </w:hyperlink>
    </w:p>
    <w:p w:rsidR="00634224" w:rsidRDefault="0063422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634224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393E"/>
    <w:multiLevelType w:val="multilevel"/>
    <w:tmpl w:val="59A0BDB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E32FF2"/>
    <w:multiLevelType w:val="multilevel"/>
    <w:tmpl w:val="43E4EA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25C89"/>
    <w:multiLevelType w:val="multilevel"/>
    <w:tmpl w:val="8A16E30E"/>
    <w:lvl w:ilvl="0">
      <w:start w:val="1"/>
      <w:numFmt w:val="bullet"/>
      <w:lvlText w:val="❖"/>
      <w:lvlJc w:val="left"/>
      <w:pPr>
        <w:ind w:left="16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272B24"/>
    <w:multiLevelType w:val="multilevel"/>
    <w:tmpl w:val="A01E0784"/>
    <w:lvl w:ilvl="0">
      <w:start w:val="1"/>
      <w:numFmt w:val="bullet"/>
      <w:lvlText w:val="❖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9342DA"/>
    <w:multiLevelType w:val="multilevel"/>
    <w:tmpl w:val="E68E5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969A8"/>
    <w:multiLevelType w:val="multilevel"/>
    <w:tmpl w:val="3C3887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946290"/>
    <w:multiLevelType w:val="multilevel"/>
    <w:tmpl w:val="0A2C7B2C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AD6884"/>
    <w:multiLevelType w:val="multilevel"/>
    <w:tmpl w:val="CEEA9F7A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3D1364"/>
    <w:multiLevelType w:val="multilevel"/>
    <w:tmpl w:val="2B14EC7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3A6DD0"/>
    <w:multiLevelType w:val="multilevel"/>
    <w:tmpl w:val="2B6C33C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A9E46D3"/>
    <w:multiLevelType w:val="multilevel"/>
    <w:tmpl w:val="AB9AAEC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B44828"/>
    <w:multiLevelType w:val="multilevel"/>
    <w:tmpl w:val="D7906DD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C76E7"/>
    <w:multiLevelType w:val="multilevel"/>
    <w:tmpl w:val="AE407CFC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3653CB"/>
    <w:multiLevelType w:val="multilevel"/>
    <w:tmpl w:val="BBF6636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3510541"/>
    <w:multiLevelType w:val="multilevel"/>
    <w:tmpl w:val="9DDA34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E657D"/>
    <w:multiLevelType w:val="multilevel"/>
    <w:tmpl w:val="862A99EC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FF44D46"/>
    <w:multiLevelType w:val="multilevel"/>
    <w:tmpl w:val="6040FD4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29A77F2"/>
    <w:multiLevelType w:val="multilevel"/>
    <w:tmpl w:val="7BDAF0BC"/>
    <w:lvl w:ilvl="0">
      <w:start w:val="1"/>
      <w:numFmt w:val="bullet"/>
      <w:lvlText w:val="❖"/>
      <w:lvlJc w:val="left"/>
      <w:pPr>
        <w:ind w:left="17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8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53C6FF0"/>
    <w:multiLevelType w:val="multilevel"/>
    <w:tmpl w:val="14428FC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20213BC"/>
    <w:multiLevelType w:val="multilevel"/>
    <w:tmpl w:val="7494CC84"/>
    <w:lvl w:ilvl="0">
      <w:start w:val="1"/>
      <w:numFmt w:val="bullet"/>
      <w:lvlText w:val="❖"/>
      <w:lvlJc w:val="left"/>
      <w:pPr>
        <w:ind w:left="17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FEF3827"/>
    <w:multiLevelType w:val="multilevel"/>
    <w:tmpl w:val="EFB6B9A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19"/>
  </w:num>
  <w:num w:numId="3">
    <w:abstractNumId w:val="7"/>
  </w:num>
  <w:num w:numId="4">
    <w:abstractNumId w:val="15"/>
  </w:num>
  <w:num w:numId="5">
    <w:abstractNumId w:val="6"/>
  </w:num>
  <w:num w:numId="6">
    <w:abstractNumId w:val="16"/>
  </w:num>
  <w:num w:numId="7">
    <w:abstractNumId w:val="14"/>
  </w:num>
  <w:num w:numId="8">
    <w:abstractNumId w:val="3"/>
  </w:num>
  <w:num w:numId="9">
    <w:abstractNumId w:val="17"/>
  </w:num>
  <w:num w:numId="10">
    <w:abstractNumId w:val="1"/>
  </w:num>
  <w:num w:numId="11">
    <w:abstractNumId w:val="11"/>
  </w:num>
  <w:num w:numId="12">
    <w:abstractNumId w:val="20"/>
  </w:num>
  <w:num w:numId="13">
    <w:abstractNumId w:val="12"/>
  </w:num>
  <w:num w:numId="14">
    <w:abstractNumId w:val="4"/>
  </w:num>
  <w:num w:numId="15">
    <w:abstractNumId w:val="9"/>
  </w:num>
  <w:num w:numId="16">
    <w:abstractNumId w:val="5"/>
  </w:num>
  <w:num w:numId="17">
    <w:abstractNumId w:val="8"/>
  </w:num>
  <w:num w:numId="18">
    <w:abstractNumId w:val="0"/>
  </w:num>
  <w:num w:numId="19">
    <w:abstractNumId w:val="13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24"/>
    <w:rsid w:val="000502DA"/>
    <w:rsid w:val="001C04B8"/>
    <w:rsid w:val="0063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989C"/>
  <w15:docId w15:val="{EF97C84C-882B-4B6F-9878-496BE6D2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Z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D11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62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80D11"/>
    <w:pPr>
      <w:ind w:left="720"/>
      <w:contextualSpacing/>
    </w:pPr>
  </w:style>
  <w:style w:type="table" w:styleId="TableGrid">
    <w:name w:val="Table Grid"/>
    <w:basedOn w:val="TableNormal"/>
    <w:uiPriority w:val="39"/>
    <w:rsid w:val="00C8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E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2E7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techwiki.unige.ch/en/Special:BookSources/1461431840" TargetMode="External"/><Relationship Id="rId3" Type="http://schemas.openxmlformats.org/officeDocument/2006/relationships/styles" Target="styles.xml"/><Relationship Id="rId7" Type="http://schemas.openxmlformats.org/officeDocument/2006/relationships/hyperlink" Target="http://edutechwiki.unige.ch/en/Special:BookSources/01317080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utechwiki.unige.ch/en/Special:BookSources/05215475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oOL2sr0VclL7ud1r9XwWm18mWg==">AMUW2mVz+wqmnO1J6SyI4n9VkQOgAflvcVoA7AG66UoPxfEy8M0yuE4mTQrM+vSTFaMGIcUq1+HErpFcU1O6LKw42thmOoWgv/xYPDRWxpbapp/TBM09CapT2WWSSB5fj/HZS1f29QBq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Mwancha</dc:creator>
  <cp:lastModifiedBy>Dr. Mwancha</cp:lastModifiedBy>
  <cp:revision>2</cp:revision>
  <dcterms:created xsi:type="dcterms:W3CDTF">2023-03-13T06:17:00Z</dcterms:created>
  <dcterms:modified xsi:type="dcterms:W3CDTF">2023-03-13T06:17:00Z</dcterms:modified>
</cp:coreProperties>
</file>