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B32C9">
      <w:pPr>
        <w:spacing w:line="400" w:lineRule="exact"/>
        <w:rPr>
          <w:rFonts w:hint="eastAsia" w:ascii="黑体" w:hAnsi="宋体" w:eastAsia="黑体"/>
          <w:sz w:val="24"/>
        </w:rPr>
      </w:pPr>
    </w:p>
    <w:p w14:paraId="160EBDBA">
      <w:pPr>
        <w:spacing w:line="400" w:lineRule="exact"/>
        <w:rPr>
          <w:rFonts w:hint="eastAsia" w:ascii="黑体" w:hAnsi="宋体" w:eastAsia="黑体"/>
          <w:sz w:val="24"/>
        </w:rPr>
      </w:pPr>
    </w:p>
    <w:p w14:paraId="7A829EBF">
      <w:pPr>
        <w:spacing w:line="400" w:lineRule="exact"/>
        <w:rPr>
          <w:rFonts w:hint="eastAsia" w:ascii="黑体" w:hAnsi="宋体" w:eastAsia="黑体"/>
          <w:sz w:val="24"/>
        </w:rPr>
      </w:pPr>
    </w:p>
    <w:p w14:paraId="215824E5">
      <w:pPr>
        <w:spacing w:line="400" w:lineRule="exact"/>
        <w:rPr>
          <w:rFonts w:hint="eastAsia" w:ascii="黑体" w:hAnsi="宋体" w:eastAsia="黑体"/>
          <w:sz w:val="24"/>
        </w:rPr>
      </w:pPr>
    </w:p>
    <w:p w14:paraId="2314A36B">
      <w:pPr>
        <w:spacing w:line="400" w:lineRule="exact"/>
        <w:rPr>
          <w:rFonts w:hint="eastAsia" w:ascii="黑体" w:hAnsi="宋体" w:eastAsia="黑体"/>
          <w:sz w:val="24"/>
        </w:rPr>
      </w:pPr>
    </w:p>
    <w:p w14:paraId="786C8331">
      <w:pPr>
        <w:spacing w:line="400" w:lineRule="exact"/>
        <w:rPr>
          <w:rFonts w:hint="eastAsia" w:ascii="黑体" w:hAnsi="宋体" w:eastAsia="黑体"/>
          <w:sz w:val="36"/>
          <w:szCs w:val="36"/>
        </w:rPr>
      </w:pPr>
    </w:p>
    <w:p w14:paraId="024D958A">
      <w:pPr>
        <w:spacing w:line="400" w:lineRule="exact"/>
        <w:rPr>
          <w:rFonts w:hint="eastAsia" w:ascii="黑体" w:hAnsi="宋体" w:eastAsia="黑体"/>
          <w:sz w:val="36"/>
          <w:szCs w:val="36"/>
        </w:rPr>
      </w:pPr>
    </w:p>
    <w:p w14:paraId="002B292B">
      <w:pPr>
        <w:jc w:val="center"/>
        <w:rPr>
          <w:rFonts w:hint="eastAsia" w:ascii="黑体" w:eastAsia="黑体"/>
          <w:sz w:val="72"/>
          <w:szCs w:val="36"/>
        </w:rPr>
      </w:pPr>
      <w:r>
        <w:rPr>
          <w:rFonts w:hint="eastAsia" w:ascii="黑体" w:eastAsia="黑体"/>
          <w:sz w:val="72"/>
          <w:szCs w:val="36"/>
        </w:rPr>
        <w:t>物联网</w:t>
      </w:r>
      <w:r>
        <w:rPr>
          <w:rFonts w:ascii="黑体" w:eastAsia="黑体"/>
          <w:sz w:val="72"/>
          <w:szCs w:val="36"/>
        </w:rPr>
        <w:t>工程期末</w:t>
      </w:r>
      <w:r>
        <w:rPr>
          <w:rFonts w:hint="eastAsia" w:ascii="黑体" w:eastAsia="黑体"/>
          <w:sz w:val="72"/>
          <w:szCs w:val="36"/>
        </w:rPr>
        <w:t>课程</w:t>
      </w:r>
    </w:p>
    <w:p w14:paraId="2D25CD9D">
      <w:pPr>
        <w:jc w:val="center"/>
        <w:rPr>
          <w:rFonts w:hint="eastAsia" w:ascii="黑体" w:eastAsia="黑体"/>
          <w:sz w:val="72"/>
          <w:szCs w:val="36"/>
        </w:rPr>
      </w:pPr>
      <w:r>
        <w:rPr>
          <w:rFonts w:hint="eastAsia" w:ascii="黑体" w:eastAsia="黑体"/>
          <w:sz w:val="72"/>
          <w:szCs w:val="36"/>
        </w:rPr>
        <w:t>论文（设计）</w:t>
      </w:r>
    </w:p>
    <w:p w14:paraId="5BA8F741">
      <w:pPr>
        <w:rPr>
          <w:rFonts w:hint="eastAsia" w:ascii="黑体" w:eastAsia="黑体"/>
          <w:sz w:val="28"/>
          <w:szCs w:val="36"/>
        </w:rPr>
      </w:pPr>
    </w:p>
    <w:p w14:paraId="14C3FC48">
      <w:pPr>
        <w:jc w:val="center"/>
        <w:rPr>
          <w:rFonts w:hint="eastAsia"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（2025级 研究生）</w:t>
      </w:r>
    </w:p>
    <w:p w14:paraId="70691D0D">
      <w:pPr>
        <w:jc w:val="center"/>
        <w:rPr>
          <w:rFonts w:hint="eastAsia" w:ascii="黑体" w:eastAsia="黑体"/>
          <w:sz w:val="36"/>
          <w:szCs w:val="36"/>
        </w:rPr>
      </w:pPr>
    </w:p>
    <w:p w14:paraId="6D0F9E94">
      <w:pPr>
        <w:jc w:val="center"/>
        <w:rPr>
          <w:rFonts w:hint="eastAsia" w:ascii="黑体" w:eastAsia="黑体"/>
          <w:sz w:val="36"/>
          <w:szCs w:val="36"/>
        </w:rPr>
      </w:pPr>
    </w:p>
    <w:tbl>
      <w:tblPr>
        <w:tblStyle w:val="14"/>
        <w:tblW w:w="875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5953"/>
      </w:tblGrid>
      <w:tr w14:paraId="2AFB9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vAlign w:val="center"/>
          </w:tcPr>
          <w:p w14:paraId="3B00B17C">
            <w:pPr>
              <w:jc w:val="distribute"/>
              <w:rPr>
                <w:rFonts w:hint="eastAsia" w:ascii="黑体" w:hAnsi="宋体" w:eastAsia="黑体"/>
                <w:spacing w:val="20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pacing w:val="-10"/>
                <w:sz w:val="32"/>
                <w:szCs w:val="32"/>
              </w:rPr>
              <w:t>论文（设计）题目</w:t>
            </w:r>
          </w:p>
        </w:tc>
        <w:tc>
          <w:tcPr>
            <w:tcW w:w="595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44AAF67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18" w:lineRule="atLeast"/>
              <w:ind w:left="0" w:right="0" w:firstLine="0"/>
              <w:jc w:val="left"/>
              <w:rPr>
                <w:rFonts w:hint="eastAsia" w:ascii="宋体" w:hAnsi="宋体"/>
                <w:sz w:val="32"/>
                <w:szCs w:val="32"/>
              </w:rPr>
            </w:pPr>
            <w:bookmarkStart w:id="0" w:name="_Toc17766"/>
            <w:r>
              <w:rPr>
                <w:rFonts w:hint="default" w:ascii="宋体" w:hAnsi="宋体"/>
                <w:sz w:val="32"/>
                <w:szCs w:val="32"/>
              </w:rPr>
              <w:t>PhysFormer-GAN：基于物理感知与时空的对抗式雷达回波短临预报系统</w:t>
            </w:r>
            <w:bookmarkEnd w:id="0"/>
          </w:p>
        </w:tc>
      </w:tr>
      <w:tr w14:paraId="5C11B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vAlign w:val="center"/>
          </w:tcPr>
          <w:p w14:paraId="6F92EE21">
            <w:pPr>
              <w:jc w:val="distribute"/>
              <w:rPr>
                <w:rFonts w:hint="eastAsia" w:ascii="黑体" w:hAnsi="宋体" w:eastAsia="黑体"/>
                <w:spacing w:val="-2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pacing w:val="-2"/>
                <w:sz w:val="32"/>
                <w:szCs w:val="32"/>
              </w:rPr>
              <w:t>学院、专业</w:t>
            </w:r>
          </w:p>
        </w:tc>
        <w:tc>
          <w:tcPr>
            <w:tcW w:w="595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3EA7FEAF">
            <w:pPr>
              <w:jc w:val="center"/>
              <w:rPr>
                <w:rFonts w:hint="eastAsia" w:ascii="宋体" w:hAnsi="宋体"/>
                <w:spacing w:val="-10"/>
                <w:sz w:val="32"/>
                <w:szCs w:val="32"/>
              </w:rPr>
            </w:pPr>
            <w:r>
              <w:rPr>
                <w:rFonts w:hint="eastAsia" w:ascii="宋体" w:hAnsi="宋体"/>
                <w:spacing w:val="-10"/>
                <w:sz w:val="32"/>
                <w:szCs w:val="32"/>
              </w:rPr>
              <w:t>工学院人工智能专业</w:t>
            </w:r>
          </w:p>
        </w:tc>
      </w:tr>
      <w:tr w14:paraId="2E4CC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vAlign w:val="center"/>
          </w:tcPr>
          <w:p w14:paraId="6924C9E7">
            <w:pPr>
              <w:jc w:val="distribute"/>
              <w:rPr>
                <w:rFonts w:hint="eastAsia" w:ascii="黑体" w:hAnsi="宋体" w:eastAsia="黑体"/>
                <w:spacing w:val="-2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pacing w:val="-2"/>
                <w:sz w:val="32"/>
                <w:szCs w:val="32"/>
              </w:rPr>
              <w:t>班级</w:t>
            </w:r>
          </w:p>
        </w:tc>
        <w:tc>
          <w:tcPr>
            <w:tcW w:w="595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8ABD9C3">
            <w:pPr>
              <w:jc w:val="center"/>
              <w:rPr>
                <w:rFonts w:hint="eastAsia" w:ascii="宋体" w:hAnsi="宋体"/>
                <w:spacing w:val="20"/>
                <w:sz w:val="32"/>
                <w:szCs w:val="32"/>
              </w:rPr>
            </w:pPr>
            <w:r>
              <w:rPr>
                <w:rFonts w:hint="eastAsia" w:ascii="宋体" w:hAnsi="宋体"/>
                <w:spacing w:val="20"/>
                <w:sz w:val="32"/>
                <w:szCs w:val="32"/>
              </w:rPr>
              <w:t>人工智能</w:t>
            </w:r>
          </w:p>
        </w:tc>
      </w:tr>
      <w:tr w14:paraId="08DDC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vAlign w:val="center"/>
          </w:tcPr>
          <w:p w14:paraId="575737ED">
            <w:pPr>
              <w:jc w:val="distribute"/>
              <w:rPr>
                <w:rFonts w:hint="eastAsia" w:ascii="黑体" w:hAnsi="宋体" w:eastAsia="黑体"/>
                <w:spacing w:val="-2"/>
                <w:sz w:val="32"/>
                <w:szCs w:val="32"/>
              </w:rPr>
            </w:pPr>
            <w:r>
              <w:rPr>
                <w:rFonts w:hint="eastAsia" w:ascii="黑体" w:hAnsi="宋体" w:eastAsia="黑体"/>
                <w:spacing w:val="-2"/>
                <w:sz w:val="32"/>
                <w:szCs w:val="32"/>
              </w:rPr>
              <w:t>字数</w:t>
            </w:r>
          </w:p>
        </w:tc>
        <w:tc>
          <w:tcPr>
            <w:tcW w:w="595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8E1FBD0">
            <w:pPr>
              <w:jc w:val="center"/>
              <w:rPr>
                <w:rFonts w:hint="default" w:ascii="宋体" w:hAnsi="宋体" w:eastAsia="宋体"/>
                <w:spacing w:val="10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pacing w:val="10"/>
                <w:sz w:val="32"/>
                <w:szCs w:val="32"/>
                <w:lang w:val="en-US" w:eastAsia="zh-CN"/>
              </w:rPr>
              <w:t>6525</w:t>
            </w:r>
          </w:p>
        </w:tc>
      </w:tr>
      <w:tr w14:paraId="3A57A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vAlign w:val="center"/>
          </w:tcPr>
          <w:p w14:paraId="07BDF079">
            <w:pPr>
              <w:jc w:val="distribute"/>
              <w:rPr>
                <w:rFonts w:hint="eastAsia" w:ascii="宋体" w:hAnsi="宋体"/>
                <w:spacing w:val="44"/>
                <w:szCs w:val="21"/>
              </w:rPr>
            </w:pPr>
            <w:r>
              <w:rPr>
                <w:rFonts w:hint="eastAsia" w:ascii="黑体" w:hAnsi="宋体" w:eastAsia="黑体"/>
                <w:spacing w:val="44"/>
                <w:sz w:val="32"/>
                <w:szCs w:val="32"/>
              </w:rPr>
              <w:t>成果完成时间</w:t>
            </w:r>
          </w:p>
        </w:tc>
        <w:tc>
          <w:tcPr>
            <w:tcW w:w="595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D7CEC96">
            <w:pPr>
              <w:jc w:val="center"/>
              <w:rPr>
                <w:rFonts w:hint="default" w:ascii="宋体" w:hAnsi="宋体" w:eastAsia="宋体"/>
                <w:spacing w:val="54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pacing w:val="54"/>
                <w:sz w:val="32"/>
                <w:szCs w:val="32"/>
                <w:lang w:val="en-US" w:eastAsia="zh-CN"/>
              </w:rPr>
              <w:t>2025年12月9日</w:t>
            </w:r>
          </w:p>
        </w:tc>
      </w:tr>
    </w:tbl>
    <w:p w14:paraId="514A3CF8">
      <w:pPr>
        <w:ind w:firstLine="717" w:firstLineChars="156"/>
        <w:rPr>
          <w:rFonts w:hint="eastAsia" w:ascii="黑体" w:eastAsia="黑体"/>
          <w:spacing w:val="50"/>
          <w:sz w:val="36"/>
          <w:szCs w:val="36"/>
        </w:rPr>
      </w:pPr>
    </w:p>
    <w:p w14:paraId="0CF4B8F7">
      <w:pPr>
        <w:jc w:val="center"/>
        <w:rPr>
          <w:rFonts w:hint="eastAsia" w:ascii="宋体" w:hAnsi="宋体"/>
          <w:spacing w:val="50"/>
          <w:sz w:val="36"/>
          <w:szCs w:val="36"/>
        </w:rPr>
      </w:pPr>
    </w:p>
    <w:p w14:paraId="1F3902DF">
      <w:pPr>
        <w:jc w:val="center"/>
        <w:rPr>
          <w:rFonts w:hint="eastAsia" w:ascii="宋体" w:hAnsi="宋体"/>
          <w:spacing w:val="50"/>
          <w:sz w:val="36"/>
          <w:szCs w:val="36"/>
        </w:rPr>
      </w:pPr>
    </w:p>
    <w:p w14:paraId="0CF93F64">
      <w:pPr>
        <w:jc w:val="center"/>
        <w:rPr>
          <w:rFonts w:hint="eastAsia" w:ascii="宋体" w:hAnsi="宋体"/>
          <w:spacing w:val="50"/>
          <w:sz w:val="36"/>
          <w:szCs w:val="36"/>
        </w:rPr>
      </w:pPr>
    </w:p>
    <w:p w14:paraId="26101064">
      <w:pPr>
        <w:spacing w:line="400" w:lineRule="exact"/>
        <w:jc w:val="center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杭州师范大学</w:t>
      </w:r>
    </w:p>
    <w:p w14:paraId="22AEF457">
      <w:pPr>
        <w:spacing w:line="400" w:lineRule="exact"/>
        <w:jc w:val="center"/>
        <w:rPr>
          <w:rFonts w:hint="eastAsia" w:ascii="宋体" w:hAnsi="宋体"/>
          <w:color w:val="FF0000"/>
        </w:rPr>
      </w:pPr>
    </w:p>
    <w:p w14:paraId="39D77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宋体" w:hAnsi="宋体"/>
          <w:color w:val="FF0000"/>
        </w:rPr>
      </w:pPr>
      <w:r>
        <w:rPr>
          <w:rFonts w:hint="eastAsia" w:ascii="黑体" w:hAnsi="黑体" w:eastAsia="黑体" w:cs="黑体"/>
          <w:sz w:val="44"/>
          <w:szCs w:val="44"/>
        </w:rPr>
        <w:t>PhysFormer-GAN：基于物理感知与时空的对抗式雷达回波短临预报系统</w:t>
      </w:r>
    </w:p>
    <w:p w14:paraId="71F23A08">
      <w:pPr>
        <w:spacing w:line="400" w:lineRule="exact"/>
        <w:jc w:val="both"/>
        <w:rPr>
          <w:rFonts w:hint="eastAsia" w:ascii="黑体" w:hAnsi="宋体" w:eastAsia="黑体"/>
          <w:szCs w:val="21"/>
        </w:rPr>
      </w:pPr>
    </w:p>
    <w:p w14:paraId="079BED81">
      <w:pPr>
        <w:spacing w:line="400" w:lineRule="exact"/>
        <w:jc w:val="center"/>
        <w:rPr>
          <w:rFonts w:hint="eastAsia" w:ascii="楷体_GB2312" w:eastAsia="楷体_GB2312"/>
          <w:sz w:val="28"/>
          <w:szCs w:val="20"/>
        </w:rPr>
      </w:pPr>
      <w:r>
        <w:rPr>
          <w:rFonts w:hint="eastAsia" w:ascii="楷体_GB2312" w:eastAsia="楷体_GB2312"/>
          <w:sz w:val="28"/>
          <w:lang w:val="en-US" w:eastAsia="zh-CN"/>
        </w:rPr>
        <w:t>人工智能</w:t>
      </w:r>
      <w:r>
        <w:rPr>
          <w:rFonts w:hint="eastAsia" w:ascii="楷体_GB2312" w:eastAsia="楷体_GB2312"/>
          <w:sz w:val="28"/>
        </w:rPr>
        <w:t>专业</w:t>
      </w:r>
      <w:r>
        <w:rPr>
          <w:rFonts w:hint="eastAsia" w:ascii="楷体_GB2312" w:eastAsia="楷体_GB2312"/>
          <w:sz w:val="28"/>
          <w:lang w:val="en-US" w:eastAsia="zh-CN"/>
        </w:rPr>
        <w:t>张博</w:t>
      </w:r>
    </w:p>
    <w:p w14:paraId="4FBB028F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0BC6EF4E">
      <w:pPr>
        <w:spacing w:line="400" w:lineRule="exact"/>
        <w:ind w:firstLine="420" w:firstLineChars="200"/>
        <w:rPr>
          <w:rFonts w:hint="eastAsia" w:eastAsia="黑体"/>
          <w:b/>
          <w:sz w:val="32"/>
          <w:szCs w:val="32"/>
        </w:rPr>
      </w:pPr>
      <w:r>
        <w:rPr>
          <w:rFonts w:hint="eastAsia" w:ascii="黑体" w:eastAsia="黑体"/>
          <w:szCs w:val="21"/>
        </w:rPr>
        <w:t>摘  要</w:t>
      </w:r>
      <w:r>
        <w:rPr>
          <w:rFonts w:hint="eastAsia" w:ascii="宋体" w:hAnsi="宋体"/>
        </w:rPr>
        <w:t>：</w:t>
      </w:r>
      <w:r>
        <w:rPr>
          <w:rFonts w:hint="eastAsia" w:ascii="楷体_GB2312" w:hAnsi="宋体" w:eastAsia="楷体_GB2312"/>
          <w:szCs w:val="21"/>
        </w:rPr>
        <w:t>雷达回波短临预报是强对流天气预警的关键技术。针对传统深度学习方法（如U-Net、ConvLSTM）在预测中存在的图像模糊、细节丢失以及难以捕捉非线性运动等问题，本文提出了一种名为 PhysFormer-GAN 的两阶段雷达回波推演模型。第一阶段构建了融合坐标注意力（Coordinate Attention）与时空 Transformer 的生成器，并引入物理感知损失函数（Physics-aware Loss）以增强对强降雨区域的关注；第二阶段引入 PatchGAN 判别器，采用热启动策略进行对抗微调，以恢复高频纹理细节。在 CIKM 2017 雷达数据集上的实验结果表明，该模型在全测试集上的平均 CSI 指标相比持续法提升了 11.4%，HSS 提升显著，且虚警率（FAR）降低了约 50%。实验证明，PhysFormer-GAN 能有效克服回归模型的平滑效应，生成具有高保真度和物理一致性的雷达回波图像。</w:t>
      </w:r>
    </w:p>
    <w:p w14:paraId="44773D70">
      <w:pPr>
        <w:spacing w:line="400" w:lineRule="exact"/>
        <w:ind w:firstLine="420" w:firstLineChars="200"/>
        <w:rPr>
          <w:rFonts w:hint="eastAsia" w:ascii="楷体_GB2312" w:hAnsi="宋体" w:eastAsia="楷体_GB2312"/>
          <w:szCs w:val="21"/>
          <w:lang w:eastAsia="zh-CN"/>
        </w:rPr>
      </w:pPr>
      <w:r>
        <w:rPr>
          <w:rFonts w:hint="eastAsia" w:ascii="黑体" w:hAnsi="宋体" w:eastAsia="黑体"/>
        </w:rPr>
        <w:t>关键词</w:t>
      </w:r>
      <w:r>
        <w:rPr>
          <w:rFonts w:hint="eastAsia" w:ascii="宋体" w:hAnsi="宋体"/>
        </w:rPr>
        <w:t>：</w:t>
      </w:r>
      <w:r>
        <w:rPr>
          <w:rFonts w:hint="eastAsia" w:ascii="楷体_GB2312" w:hAnsi="宋体" w:eastAsia="楷体_GB2312"/>
          <w:szCs w:val="21"/>
        </w:rPr>
        <w:t>短临预报；生成对抗网络；Transformer；物理感知损失；坐标注意力</w:t>
      </w:r>
    </w:p>
    <w:p w14:paraId="0561F88B">
      <w:pPr>
        <w:spacing w:line="400" w:lineRule="exact"/>
        <w:jc w:val="center"/>
        <w:rPr>
          <w:rFonts w:hint="eastAsia" w:ascii="宋体" w:hAnsi="宋体"/>
          <w:color w:val="FF0000"/>
          <w:szCs w:val="21"/>
        </w:rPr>
      </w:pPr>
    </w:p>
    <w:p w14:paraId="7C5C937E">
      <w:pPr>
        <w:pStyle w:val="6"/>
        <w:spacing w:line="400" w:lineRule="exact"/>
        <w:jc w:val="center"/>
        <w:rPr>
          <w:rFonts w:hint="eastAsia"/>
          <w:b/>
          <w:bCs/>
          <w:color w:val="FF0000"/>
          <w:sz w:val="32"/>
          <w:szCs w:val="32"/>
        </w:rPr>
      </w:pPr>
      <w:r>
        <w:rPr>
          <w:b/>
          <w:bCs/>
          <w:sz w:val="32"/>
          <w:szCs w:val="32"/>
        </w:rPr>
        <w:t>PhysFormer-GAN: Research on Radar Echo Nowcasting Model Based on Physics-Awareness and Spatiotemporal Adversarial Mechanism</w:t>
      </w:r>
    </w:p>
    <w:p w14:paraId="76F7992D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797BDD6D">
      <w:pPr>
        <w:spacing w:line="400" w:lineRule="exact"/>
        <w:jc w:val="center"/>
        <w:rPr>
          <w:rFonts w:hint="default" w:eastAsia="楷体_GB2312"/>
          <w:b/>
          <w:sz w:val="24"/>
          <w:lang w:val="en-US" w:eastAsia="zh-CN"/>
        </w:rPr>
      </w:pPr>
      <w:r>
        <w:rPr>
          <w:rFonts w:hint="eastAsia" w:eastAsia="楷体_GB2312"/>
          <w:b/>
          <w:sz w:val="24"/>
          <w:lang w:val="en-US" w:eastAsia="zh-CN"/>
        </w:rPr>
        <w:t>ZhangBo</w:t>
      </w:r>
      <w:r>
        <w:rPr>
          <w:rFonts w:eastAsia="楷体_GB2312"/>
          <w:b/>
          <w:sz w:val="24"/>
        </w:rPr>
        <w:t xml:space="preserve"> </w:t>
      </w:r>
      <w:r>
        <w:rPr>
          <w:rFonts w:hint="eastAsia" w:eastAsia="楷体_GB2312"/>
          <w:b/>
          <w:sz w:val="24"/>
        </w:rPr>
        <w:t xml:space="preserve">   Instructor: </w:t>
      </w:r>
      <w:r>
        <w:rPr>
          <w:rFonts w:hint="eastAsia" w:eastAsia="楷体_GB2312"/>
          <w:b/>
          <w:sz w:val="24"/>
          <w:lang w:val="en-US" w:eastAsia="zh-CN"/>
        </w:rPr>
        <w:t>ZhangBo</w:t>
      </w:r>
    </w:p>
    <w:p w14:paraId="40204190">
      <w:pPr>
        <w:spacing w:line="400" w:lineRule="exact"/>
        <w:jc w:val="center"/>
        <w:rPr>
          <w:rFonts w:hint="eastAsia" w:ascii="黑体" w:hAnsi="宋体" w:eastAsia="黑体"/>
          <w:szCs w:val="21"/>
        </w:rPr>
      </w:pPr>
    </w:p>
    <w:p w14:paraId="6666D6A2">
      <w:pPr>
        <w:pStyle w:val="6"/>
        <w:spacing w:line="400" w:lineRule="exact"/>
        <w:ind w:firstLine="422" w:firstLineChars="200"/>
        <w:rPr>
          <w:rFonts w:hint="eastAsia"/>
          <w:sz w:val="21"/>
          <w:szCs w:val="21"/>
        </w:rPr>
      </w:pPr>
      <w:r>
        <w:rPr>
          <w:b/>
          <w:bCs/>
          <w:sz w:val="21"/>
          <w:szCs w:val="21"/>
        </w:rPr>
        <w:t>Abstract</w:t>
      </w:r>
      <w:r>
        <w:rPr>
          <w:b/>
          <w:sz w:val="21"/>
          <w:szCs w:val="21"/>
        </w:rPr>
        <w:t>：</w:t>
      </w:r>
      <w:r>
        <w:rPr>
          <w:rFonts w:hint="eastAsia"/>
          <w:sz w:val="21"/>
          <w:szCs w:val="21"/>
        </w:rPr>
        <w:t>Radar echo nowcasting is crucial for severe weather warning. Addressing the issues of image blurring, detail loss, and difficulty in capturing non-linear motions in traditional deep learning methods (e.g., U-Net, ConvLSTM), this paper proposes a two-stage nowcasting model named PhysFormer-GAN. In the first stage, a generator fusing Coordinate Attention and Spatiotemporal Transformer is constructed, incorporating a Physics-aware Loss to enhance focus on heavy rainfall regions. In the second stage, a PatchGAN discriminator is introduced with a Warm Start strategy for adversarial fine-tuning to recover high-frequency texture details. Experimental results on the CIKM 2017 dataset show that the model achieves an 11.4% improvement in average CSI compared to persistence, with significant gains in HSS and a ~50% reduction in FAR. The study demonstrates that PhysFormer-GAN effectively overcomes the smoothing effect of regression models, generating radar echo images with high fidelity and physical consistency.</w:t>
      </w:r>
    </w:p>
    <w:p w14:paraId="49A03A2C">
      <w:pPr>
        <w:pStyle w:val="6"/>
        <w:spacing w:line="400" w:lineRule="exact"/>
        <w:ind w:firstLine="422" w:firstLineChars="200"/>
        <w:rPr>
          <w:rFonts w:hint="eastAsia" w:eastAsia="宋体"/>
          <w:color w:val="FF0000"/>
          <w:sz w:val="21"/>
          <w:szCs w:val="21"/>
          <w:lang w:eastAsia="zh-CN"/>
        </w:rPr>
      </w:pPr>
      <w:r>
        <w:rPr>
          <w:b/>
          <w:sz w:val="21"/>
          <w:szCs w:val="21"/>
        </w:rPr>
        <w:t>Key</w:t>
      </w:r>
      <w:r>
        <w:rPr>
          <w:rFonts w:hint="eastAsia"/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words：</w:t>
      </w:r>
      <w:r>
        <w:rPr>
          <w:rFonts w:hint="eastAsia"/>
          <w:sz w:val="21"/>
          <w:szCs w:val="21"/>
        </w:rPr>
        <w:t>PCB；Nowcasting; GAN; Transformer; Physics-aware Loss; Coordinate Attention</w:t>
      </w:r>
    </w:p>
    <w:p w14:paraId="3F1F42D6">
      <w:pPr>
        <w:pStyle w:val="6"/>
        <w:spacing w:line="400" w:lineRule="exact"/>
        <w:ind w:firstLine="422" w:firstLineChars="200"/>
        <w:rPr>
          <w:rFonts w:hint="eastAsia"/>
          <w:b/>
          <w:bCs/>
          <w:sz w:val="21"/>
          <w:szCs w:val="21"/>
        </w:rPr>
      </w:pPr>
    </w:p>
    <w:p w14:paraId="64F11A82">
      <w:pPr>
        <w:pStyle w:val="10"/>
        <w:rPr>
          <w:rFonts w:hint="eastAsia"/>
        </w:rPr>
      </w:pPr>
      <w:r>
        <w:rPr>
          <w:rFonts w:hint="eastAsia" w:ascii="黑体"/>
          <w:b/>
          <w:sz w:val="44"/>
          <w:szCs w:val="44"/>
        </w:rPr>
        <w:t>目  录</w:t>
      </w:r>
    </w:p>
    <w:p w14:paraId="14D02886">
      <w:pPr>
        <w:spacing w:line="360" w:lineRule="auto"/>
        <w:jc w:val="center"/>
        <w:rPr>
          <w:rFonts w:hint="eastAsia" w:ascii="黑体" w:hAnsi="宋体" w:eastAsia="黑体"/>
          <w:sz w:val="44"/>
          <w:szCs w:val="44"/>
        </w:rPr>
      </w:pPr>
    </w:p>
    <w:p w14:paraId="7CDBB94C">
      <w:pPr>
        <w:tabs>
          <w:tab w:val="left" w:pos="3465"/>
          <w:tab w:val="left" w:pos="8820"/>
        </w:tabs>
        <w:spacing w:line="360" w:lineRule="auto"/>
        <w:jc w:val="distribute"/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1、引言</w:t>
      </w:r>
      <w:r>
        <w:rPr>
          <w:rFonts w:ascii="宋体" w:hAnsi="宋体"/>
          <w:sz w:val="24"/>
        </w:rPr>
        <w:t>………………………………………………………………………………………</w:t>
      </w:r>
      <w:r>
        <w:rPr>
          <w:rFonts w:hint="eastAsia" w:ascii="宋体" w:hAnsi="宋体"/>
          <w:sz w:val="24"/>
        </w:rPr>
        <w:t>1</w:t>
      </w:r>
    </w:p>
    <w:p w14:paraId="30F6076A">
      <w:pPr>
        <w:spacing w:line="360" w:lineRule="auto"/>
        <w:jc w:val="distribute"/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1.1研究</w:t>
      </w:r>
      <w:r>
        <w:rPr>
          <w:rFonts w:hint="eastAsia" w:ascii="宋体" w:hAnsi="宋体"/>
          <w:bCs/>
          <w:sz w:val="24"/>
          <w:lang w:val="en-US" w:eastAsia="zh-CN"/>
        </w:rPr>
        <w:t>意义与</w:t>
      </w:r>
      <w:r>
        <w:rPr>
          <w:rFonts w:hint="eastAsia" w:ascii="宋体" w:hAnsi="宋体"/>
          <w:bCs/>
          <w:sz w:val="24"/>
        </w:rPr>
        <w:t>背景</w:t>
      </w:r>
      <w:r>
        <w:rPr>
          <w:rFonts w:ascii="宋体" w:hAnsi="宋体"/>
          <w:sz w:val="24"/>
        </w:rPr>
        <w:t>…………………………………………………………………………</w:t>
      </w:r>
      <w:r>
        <w:rPr>
          <w:rFonts w:hint="eastAsia" w:ascii="宋体" w:hAnsi="宋体"/>
          <w:sz w:val="24"/>
        </w:rPr>
        <w:t>1</w:t>
      </w:r>
    </w:p>
    <w:p w14:paraId="721C145B">
      <w:pPr>
        <w:spacing w:line="360" w:lineRule="auto"/>
        <w:jc w:val="distribute"/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1.2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国内外研究现状</w:t>
      </w:r>
      <w:r>
        <w:rPr>
          <w:rFonts w:ascii="宋体" w:hAnsi="宋体"/>
          <w:sz w:val="24"/>
        </w:rPr>
        <w:t>…………………………………………………………………………</w:t>
      </w:r>
      <w:r>
        <w:rPr>
          <w:rFonts w:hint="eastAsia" w:ascii="宋体" w:hAnsi="宋体"/>
          <w:sz w:val="24"/>
        </w:rPr>
        <w:t>1</w:t>
      </w:r>
    </w:p>
    <w:p w14:paraId="43295BFA">
      <w:pPr>
        <w:tabs>
          <w:tab w:val="left" w:pos="8190"/>
        </w:tabs>
        <w:spacing w:line="360" w:lineRule="auto"/>
        <w:jc w:val="distribute"/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>2、相关</w:t>
      </w:r>
      <w:r>
        <w:rPr>
          <w:rFonts w:hint="eastAsia" w:ascii="宋体" w:hAnsi="宋体"/>
          <w:bCs/>
          <w:sz w:val="24"/>
          <w:lang w:val="en-US" w:eastAsia="zh-CN"/>
        </w:rPr>
        <w:t>理论与技术</w:t>
      </w:r>
      <w:r>
        <w:rPr>
          <w:rFonts w:ascii="宋体" w:hAnsi="宋体"/>
          <w:sz w:val="24"/>
        </w:rPr>
        <w:t>……………………………………………………………………………</w:t>
      </w:r>
      <w:r>
        <w:rPr>
          <w:rFonts w:hint="eastAsia" w:ascii="宋体" w:hAnsi="宋体"/>
          <w:sz w:val="24"/>
        </w:rPr>
        <w:t>1</w:t>
      </w:r>
    </w:p>
    <w:p w14:paraId="1B0E8B06">
      <w:pPr>
        <w:spacing w:line="360" w:lineRule="auto"/>
        <w:jc w:val="distribute"/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 xml:space="preserve">2.1 </w:t>
      </w:r>
      <w:r>
        <w:rPr>
          <w:rFonts w:hint="eastAsia" w:ascii="宋体" w:hAnsi="宋体"/>
          <w:bCs/>
          <w:sz w:val="24"/>
          <w:lang w:val="en-US" w:eastAsia="zh-CN"/>
        </w:rPr>
        <w:t>卷积神经网络与注意力机制</w:t>
      </w:r>
      <w:r>
        <w:rPr>
          <w:rFonts w:ascii="宋体" w:hAnsi="宋体"/>
          <w:sz w:val="24"/>
        </w:rPr>
        <w:t>……………………………………………………………</w:t>
      </w:r>
      <w:r>
        <w:rPr>
          <w:rFonts w:hint="eastAsia" w:ascii="宋体" w:hAnsi="宋体"/>
          <w:sz w:val="24"/>
        </w:rPr>
        <w:t>1</w:t>
      </w:r>
    </w:p>
    <w:p w14:paraId="5B6B74B6">
      <w:pPr>
        <w:tabs>
          <w:tab w:val="left" w:pos="8820"/>
        </w:tabs>
        <w:spacing w:line="360" w:lineRule="auto"/>
        <w:jc w:val="distribute"/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 xml:space="preserve">2.2 </w:t>
      </w:r>
      <w:r>
        <w:rPr>
          <w:rFonts w:hint="eastAsia" w:ascii="宋体" w:hAnsi="宋体"/>
          <w:bCs/>
          <w:sz w:val="24"/>
          <w:lang w:val="en-US" w:eastAsia="zh-CN"/>
        </w:rPr>
        <w:t>生成对抗网络（GAN）</w:t>
      </w:r>
      <w:r>
        <w:rPr>
          <w:rFonts w:ascii="宋体" w:hAnsi="宋体"/>
          <w:sz w:val="24"/>
        </w:rPr>
        <w:t>……………………………………………………………………</w:t>
      </w:r>
      <w:r>
        <w:rPr>
          <w:rFonts w:hint="eastAsia" w:ascii="宋体" w:hAnsi="宋体"/>
          <w:sz w:val="24"/>
        </w:rPr>
        <w:t>1</w:t>
      </w:r>
    </w:p>
    <w:p w14:paraId="765BAFBE">
      <w:pPr>
        <w:tabs>
          <w:tab w:val="left" w:pos="8190"/>
        </w:tabs>
        <w:spacing w:line="360" w:lineRule="auto"/>
        <w:jc w:val="distribute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3、</w:t>
      </w:r>
      <w:r>
        <w:rPr>
          <w:rFonts w:hint="eastAsia" w:ascii="宋体" w:hAnsi="宋体"/>
          <w:bCs/>
          <w:sz w:val="24"/>
          <w:lang w:val="en-US" w:eastAsia="zh-CN"/>
        </w:rPr>
        <w:t>PhysFormer-GAN模型设计</w:t>
      </w:r>
      <w:r>
        <w:rPr>
          <w:rFonts w:ascii="宋体" w:hAnsi="宋体"/>
          <w:sz w:val="24"/>
        </w:rPr>
        <w:t>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2</w:t>
      </w:r>
    </w:p>
    <w:p w14:paraId="2608EECF">
      <w:pPr>
        <w:spacing w:line="360" w:lineRule="auto"/>
        <w:jc w:val="distribute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 xml:space="preserve">3.1 </w:t>
      </w:r>
      <w:r>
        <w:rPr>
          <w:rFonts w:hint="eastAsia" w:ascii="宋体" w:hAnsi="宋体"/>
          <w:bCs/>
          <w:sz w:val="24"/>
          <w:lang w:val="en-US" w:eastAsia="zh-CN"/>
        </w:rPr>
        <w:t>模型总体架构</w:t>
      </w:r>
      <w:r>
        <w:rPr>
          <w:rFonts w:ascii="宋体" w:hAnsi="宋体"/>
          <w:sz w:val="24"/>
        </w:rPr>
        <w:t>……………………………………………………………………………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2</w:t>
      </w:r>
    </w:p>
    <w:p w14:paraId="419AF34A">
      <w:pPr>
        <w:tabs>
          <w:tab w:val="left" w:pos="8820"/>
        </w:tabs>
        <w:spacing w:line="360" w:lineRule="auto"/>
        <w:jc w:val="distribute"/>
        <w:rPr>
          <w:rFonts w:hint="eastAsia" w:ascii="宋体" w:hAnsi="宋体"/>
          <w:sz w:val="24"/>
        </w:rPr>
      </w:pPr>
      <w:r>
        <w:rPr>
          <w:rFonts w:hint="eastAsia" w:ascii="宋体" w:hAnsi="宋体"/>
          <w:bCs/>
          <w:sz w:val="24"/>
        </w:rPr>
        <w:t xml:space="preserve">3.2 </w:t>
      </w:r>
      <w:r>
        <w:rPr>
          <w:rFonts w:hint="eastAsia" w:ascii="宋体" w:hAnsi="宋体"/>
          <w:bCs/>
          <w:sz w:val="24"/>
          <w:lang w:val="en-US" w:eastAsia="zh-CN"/>
        </w:rPr>
        <w:t>PhysFormer生成器</w:t>
      </w:r>
      <w:r>
        <w:rPr>
          <w:rFonts w:hint="eastAsia" w:ascii="宋体" w:hAnsi="宋体"/>
          <w:bCs/>
          <w:sz w:val="24"/>
        </w:rPr>
        <w:t>设计</w:t>
      </w:r>
      <w:r>
        <w:rPr>
          <w:rFonts w:ascii="宋体" w:hAnsi="宋体"/>
          <w:sz w:val="24"/>
        </w:rPr>
        <w:t>…………………………………………………………………</w:t>
      </w:r>
      <w:r>
        <w:rPr>
          <w:rFonts w:hint="eastAsia" w:ascii="宋体" w:hAnsi="宋体"/>
          <w:sz w:val="24"/>
        </w:rPr>
        <w:t>2</w:t>
      </w:r>
    </w:p>
    <w:p w14:paraId="657A9E19">
      <w:pPr>
        <w:tabs>
          <w:tab w:val="left" w:pos="8820"/>
        </w:tabs>
        <w:spacing w:line="360" w:lineRule="auto"/>
        <w:jc w:val="distribute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3.</w:t>
      </w:r>
      <w:r>
        <w:rPr>
          <w:rFonts w:hint="eastAsia" w:ascii="宋体" w:hAnsi="宋体"/>
          <w:bCs/>
          <w:sz w:val="24"/>
          <w:lang w:val="en-US" w:eastAsia="zh-CN"/>
        </w:rPr>
        <w:t>3</w:t>
      </w:r>
      <w:r>
        <w:rPr>
          <w:rFonts w:hint="eastAsia" w:ascii="宋体" w:hAnsi="宋体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  <w:lang w:val="en-US" w:eastAsia="zh-CN"/>
        </w:rPr>
        <w:t>对抗微调与判别器设计</w:t>
      </w:r>
      <w:r>
        <w:rPr>
          <w:rFonts w:ascii="宋体" w:hAnsi="宋体"/>
          <w:sz w:val="24"/>
        </w:rPr>
        <w:t>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3</w:t>
      </w:r>
    </w:p>
    <w:p w14:paraId="0034A246">
      <w:pPr>
        <w:spacing w:line="360" w:lineRule="auto"/>
        <w:jc w:val="distribute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3.</w:t>
      </w:r>
      <w:r>
        <w:rPr>
          <w:rFonts w:hint="eastAsia" w:ascii="宋体" w:hAnsi="宋体"/>
          <w:bCs/>
          <w:sz w:val="24"/>
          <w:lang w:val="en-US" w:eastAsia="zh-CN"/>
        </w:rPr>
        <w:t>4</w:t>
      </w:r>
      <w:r>
        <w:rPr>
          <w:rFonts w:hint="eastAsia" w:ascii="宋体" w:hAnsi="宋体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  <w:lang w:val="en-US" w:eastAsia="zh-CN"/>
        </w:rPr>
        <w:t>损失函数设计</w:t>
      </w:r>
      <w:r>
        <w:rPr>
          <w:rFonts w:ascii="宋体" w:hAnsi="宋体"/>
          <w:sz w:val="24"/>
        </w:rPr>
        <w:t>……………………………………………………………………………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4</w:t>
      </w:r>
    </w:p>
    <w:p w14:paraId="3C314C15">
      <w:pPr>
        <w:tabs>
          <w:tab w:val="left" w:pos="8190"/>
        </w:tabs>
        <w:spacing w:line="360" w:lineRule="auto"/>
        <w:jc w:val="distribute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4、实验</w:t>
      </w:r>
      <w:r>
        <w:rPr>
          <w:rFonts w:hint="eastAsia" w:ascii="宋体" w:hAnsi="宋体"/>
          <w:bCs/>
          <w:sz w:val="24"/>
          <w:lang w:val="en-US" w:eastAsia="zh-CN"/>
        </w:rPr>
        <w:t>与结果</w:t>
      </w:r>
      <w:r>
        <w:rPr>
          <w:rFonts w:hint="eastAsia" w:ascii="宋体" w:hAnsi="宋体"/>
          <w:bCs/>
          <w:sz w:val="24"/>
        </w:rPr>
        <w:t>分析</w:t>
      </w:r>
      <w:r>
        <w:rPr>
          <w:rFonts w:ascii="宋体" w:hAnsi="宋体"/>
          <w:sz w:val="24"/>
        </w:rPr>
        <w:t>……………………………………………………………………………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4</w:t>
      </w:r>
    </w:p>
    <w:p w14:paraId="26120708">
      <w:pPr>
        <w:spacing w:line="360" w:lineRule="auto"/>
        <w:jc w:val="distribute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4.</w:t>
      </w:r>
      <w:r>
        <w:rPr>
          <w:rFonts w:hint="eastAsia" w:ascii="宋体" w:hAnsi="宋体"/>
          <w:bCs/>
          <w:sz w:val="24"/>
          <w:lang w:val="en-US" w:eastAsia="zh-CN"/>
        </w:rPr>
        <w:t>1 实验数据与环境</w:t>
      </w:r>
      <w:r>
        <w:rPr>
          <w:rFonts w:ascii="宋体" w:hAnsi="宋体"/>
          <w:sz w:val="24"/>
        </w:rPr>
        <w:t>…………………………………………………………………………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4</w:t>
      </w:r>
    </w:p>
    <w:p w14:paraId="6A49F42A">
      <w:pPr>
        <w:tabs>
          <w:tab w:val="left" w:pos="8820"/>
        </w:tabs>
        <w:spacing w:line="360" w:lineRule="auto"/>
        <w:jc w:val="distribute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4</w:t>
      </w:r>
      <w:r>
        <w:rPr>
          <w:rFonts w:hint="eastAsia" w:ascii="宋体" w:hAnsi="宋体"/>
          <w:bCs/>
          <w:sz w:val="24"/>
          <w:lang w:val="en-US" w:eastAsia="zh-CN"/>
        </w:rPr>
        <w:t>.2 评价指标</w:t>
      </w:r>
      <w:r>
        <w:rPr>
          <w:rFonts w:ascii="宋体" w:hAnsi="宋体"/>
          <w:sz w:val="24"/>
        </w:rPr>
        <w:t>…………………………………………………………………………………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4</w:t>
      </w:r>
    </w:p>
    <w:p w14:paraId="18E41EA3">
      <w:pPr>
        <w:tabs>
          <w:tab w:val="left" w:pos="8820"/>
        </w:tabs>
        <w:spacing w:line="360" w:lineRule="auto"/>
        <w:jc w:val="distribute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4.</w:t>
      </w:r>
      <w:r>
        <w:rPr>
          <w:rFonts w:hint="eastAsia" w:ascii="宋体" w:hAnsi="宋体"/>
          <w:bCs/>
          <w:sz w:val="24"/>
          <w:lang w:val="en-US" w:eastAsia="zh-CN"/>
        </w:rPr>
        <w:t>3 实验结果分析</w:t>
      </w:r>
      <w:r>
        <w:rPr>
          <w:rFonts w:ascii="宋体" w:hAnsi="宋体"/>
          <w:sz w:val="24"/>
        </w:rPr>
        <w:t>……………………………………………………………………………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5</w:t>
      </w:r>
    </w:p>
    <w:p w14:paraId="38C29DC6">
      <w:pPr>
        <w:tabs>
          <w:tab w:val="left" w:pos="8820"/>
        </w:tabs>
        <w:spacing w:line="360" w:lineRule="auto"/>
        <w:jc w:val="distribute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  </w:t>
      </w:r>
      <w:r>
        <w:rPr>
          <w:rFonts w:hint="eastAsia" w:ascii="宋体" w:hAnsi="宋体"/>
          <w:bCs/>
          <w:sz w:val="24"/>
        </w:rPr>
        <w:t>4.</w:t>
      </w:r>
      <w:r>
        <w:rPr>
          <w:rFonts w:hint="eastAsia" w:ascii="宋体" w:hAnsi="宋体"/>
          <w:bCs/>
          <w:sz w:val="24"/>
          <w:lang w:val="en-US" w:eastAsia="zh-CN"/>
        </w:rPr>
        <w:t>3.1</w:t>
      </w:r>
      <w:r>
        <w:rPr>
          <w:rFonts w:hint="eastAsia" w:ascii="宋体" w:hAnsi="宋体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  <w:lang w:val="en-US" w:eastAsia="zh-CN"/>
        </w:rPr>
        <w:t>定量性能评估</w:t>
      </w:r>
      <w:r>
        <w:rPr>
          <w:rFonts w:ascii="宋体" w:hAnsi="宋体"/>
          <w:sz w:val="24"/>
        </w:rPr>
        <w:t>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5</w:t>
      </w:r>
    </w:p>
    <w:p w14:paraId="5C624DFD">
      <w:pPr>
        <w:tabs>
          <w:tab w:val="left" w:pos="8820"/>
        </w:tabs>
        <w:spacing w:line="360" w:lineRule="auto"/>
        <w:jc w:val="distribute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  </w:t>
      </w:r>
      <w:r>
        <w:rPr>
          <w:rFonts w:hint="eastAsia" w:ascii="宋体" w:hAnsi="宋体"/>
          <w:bCs/>
          <w:sz w:val="24"/>
        </w:rPr>
        <w:t>4.</w:t>
      </w:r>
      <w:r>
        <w:rPr>
          <w:rFonts w:hint="eastAsia" w:ascii="宋体" w:hAnsi="宋体"/>
          <w:bCs/>
          <w:sz w:val="24"/>
          <w:lang w:val="en-US" w:eastAsia="zh-CN"/>
        </w:rPr>
        <w:t>3.2</w:t>
      </w:r>
      <w:r>
        <w:rPr>
          <w:rFonts w:hint="eastAsia" w:ascii="宋体" w:hAnsi="宋体"/>
          <w:bCs/>
          <w:sz w:val="24"/>
        </w:rPr>
        <w:t xml:space="preserve"> </w:t>
      </w:r>
      <w:r>
        <w:rPr>
          <w:rFonts w:hint="eastAsia" w:ascii="宋体" w:hAnsi="宋体"/>
          <w:bCs/>
          <w:sz w:val="24"/>
          <w:lang w:val="en-US" w:eastAsia="zh-CN"/>
        </w:rPr>
        <w:t>定性视觉分析</w:t>
      </w:r>
      <w:r>
        <w:rPr>
          <w:rFonts w:ascii="宋体" w:hAnsi="宋体"/>
          <w:sz w:val="24"/>
        </w:rPr>
        <w:t>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6</w:t>
      </w:r>
    </w:p>
    <w:p w14:paraId="0F3F9C66">
      <w:pPr>
        <w:tabs>
          <w:tab w:val="left" w:pos="8190"/>
        </w:tabs>
        <w:spacing w:line="360" w:lineRule="auto"/>
        <w:jc w:val="distribute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5、系统调试</w:t>
      </w:r>
      <w:r>
        <w:rPr>
          <w:rFonts w:hint="eastAsia" w:ascii="宋体" w:hAnsi="宋体"/>
          <w:bCs/>
          <w:sz w:val="24"/>
          <w:lang w:val="en-US" w:eastAsia="zh-CN"/>
        </w:rPr>
        <w:t>与运行</w:t>
      </w:r>
      <w:r>
        <w:rPr>
          <w:rFonts w:hint="eastAsia" w:ascii="宋体" w:hAnsi="宋体"/>
          <w:bCs/>
          <w:sz w:val="24"/>
        </w:rPr>
        <w:t>结果</w:t>
      </w:r>
      <w:r>
        <w:rPr>
          <w:rFonts w:ascii="宋体" w:hAnsi="宋体"/>
          <w:sz w:val="24"/>
        </w:rPr>
        <w:t>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6</w:t>
      </w:r>
    </w:p>
    <w:p w14:paraId="66C3D337">
      <w:pPr>
        <w:spacing w:line="360" w:lineRule="auto"/>
        <w:jc w:val="distribute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5.</w:t>
      </w:r>
      <w:r>
        <w:rPr>
          <w:rFonts w:hint="eastAsia" w:ascii="宋体" w:hAnsi="宋体"/>
          <w:bCs/>
          <w:sz w:val="24"/>
          <w:lang w:val="en-US" w:eastAsia="zh-CN"/>
        </w:rPr>
        <w:t xml:space="preserve">1 </w:t>
      </w:r>
      <w:r>
        <w:rPr>
          <w:rFonts w:hint="eastAsia" w:ascii="宋体" w:hAnsi="宋体"/>
          <w:bCs/>
          <w:sz w:val="24"/>
        </w:rPr>
        <w:t>系统测试步骤与效果</w:t>
      </w:r>
      <w:r>
        <w:rPr>
          <w:rFonts w:ascii="宋体" w:hAnsi="宋体"/>
          <w:sz w:val="24"/>
        </w:rPr>
        <w:t>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6</w:t>
      </w:r>
    </w:p>
    <w:p w14:paraId="66A85215">
      <w:pPr>
        <w:tabs>
          <w:tab w:val="left" w:pos="8820"/>
        </w:tabs>
        <w:spacing w:line="360" w:lineRule="auto"/>
        <w:jc w:val="distribute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5.2 调试遇到问题</w:t>
      </w:r>
      <w:r>
        <w:rPr>
          <w:rFonts w:hint="eastAsia" w:ascii="宋体" w:hAnsi="宋体"/>
          <w:bCs/>
          <w:sz w:val="24"/>
          <w:lang w:val="en-US" w:eastAsia="zh-CN"/>
        </w:rPr>
        <w:t>与解决方案</w:t>
      </w:r>
      <w:r>
        <w:rPr>
          <w:rFonts w:ascii="宋体" w:hAnsi="宋体"/>
          <w:sz w:val="24"/>
        </w:rPr>
        <w:t>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8</w:t>
      </w:r>
    </w:p>
    <w:p w14:paraId="3B9823E2">
      <w:pPr>
        <w:tabs>
          <w:tab w:val="left" w:pos="8190"/>
        </w:tabs>
        <w:spacing w:line="360" w:lineRule="auto"/>
        <w:jc w:val="distribute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  <w:lang w:val="en-US" w:eastAsia="zh-CN"/>
        </w:rPr>
        <w:t>6</w:t>
      </w:r>
      <w:r>
        <w:rPr>
          <w:rFonts w:hint="eastAsia" w:ascii="宋体" w:hAnsi="宋体"/>
          <w:bCs/>
          <w:sz w:val="24"/>
        </w:rPr>
        <w:t>、</w:t>
      </w:r>
      <w:r>
        <w:rPr>
          <w:rFonts w:hint="eastAsia" w:ascii="宋体" w:hAnsi="宋体"/>
          <w:bCs/>
          <w:sz w:val="24"/>
          <w:lang w:val="en-US" w:eastAsia="zh-CN"/>
        </w:rPr>
        <w:t>总结与展望</w:t>
      </w:r>
      <w:r>
        <w:rPr>
          <w:rFonts w:ascii="宋体" w:hAnsi="宋体"/>
          <w:sz w:val="24"/>
        </w:rPr>
        <w:t>…………………………………………………………………………………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9</w:t>
      </w:r>
    </w:p>
    <w:p w14:paraId="36D21294">
      <w:pPr>
        <w:tabs>
          <w:tab w:val="left" w:pos="9135"/>
        </w:tabs>
        <w:spacing w:line="360" w:lineRule="auto"/>
        <w:jc w:val="distribute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 xml:space="preserve">参考文献 </w:t>
      </w:r>
      <w:r>
        <w:rPr>
          <w:rFonts w:ascii="宋体" w:hAnsi="宋体"/>
          <w:sz w:val="24"/>
        </w:rPr>
        <w:t>……………………………………………………………………………………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9</w:t>
      </w:r>
    </w:p>
    <w:p w14:paraId="209A8272">
      <w:pPr>
        <w:spacing w:line="360" w:lineRule="auto"/>
        <w:jc w:val="distribute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bCs/>
          <w:sz w:val="24"/>
        </w:rPr>
        <w:t>附录</w:t>
      </w:r>
      <w:r>
        <w:rPr>
          <w:rFonts w:hint="eastAsia" w:ascii="宋体" w:hAnsi="宋体"/>
          <w:bCs/>
          <w:sz w:val="24"/>
          <w:lang w:val="en-US" w:eastAsia="zh-CN"/>
        </w:rPr>
        <w:t>代码</w:t>
      </w:r>
      <w:r>
        <w:rPr>
          <w:rFonts w:ascii="宋体" w:hAnsi="宋体"/>
          <w:sz w:val="24"/>
        </w:rPr>
        <w:t>……………………………………………………………………………………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>10</w:t>
      </w:r>
    </w:p>
    <w:p w14:paraId="4CA42852">
      <w:pPr>
        <w:pStyle w:val="6"/>
        <w:spacing w:line="400" w:lineRule="exact"/>
        <w:rPr>
          <w:rFonts w:hint="eastAsia" w:ascii="宋体" w:hAnsi="宋体" w:eastAsia="宋体" w:cs="Times New Roman"/>
          <w:bCs/>
          <w:color w:val="FF0000"/>
          <w:kern w:val="2"/>
          <w:sz w:val="24"/>
          <w:szCs w:val="24"/>
          <w:lang w:val="en-US" w:eastAsia="zh-CN" w:bidi="ar-SA"/>
        </w:rPr>
      </w:pPr>
    </w:p>
    <w:p w14:paraId="3BD1A098">
      <w:pPr>
        <w:pStyle w:val="6"/>
        <w:spacing w:line="400" w:lineRule="exact"/>
        <w:rPr>
          <w:rFonts w:hint="eastAsia" w:ascii="宋体" w:hAnsi="宋体"/>
          <w:b/>
          <w:bCs/>
          <w:color w:val="FF0000"/>
        </w:rPr>
      </w:pPr>
    </w:p>
    <w:p w14:paraId="41814FBD">
      <w:pPr>
        <w:pStyle w:val="6"/>
        <w:spacing w:line="400" w:lineRule="exact"/>
        <w:rPr>
          <w:rFonts w:hint="eastAsia" w:ascii="宋体" w:hAnsi="宋体"/>
          <w:b/>
          <w:bCs/>
          <w:color w:val="FF0000"/>
        </w:rPr>
      </w:pPr>
    </w:p>
    <w:p w14:paraId="7DC065F1">
      <w:pPr>
        <w:pStyle w:val="6"/>
        <w:spacing w:line="400" w:lineRule="exact"/>
        <w:rPr>
          <w:rFonts w:hint="eastAsia" w:ascii="宋体" w:hAnsi="宋体"/>
          <w:b/>
          <w:bCs/>
          <w:color w:val="FF0000"/>
        </w:rPr>
      </w:pPr>
    </w:p>
    <w:p w14:paraId="292894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eastAsia" w:ascii="宋体" w:hAnsi="宋体"/>
          <w:b/>
          <w:bCs/>
          <w:sz w:val="24"/>
        </w:rPr>
        <w:sectPr>
          <w:headerReference r:id="rId3" w:type="even"/>
          <w:footerReference r:id="rId4" w:type="even"/>
          <w:pgSz w:w="11906" w:h="16838"/>
          <w:pgMar w:top="1418" w:right="1134" w:bottom="1134" w:left="1701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140D7E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128" w:leftChars="61" w:firstLine="482" w:firstLineChars="200"/>
        <w:jc w:val="center"/>
        <w:textAlignment w:val="auto"/>
        <w:rPr>
          <w:rFonts w:hint="eastAsia" w:ascii="宋体" w:hAnsi="宋体"/>
          <w:color w:val="FF0000"/>
        </w:rPr>
      </w:pPr>
      <w:r>
        <w:rPr>
          <w:rFonts w:hint="eastAsia" w:ascii="宋体" w:hAnsi="宋体"/>
          <w:b/>
          <w:bCs/>
          <w:sz w:val="24"/>
        </w:rPr>
        <w:t>1引言</w:t>
      </w:r>
      <w:bookmarkStart w:id="1" w:name="_Toc55354239"/>
    </w:p>
    <w:p w14:paraId="728DAA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/>
          <w:color w:val="FF0000"/>
        </w:rPr>
      </w:pPr>
    </w:p>
    <w:p w14:paraId="376A96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eastAsia" w:ascii="宋体" w:hAnsi="宋体" w:eastAsia="宋体"/>
          <w:color w:val="FF0000"/>
          <w:lang w:val="en-US" w:eastAsia="zh-CN"/>
        </w:rPr>
      </w:pPr>
      <w:r>
        <w:rPr>
          <w:rFonts w:hint="eastAsia" w:ascii="宋体" w:hAnsi="宋体"/>
          <w:b/>
          <w:szCs w:val="21"/>
        </w:rPr>
        <w:t>1.1</w:t>
      </w:r>
      <w:bookmarkEnd w:id="1"/>
      <w:r>
        <w:rPr>
          <w:rFonts w:hint="eastAsia" w:ascii="宋体" w:hAnsi="宋体"/>
          <w:b/>
          <w:szCs w:val="21"/>
        </w:rPr>
        <w:t>研究背景</w:t>
      </w:r>
      <w:r>
        <w:rPr>
          <w:rFonts w:hint="eastAsia" w:ascii="宋体" w:hAnsi="宋体"/>
          <w:b/>
          <w:szCs w:val="21"/>
          <w:lang w:val="en-US" w:eastAsia="zh-CN"/>
        </w:rPr>
        <w:t>与意义</w:t>
      </w:r>
    </w:p>
    <w:p w14:paraId="761E23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气象短临预报（Nowcasting）长期以来一直是天气预报领域的一个重要问题。该任务的目标是对局部区域在相对较短的时间内（例如0-6小时）的降雨强度给出精确且及时的预测。这对于及时采取诸如发布社会层面紧急降雨警报、为机场提供天气指导以及与长期数值天气预报（NWP）模型无缝集成等行动至关重要。由于所需的预报分辨率和时间精度远高于其他传统预报任务（如周平均气温预测），降水短临预报问题相当具有挑战性，并已成为气象学界的一个热门研究课题</w:t>
      </w:r>
      <w:r>
        <w:rPr>
          <w:rFonts w:hint="default" w:ascii="宋体" w:hAnsi="宋体"/>
          <w:vertAlign w:val="superscript"/>
          <w:lang w:val="en-US"/>
        </w:rPr>
        <w:fldChar w:fldCharType="begin"/>
      </w:r>
      <w:r>
        <w:rPr>
          <w:rFonts w:hint="default" w:ascii="宋体" w:hAnsi="宋体"/>
          <w:vertAlign w:val="superscript"/>
          <w:lang w:val="en-US"/>
        </w:rPr>
        <w:instrText xml:space="preserve"> REF _Ref11649 \r \h </w:instrText>
      </w:r>
      <w:r>
        <w:rPr>
          <w:rFonts w:hint="default" w:ascii="宋体" w:hAnsi="宋体"/>
          <w:vertAlign w:val="superscript"/>
          <w:lang w:val="en-US"/>
        </w:rPr>
        <w:fldChar w:fldCharType="separate"/>
      </w:r>
      <w:r>
        <w:rPr>
          <w:rFonts w:hint="default" w:ascii="宋体" w:hAnsi="宋体"/>
          <w:vertAlign w:val="superscript"/>
          <w:lang w:val="en-US"/>
        </w:rPr>
        <w:t>[1]</w:t>
      </w:r>
      <w:r>
        <w:rPr>
          <w:rFonts w:hint="default" w:ascii="宋体" w:hAnsi="宋体"/>
          <w:vertAlign w:val="superscript"/>
          <w:lang w:val="en-US"/>
        </w:rPr>
        <w:fldChar w:fldCharType="end"/>
      </w:r>
      <w:r>
        <w:rPr>
          <w:rFonts w:hint="eastAsia" w:ascii="宋体" w:hAnsi="宋体" w:cs="宋体"/>
          <w:sz w:val="21"/>
          <w:szCs w:val="21"/>
          <w:lang w:eastAsia="zh-CN"/>
        </w:rPr>
        <w:t>。</w:t>
      </w:r>
    </w:p>
    <w:p w14:paraId="4091D8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传统的深度学习方法多基于均方误差（MSE）损失函数进行训练。虽然 MSE 能优化整体像素误差，但其假设数据服从高斯分布，导致预测结果倾向于所有可能解的“平均值”。在视觉上，这表现为预测图像边缘模糊、高频细节丢失，即“模糊效应”（Blurry Effect）。对于强对流天气（高 dBZ 值区域），这种模糊会导致降雨强度被严重低估，从而漏报灾害性天气。 </w:t>
      </w:r>
    </w:p>
    <w:p w14:paraId="34B6A9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针对上述痛点，本文提出了 PhysFormer-GAN 模型。该模型结合了 Transformer 的长程建模能力和 GAN 的纹理生成能力，旨在实现高保真、物理一致的雷达回波推演。</w:t>
      </w:r>
    </w:p>
    <w:p w14:paraId="29C46C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default" w:ascii="宋体" w:hAnsi="宋体"/>
          <w:b/>
          <w:szCs w:val="21"/>
          <w:lang w:val="en-US" w:eastAsia="zh-CN"/>
        </w:rPr>
      </w:pPr>
      <w:r>
        <w:rPr>
          <w:rFonts w:hint="eastAsia" w:ascii="宋体" w:hAnsi="宋体"/>
          <w:b/>
          <w:szCs w:val="21"/>
          <w:lang w:val="en-US" w:eastAsia="zh-CN"/>
        </w:rPr>
        <w:t>1.2 国内外研究现状</w:t>
      </w:r>
    </w:p>
    <w:p w14:paraId="75850A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早期的外推方法主要基于光流法（Optical Flow），假设像素亮度守恒，难以处理云团的生消演变。随着深度学习的发展，Shi等人提出的 ConvLSTM 网络将卷积操作引入 LSTM 单元，开创了时空序列预测的先河[1]。随后，TrajGRU 等改进模型进一步优化了对非刚性物体运动的捕捉能力</w:t>
      </w:r>
      <w:r>
        <w:rPr>
          <w:rFonts w:hint="default" w:ascii="宋体" w:hAnsi="宋体"/>
          <w:vertAlign w:val="superscript"/>
          <w:lang w:val="en-US"/>
        </w:rPr>
        <w:fldChar w:fldCharType="begin"/>
      </w:r>
      <w:r>
        <w:rPr>
          <w:rFonts w:hint="default" w:ascii="宋体" w:hAnsi="宋体"/>
          <w:vertAlign w:val="superscript"/>
          <w:lang w:val="en-US"/>
        </w:rPr>
        <w:instrText xml:space="preserve"> REF _Ref12626 \r \h </w:instrText>
      </w:r>
      <w:r>
        <w:rPr>
          <w:rFonts w:hint="default" w:ascii="宋体" w:hAnsi="宋体"/>
          <w:vertAlign w:val="superscript"/>
          <w:lang w:val="en-US"/>
        </w:rPr>
        <w:fldChar w:fldCharType="separate"/>
      </w:r>
      <w:r>
        <w:rPr>
          <w:rFonts w:hint="default" w:ascii="宋体" w:hAnsi="宋体"/>
          <w:vertAlign w:val="superscript"/>
          <w:lang w:val="en-US"/>
        </w:rPr>
        <w:t>[2]</w:t>
      </w:r>
      <w:r>
        <w:rPr>
          <w:rFonts w:hint="default" w:ascii="宋体" w:hAnsi="宋体"/>
          <w:vertAlign w:val="superscript"/>
          <w:lang w:val="en-US"/>
        </w:rPr>
        <w:fldChar w:fldCharType="end"/>
      </w:r>
      <w:r>
        <w:rPr>
          <w:rFonts w:ascii="宋体" w:hAnsi="宋体" w:eastAsia="宋体" w:cs="宋体"/>
          <w:sz w:val="21"/>
          <w:szCs w:val="21"/>
        </w:rPr>
        <w:t>。近期，基于 U-Net 的全卷积网络因其并行计算优势受到关注，Trebing等人提出的 SmaAt-UNet 引入了注意力机制以提升轻量化模型的预测性能</w:t>
      </w:r>
      <w:r>
        <w:rPr>
          <w:rFonts w:hint="default" w:ascii="宋体" w:hAnsi="宋体"/>
          <w:vertAlign w:val="superscript"/>
          <w:lang w:val="en-US"/>
        </w:rPr>
        <w:fldChar w:fldCharType="begin"/>
      </w:r>
      <w:r>
        <w:rPr>
          <w:rFonts w:hint="default" w:ascii="宋体" w:hAnsi="宋体"/>
          <w:vertAlign w:val="superscript"/>
          <w:lang w:val="en-US"/>
        </w:rPr>
        <w:instrText xml:space="preserve"> REF _Ref12714 \r \h </w:instrText>
      </w:r>
      <w:r>
        <w:rPr>
          <w:rFonts w:hint="default" w:ascii="宋体" w:hAnsi="宋体"/>
          <w:vertAlign w:val="superscript"/>
          <w:lang w:val="en-US"/>
        </w:rPr>
        <w:fldChar w:fldCharType="separate"/>
      </w:r>
      <w:r>
        <w:rPr>
          <w:rFonts w:hint="default" w:ascii="宋体" w:hAnsi="宋体"/>
          <w:vertAlign w:val="superscript"/>
          <w:lang w:val="en-US"/>
        </w:rPr>
        <w:t>[3]</w:t>
      </w:r>
      <w:r>
        <w:rPr>
          <w:rFonts w:hint="default" w:ascii="宋体" w:hAnsi="宋体"/>
          <w:vertAlign w:val="superscript"/>
          <w:lang w:val="en-US"/>
        </w:rPr>
        <w:fldChar w:fldCharType="end"/>
      </w:r>
      <w:r>
        <w:rPr>
          <w:rFonts w:ascii="宋体" w:hAnsi="宋体" w:eastAsia="宋体" w:cs="宋体"/>
          <w:sz w:val="21"/>
          <w:szCs w:val="21"/>
        </w:rPr>
        <w:t>。 然而，上述方法大多未能解决 MSE 损失带来的图像模糊问题。DeepMind 提出的 DGMR 模型首次证明了生成对抗网络（GAN）在气象预测中的潜力，能够生成高保真的降水场</w:t>
      </w:r>
      <w:r>
        <w:rPr>
          <w:rFonts w:hint="default" w:ascii="宋体" w:hAnsi="宋体"/>
          <w:vertAlign w:val="superscript"/>
          <w:lang w:val="en-US"/>
        </w:rPr>
        <w:fldChar w:fldCharType="begin"/>
      </w:r>
      <w:r>
        <w:rPr>
          <w:rFonts w:hint="default" w:ascii="宋体" w:hAnsi="宋体"/>
          <w:vertAlign w:val="superscript"/>
          <w:lang w:val="en-US"/>
        </w:rPr>
        <w:instrText xml:space="preserve"> REF _Ref12779 \r \h </w:instrText>
      </w:r>
      <w:r>
        <w:rPr>
          <w:rFonts w:hint="default" w:ascii="宋体" w:hAnsi="宋体"/>
          <w:vertAlign w:val="superscript"/>
          <w:lang w:val="en-US"/>
        </w:rPr>
        <w:fldChar w:fldCharType="separate"/>
      </w:r>
      <w:r>
        <w:rPr>
          <w:rFonts w:hint="default" w:ascii="宋体" w:hAnsi="宋体"/>
          <w:vertAlign w:val="superscript"/>
          <w:lang w:val="en-US"/>
        </w:rPr>
        <w:t>[4]</w:t>
      </w:r>
      <w:r>
        <w:rPr>
          <w:rFonts w:hint="default" w:ascii="宋体" w:hAnsi="宋体"/>
          <w:vertAlign w:val="superscript"/>
          <w:lang w:val="en-US"/>
        </w:rPr>
        <w:fldChar w:fldCharType="end"/>
      </w:r>
      <w:r>
        <w:rPr>
          <w:rFonts w:ascii="宋体" w:hAnsi="宋体" w:eastAsia="宋体" w:cs="宋体"/>
          <w:sz w:val="21"/>
          <w:szCs w:val="21"/>
        </w:rPr>
        <w:t>，但其训练难度大且计算资源消耗极高。</w:t>
      </w:r>
    </w:p>
    <w:p w14:paraId="335B9E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/>
          <w:color w:val="FF0000"/>
        </w:rPr>
      </w:pPr>
    </w:p>
    <w:p w14:paraId="51D0DB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default" w:ascii="黑体" w:eastAsia="宋体"/>
          <w:b/>
          <w:bCs/>
          <w:sz w:val="32"/>
          <w:szCs w:val="32"/>
          <w:lang w:val="en-US" w:eastAsia="zh-CN"/>
        </w:rPr>
      </w:pPr>
      <w:bookmarkStart w:id="2" w:name="_Toc55354244"/>
      <w:r>
        <w:rPr>
          <w:rFonts w:hint="eastAsia" w:ascii="宋体" w:hAnsi="宋体"/>
          <w:b/>
          <w:bCs/>
          <w:sz w:val="24"/>
        </w:rPr>
        <w:t>2</w:t>
      </w:r>
      <w:r>
        <w:rPr>
          <w:rFonts w:hint="eastAsia" w:ascii="宋体" w:hAnsi="宋体"/>
          <w:b/>
          <w:bCs/>
          <w:sz w:val="24"/>
          <w:lang w:val="en-US" w:eastAsia="zh-CN"/>
        </w:rPr>
        <w:t>相关理论与技术</w:t>
      </w:r>
    </w:p>
    <w:p w14:paraId="5BB983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/>
          <w:color w:val="FF0000"/>
        </w:rPr>
      </w:pPr>
    </w:p>
    <w:p w14:paraId="38069A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2.1 卷积神经网络与注意力机制</w:t>
      </w:r>
    </w:p>
    <w:p w14:paraId="30ACC0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卷积神经网络（CNN）通过局部感受野提取图像特征。为了增强模型对关键特征的捕捉能力，注意力机制被广泛应用。传统的 CBAM（Convolutional Block Attention Module）虽然有效，但忽略了位置信息。本文采用 Hou 等人提出的 Coordinate Attention（坐标注意力），与通过 2D 全局池化将特征张量转换为单一特征向量的通道注意力不同，坐标注意力将通道注意力分解为两个 1D 特征编码过程，分别沿两个空间方向聚合特征。通过这种方式，可以在一个空间方向上捕获长程依赖关系，同时在另一个空间方向上保留精确的位置信息。随后，生成的特征图被分别编码为一对方向感知和位置敏感的注意力图，这对注意力图可互补地应用于输入特征图，以增强感兴趣目标的表示</w:t>
      </w:r>
      <w:r>
        <w:rPr>
          <w:rFonts w:hint="default" w:ascii="宋体" w:hAnsi="宋体"/>
          <w:vertAlign w:val="superscript"/>
          <w:lang w:val="en-US"/>
        </w:rPr>
        <w:fldChar w:fldCharType="begin"/>
      </w:r>
      <w:r>
        <w:rPr>
          <w:rFonts w:hint="default" w:ascii="宋体" w:hAnsi="宋体"/>
          <w:vertAlign w:val="superscript"/>
          <w:lang w:val="en-US"/>
        </w:rPr>
        <w:instrText xml:space="preserve"> REF _Ref12841 \r \h </w:instrText>
      </w:r>
      <w:r>
        <w:rPr>
          <w:rFonts w:hint="default" w:ascii="宋体" w:hAnsi="宋体"/>
          <w:vertAlign w:val="superscript"/>
          <w:lang w:val="en-US"/>
        </w:rPr>
        <w:fldChar w:fldCharType="separate"/>
      </w:r>
      <w:r>
        <w:rPr>
          <w:rFonts w:hint="default" w:ascii="宋体" w:hAnsi="宋体"/>
          <w:vertAlign w:val="superscript"/>
          <w:lang w:val="en-US"/>
        </w:rPr>
        <w:t>[5]</w:t>
      </w:r>
      <w:r>
        <w:rPr>
          <w:rFonts w:hint="default" w:ascii="宋体" w:hAnsi="宋体"/>
          <w:vertAlign w:val="superscript"/>
          <w:lang w:val="en-US"/>
        </w:rPr>
        <w:fldChar w:fldCharType="end"/>
      </w:r>
      <w:r>
        <w:rPr>
          <w:rFonts w:ascii="宋体" w:hAnsi="宋体" w:eastAsia="宋体" w:cs="宋体"/>
          <w:sz w:val="21"/>
          <w:szCs w:val="21"/>
        </w:rPr>
        <w:t>。</w:t>
      </w:r>
    </w:p>
    <w:p w14:paraId="0BAF35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eastAsia" w:ascii="宋体" w:hAnsi="宋体" w:eastAsia="宋体"/>
          <w:b/>
          <w:szCs w:val="21"/>
          <w:lang w:eastAsia="zh-CN"/>
        </w:rPr>
      </w:pPr>
      <w:r>
        <w:rPr>
          <w:rFonts w:hint="eastAsia" w:ascii="宋体" w:hAnsi="宋体"/>
          <w:b/>
          <w:szCs w:val="21"/>
        </w:rPr>
        <w:t>2.</w:t>
      </w:r>
      <w:r>
        <w:rPr>
          <w:rFonts w:hint="eastAsia" w:ascii="宋体" w:hAnsi="宋体"/>
          <w:b/>
          <w:szCs w:val="21"/>
          <w:lang w:val="en-US" w:eastAsia="zh-CN"/>
        </w:rPr>
        <w:t>2</w:t>
      </w:r>
      <w:r>
        <w:rPr>
          <w:rFonts w:hint="eastAsia" w:ascii="宋体" w:hAnsi="宋体"/>
          <w:b/>
          <w:szCs w:val="21"/>
        </w:rPr>
        <w:t xml:space="preserve"> 生成对抗网络（GAN</w:t>
      </w:r>
      <w:r>
        <w:rPr>
          <w:rFonts w:hint="eastAsia" w:ascii="宋体" w:hAnsi="宋体"/>
          <w:b/>
          <w:szCs w:val="21"/>
          <w:lang w:eastAsia="zh-CN"/>
        </w:rPr>
        <w:t>）</w:t>
      </w:r>
    </w:p>
    <w:p w14:paraId="415AC2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GAN 由生成器（Generator）和判别器（Discriminator）组成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</w:rPr>
        <w:t>由 Goodfellow 等人首次提出</w:t>
      </w:r>
      <w:r>
        <w:rPr>
          <w:rFonts w:hint="default" w:ascii="宋体" w:hAnsi="宋体"/>
          <w:vertAlign w:val="superscript"/>
          <w:lang w:val="en-US"/>
        </w:rPr>
        <w:fldChar w:fldCharType="begin"/>
      </w:r>
      <w:r>
        <w:rPr>
          <w:rFonts w:hint="default" w:ascii="宋体" w:hAnsi="宋体"/>
          <w:vertAlign w:val="superscript"/>
          <w:lang w:val="en-US"/>
        </w:rPr>
        <w:instrText xml:space="preserve"> REF _Ref12903 \r \h </w:instrText>
      </w:r>
      <w:r>
        <w:rPr>
          <w:rFonts w:hint="default" w:ascii="宋体" w:hAnsi="宋体"/>
          <w:vertAlign w:val="superscript"/>
          <w:lang w:val="en-US"/>
        </w:rPr>
        <w:fldChar w:fldCharType="separate"/>
      </w:r>
      <w:r>
        <w:rPr>
          <w:rFonts w:hint="default" w:ascii="宋体" w:hAnsi="宋体"/>
          <w:vertAlign w:val="superscript"/>
          <w:lang w:val="en-US"/>
        </w:rPr>
        <w:t>[6]</w:t>
      </w:r>
      <w:r>
        <w:rPr>
          <w:rFonts w:hint="default" w:ascii="宋体" w:hAnsi="宋体"/>
          <w:vertAlign w:val="superscript"/>
          <w:lang w:val="en-US"/>
        </w:rPr>
        <w:fldChar w:fldCharType="end"/>
      </w:r>
      <w:r>
        <w:rPr>
          <w:rFonts w:ascii="宋体" w:hAnsi="宋体" w:eastAsia="宋体" w:cs="宋体"/>
          <w:sz w:val="21"/>
          <w:szCs w:val="21"/>
        </w:rPr>
        <w:t>。两者通过零和博弈进行训练：生成器试图生成逼真的图像以欺骗判别器，而判别器则努力区分真假图像。在图像生成任务中，GAN 能够从流形上恢复丢失的高频细节，生成纹理清晰的图像，这恰好解决了雷达回波预测中的模糊问题。</w:t>
      </w:r>
    </w:p>
    <w:p w14:paraId="40E188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/>
          <w:color w:val="FF0000"/>
        </w:rPr>
      </w:pPr>
    </w:p>
    <w:p w14:paraId="47DB25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3 PhysFormer-GAN 模型设计</w:t>
      </w:r>
    </w:p>
    <w:p w14:paraId="685244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lang w:val="en-US" w:eastAsia="zh-CN"/>
        </w:rPr>
      </w:pPr>
    </w:p>
    <w:p w14:paraId="6F7523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eastAsia" w:ascii="宋体" w:hAnsi="宋体"/>
          <w:b/>
          <w:szCs w:val="21"/>
        </w:rPr>
      </w:pPr>
      <w:r>
        <w:rPr>
          <w:rFonts w:hint="default" w:ascii="宋体" w:hAnsi="宋体"/>
          <w:b/>
          <w:szCs w:val="21"/>
        </w:rPr>
        <w:t>3.1 模型总体架构</w:t>
      </w:r>
    </w:p>
    <w:p w14:paraId="0D9081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本文提出的 PhysFormer-GAN 采用“两阶段渐进式训练”策略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bookmarkStart w:id="10" w:name="_GoBack"/>
      <w:bookmarkEnd w:id="10"/>
      <w:r>
        <w:rPr>
          <w:rFonts w:hint="eastAsia" w:ascii="宋体" w:hAnsi="宋体" w:cs="宋体"/>
          <w:sz w:val="21"/>
          <w:szCs w:val="21"/>
          <w:lang w:val="en-US" w:eastAsia="zh-CN"/>
        </w:rPr>
        <w:t>如图3.1所示</w:t>
      </w:r>
      <w:r>
        <w:rPr>
          <w:rFonts w:hint="default" w:ascii="宋体" w:hAnsi="宋体" w:eastAsia="宋体" w:cs="宋体"/>
          <w:sz w:val="21"/>
          <w:szCs w:val="21"/>
        </w:rPr>
        <w:t>：</w:t>
      </w:r>
    </w:p>
    <w:p w14:paraId="69CCAF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</w:p>
    <w:p w14:paraId="51F0E9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939030" cy="2686050"/>
            <wp:effectExtent l="0" t="0" r="13970" b="0"/>
            <wp:docPr id="5" name="图片 5" descr="PixPin_2025-12-11_16-03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ixPin_2025-12-11_16-03-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6D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图3.1 </w:t>
      </w:r>
      <w:r>
        <w:rPr>
          <w:rFonts w:hint="eastAsia"/>
        </w:rPr>
        <w:t>PhysFormer-GAN 系统整体架构图</w:t>
      </w:r>
    </w:p>
    <w:p w14:paraId="1ED29A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/>
          <w:lang w:val="en-US" w:eastAsia="zh-CN"/>
        </w:rPr>
      </w:pPr>
    </w:p>
    <w:p w14:paraId="5AEF9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第一阶段（PhysFormer）：构建基于 SmaAt-UNet 的骨干网络，融合 Coordinate Attention 与 Transformer Bottleneck，并引入物理感知损失进行预训练，确保云团位置与强度的物理一致性。</w:t>
      </w:r>
    </w:p>
    <w:p w14:paraId="2A246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第二阶段（Adversarial Fine-tuning）：引入 PatchGAN 判别器，加载第一阶段权重进行热启动（Warm Start）对抗微调，重点恢复纹理细节。</w:t>
      </w:r>
    </w:p>
    <w:p w14:paraId="78D84D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default" w:ascii="宋体" w:hAnsi="宋体"/>
          <w:b/>
          <w:szCs w:val="21"/>
        </w:rPr>
      </w:pPr>
      <w:r>
        <w:rPr>
          <w:rFonts w:hint="default" w:ascii="宋体" w:hAnsi="宋体"/>
          <w:b/>
          <w:szCs w:val="21"/>
        </w:rPr>
        <w:t>3.2 PhysFormer 生成器设计</w:t>
      </w:r>
    </w:p>
    <w:p w14:paraId="65120D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生成器采用编码器-解码器结构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如图3.2所示</w:t>
      </w:r>
      <w:r>
        <w:rPr>
          <w:rFonts w:hint="default" w:ascii="宋体" w:hAnsi="宋体" w:eastAsia="宋体" w:cs="宋体"/>
          <w:sz w:val="21"/>
          <w:szCs w:val="21"/>
        </w:rPr>
        <w:t>。</w:t>
      </w:r>
    </w:p>
    <w:p w14:paraId="1ABD7A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</w:p>
    <w:p w14:paraId="0012DF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885690" cy="2671445"/>
            <wp:effectExtent l="0" t="0" r="3810" b="8255"/>
            <wp:docPr id="2" name="图片 2" descr="PixPin_2025-12-10_09-18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ixPin_2025-12-10_09-18-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A9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图3.2 生成器网络架构图</w:t>
      </w:r>
    </w:p>
    <w:p w14:paraId="3F788F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/>
          <w:lang w:val="en-US" w:eastAsia="zh-CN"/>
        </w:rPr>
      </w:pPr>
    </w:p>
    <w:p w14:paraId="6A587F9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Coordinate Attention：在编码器的每个下采样阶段后嵌入坐标注意力模块，分别在 X 和 Y 方向上聚合特征，使模型能够定位云团的精确位置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如图3.3所示</w:t>
      </w:r>
      <w:r>
        <w:rPr>
          <w:rFonts w:hint="default" w:ascii="宋体" w:hAnsi="宋体" w:eastAsia="宋体" w:cs="宋体"/>
          <w:sz w:val="21"/>
          <w:szCs w:val="21"/>
        </w:rPr>
        <w:t>。</w:t>
      </w:r>
    </w:p>
    <w:p w14:paraId="0CC633B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ascii="宋体" w:hAnsi="宋体" w:eastAsia="宋体" w:cs="宋体"/>
          <w:sz w:val="21"/>
          <w:szCs w:val="21"/>
        </w:rPr>
      </w:pPr>
    </w:p>
    <w:p w14:paraId="5CBA4A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3440430" cy="3181350"/>
            <wp:effectExtent l="0" t="0" r="7620" b="0"/>
            <wp:docPr id="1" name="图片 1" descr="PixPin_2025-12-10_09-47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ixPin_2025-12-10_09-47-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043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2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图3.3 Coordinate Attention 机制详解图</w:t>
      </w:r>
    </w:p>
    <w:p w14:paraId="0378A10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ascii="宋体" w:hAnsi="宋体" w:eastAsia="宋体" w:cs="宋体"/>
          <w:sz w:val="21"/>
          <w:szCs w:val="21"/>
        </w:rPr>
      </w:pPr>
    </w:p>
    <w:p w14:paraId="2DD5A1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（2）Transformer Bottleneck：在 U-Net 的最底层（瓶颈层）嵌入 Transformer Block。利用 Self-Attention 机制捕捉长距离的时空依赖关系，解决卷积网络感受野受限的问题，缓解长时效预测中的信息衰减。</w:t>
      </w:r>
    </w:p>
    <w:p w14:paraId="21C380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default" w:ascii="宋体" w:hAnsi="宋体"/>
          <w:b/>
          <w:szCs w:val="21"/>
        </w:rPr>
      </w:pPr>
      <w:r>
        <w:rPr>
          <w:rFonts w:hint="default" w:ascii="宋体" w:hAnsi="宋体"/>
          <w:b/>
          <w:szCs w:val="21"/>
        </w:rPr>
        <w:t>3.3 对抗微调与判别器设计</w:t>
      </w:r>
    </w:p>
    <w:p w14:paraId="532E15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判别器采用 Isola 等人提出的 PatchGAN 结构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如图3.4</w:t>
      </w:r>
      <w:r>
        <w:rPr>
          <w:rFonts w:hint="default" w:ascii="宋体" w:hAnsi="宋体" w:eastAsia="宋体" w:cs="宋体"/>
          <w:sz w:val="21"/>
          <w:szCs w:val="21"/>
        </w:rPr>
        <w:t>。</w:t>
      </w:r>
    </w:p>
    <w:p w14:paraId="4D3C80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</w:p>
    <w:p w14:paraId="5FDECD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804410" cy="2412365"/>
            <wp:effectExtent l="0" t="0" r="15240" b="6985"/>
            <wp:docPr id="8" name="图片 8" descr="PixPin_2025-12-10_10-16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ixPin_2025-12-10_10-16-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BF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图3.4 PatchGAN判别器原理图</w:t>
      </w:r>
    </w:p>
    <w:p w14:paraId="7E0FFF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 w:ascii="宋体" w:hAnsi="宋体" w:eastAsia="宋体" w:cs="宋体"/>
          <w:sz w:val="21"/>
          <w:szCs w:val="21"/>
        </w:rPr>
      </w:pPr>
    </w:p>
    <w:p w14:paraId="678956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 xml:space="preserve">不同于普通分类器输出单个真假概率，PatchGAN 将图像划分为 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1"/>
            <w:szCs w:val="21"/>
          </w:rPr>
          <m:t>N×N</m:t>
        </m:r>
      </m:oMath>
      <w:r>
        <w:rPr>
          <w:rFonts w:hint="default" w:ascii="宋体" w:hAnsi="宋体" w:eastAsia="宋体" w:cs="宋体"/>
          <w:sz w:val="21"/>
          <w:szCs w:val="21"/>
        </w:rPr>
        <w:t xml:space="preserve"> 的补丁（Patch），并对每个补丁进行真假判别</w:t>
      </w:r>
      <w:r>
        <w:rPr>
          <w:rFonts w:hint="default" w:ascii="宋体" w:hAnsi="宋体"/>
          <w:vertAlign w:val="superscript"/>
          <w:lang w:val="en-US"/>
        </w:rPr>
        <w:fldChar w:fldCharType="begin"/>
      </w:r>
      <w:r>
        <w:rPr>
          <w:rFonts w:hint="default" w:ascii="宋体" w:hAnsi="宋体"/>
          <w:vertAlign w:val="superscript"/>
          <w:lang w:val="en-US"/>
        </w:rPr>
        <w:instrText xml:space="preserve"> REF _Ref13024 \r \h </w:instrText>
      </w:r>
      <w:r>
        <w:rPr>
          <w:rFonts w:hint="default" w:ascii="宋体" w:hAnsi="宋体"/>
          <w:vertAlign w:val="superscript"/>
          <w:lang w:val="en-US"/>
        </w:rPr>
        <w:fldChar w:fldCharType="separate"/>
      </w:r>
      <w:r>
        <w:rPr>
          <w:rFonts w:hint="default" w:ascii="宋体" w:hAnsi="宋体"/>
          <w:vertAlign w:val="superscript"/>
          <w:lang w:val="en-US"/>
        </w:rPr>
        <w:t>[7]</w:t>
      </w:r>
      <w:r>
        <w:rPr>
          <w:rFonts w:hint="default" w:ascii="宋体" w:hAnsi="宋体"/>
          <w:vertAlign w:val="superscript"/>
          <w:lang w:val="en-US"/>
        </w:rPr>
        <w:fldChar w:fldCharType="end"/>
      </w:r>
      <w:r>
        <w:rPr>
          <w:rFonts w:hint="default" w:ascii="宋体" w:hAnsi="宋体" w:eastAsia="宋体" w:cs="宋体"/>
          <w:sz w:val="21"/>
          <w:szCs w:val="21"/>
        </w:rPr>
        <w:t>。这种设计迫使生成器关注局部的高频纹理细节，从而生成边缘锐利的雷达回波。</w:t>
      </w:r>
    </w:p>
    <w:p w14:paraId="3E5915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default" w:ascii="宋体" w:hAnsi="宋体"/>
          <w:b/>
          <w:szCs w:val="21"/>
        </w:rPr>
      </w:pPr>
      <w:r>
        <w:rPr>
          <w:rFonts w:hint="default" w:ascii="宋体" w:hAnsi="宋体"/>
          <w:b/>
          <w:szCs w:val="21"/>
        </w:rPr>
        <w:t>3.4 损失函数设计</w:t>
      </w:r>
    </w:p>
    <w:p w14:paraId="07AC68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为了平衡像素准确性和视觉逼真度，本文设计了混合损失函数：</w:t>
      </w:r>
    </w:p>
    <w:p w14:paraId="048003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total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1"/>
              <w:szCs w:val="21"/>
            </w:rPr>
            <m:t>=</m:t>
          </m:r>
          <m:sSub>
            <m:sSubP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λ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content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1"/>
              <w:szCs w:val="21"/>
            </w:rPr>
            <m:t>⋅</m:t>
          </m:r>
          <m:sSub>
            <m:sSubP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physics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1"/>
              <w:szCs w:val="21"/>
            </w:rPr>
            <m:t>+</m:t>
          </m:r>
          <m:sSub>
            <m:sSubP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λ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adv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1"/>
              <w:szCs w:val="21"/>
            </w:rPr>
            <m:t>⋅</m:t>
          </m:r>
          <m:sSub>
            <m:sSubP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GAN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ub>
          </m:sSub>
        </m:oMath>
      </m:oMathPara>
    </w:p>
    <w:p w14:paraId="4A2EE4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其中，</w:t>
      </w:r>
      <m:oMath>
        <m:sSub>
          <m:sSubPr>
            <m:ctrlPr>
              <w:rPr>
                <w:rFonts w:hint="default" w:ascii="Cambria Math" w:hAnsi="Cambria Math" w:eastAsia="宋体" w:cs="宋体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1"/>
                <w:szCs w:val="21"/>
              </w:rPr>
              <m:t>L</m:t>
            </m:r>
            <m:ctrlPr>
              <w:rPr>
                <w:rFonts w:hint="default" w:ascii="Cambria Math" w:hAnsi="Cambria Math" w:eastAsia="宋体" w:cs="宋体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sz w:val="21"/>
                <w:szCs w:val="21"/>
              </w:rPr>
              <m:t>physics</m:t>
            </m:r>
            <m:ctrlPr>
              <w:rPr>
                <w:rFonts w:hint="default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default" w:ascii="宋体" w:hAnsi="宋体" w:eastAsia="宋体" w:cs="宋体"/>
          <w:sz w:val="21"/>
          <w:szCs w:val="21"/>
        </w:rPr>
        <w:t xml:space="preserve"> 为物理感知损失（Physics-aware Loss）。考虑到气象数据的长尾分布（大部分区域无雨，少部分区域强降雨），该损失函数对高反射率因子区域赋予更高的权重，公式如下：</w:t>
      </w:r>
    </w:p>
    <w:p w14:paraId="0C5FD5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L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physics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1"/>
              <w:szCs w:val="21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naryPr>
            <m:sub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ub>
            <m:sup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(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eastAsia="宋体" w:cs="宋体"/>
              <w:sz w:val="21"/>
              <w:szCs w:val="21"/>
            </w:rPr>
            <m:t>y−</m:t>
          </m:r>
          <m:acc>
            <m:accP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y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e>
          </m:acc>
          <m:sSup>
            <m:sSupP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)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default" w:ascii="Cambria Math" w:hAnsi="Cambria Math" w:eastAsia="宋体" w:cs="宋体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sz w:val="21"/>
              <w:szCs w:val="21"/>
            </w:rPr>
            <m:t>⋅(1+w⋅</m:t>
          </m:r>
          <m:r>
            <m:rPr>
              <m:sty m:val="p"/>
              <m:scr m:val="double-struck"/>
            </m:rPr>
            <w:rPr>
              <w:rFonts w:hint="default" w:ascii="Cambria Math" w:hAnsi="Cambria Math" w:eastAsia="MS Mincho" w:cs="MS Mincho"/>
              <w:sz w:val="21"/>
              <w:szCs w:val="21"/>
            </w:rPr>
            <m:t>I</m:t>
          </m:r>
          <m:r>
            <m:rPr>
              <m:sty m:val="p"/>
            </m:rPr>
            <w:rPr>
              <w:rFonts w:hint="default" w:ascii="Cambria Math" w:hAnsi="Cambria Math" w:eastAsia="宋体" w:cs="宋体"/>
              <w:sz w:val="21"/>
              <w:szCs w:val="21"/>
            </w:rPr>
            <m:t>(y&gt;τ))</m:t>
          </m:r>
        </m:oMath>
      </m:oMathPara>
    </w:p>
    <w:p w14:paraId="73A62A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 xml:space="preserve">其中 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1"/>
            <w:szCs w:val="21"/>
          </w:rPr>
          <m:t>τ</m:t>
        </m:r>
      </m:oMath>
      <w:r>
        <w:rPr>
          <w:rFonts w:hint="default" w:ascii="宋体" w:hAnsi="宋体" w:eastAsia="宋体" w:cs="宋体"/>
          <w:sz w:val="21"/>
          <w:szCs w:val="21"/>
        </w:rPr>
        <w:t xml:space="preserve"> 为强降雨阈值，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1"/>
            <w:szCs w:val="21"/>
          </w:rPr>
          <m:t>w</m:t>
        </m:r>
      </m:oMath>
      <w:r>
        <w:rPr>
          <w:rFonts w:hint="default" w:ascii="宋体" w:hAnsi="宋体" w:eastAsia="宋体" w:cs="宋体"/>
          <w:sz w:val="21"/>
          <w:szCs w:val="21"/>
        </w:rPr>
        <w:t xml:space="preserve"> 为加权系数。这强制模型重点关注对防灾更有意义的强回波区域。</w:t>
      </w:r>
    </w:p>
    <w:p w14:paraId="1E3AE1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/>
          <w:color w:val="FF0000"/>
        </w:rPr>
      </w:pPr>
    </w:p>
    <w:p w14:paraId="2FE77B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default" w:ascii="黑体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4实验与结果分析</w:t>
      </w:r>
    </w:p>
    <w:p w14:paraId="7B34E6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/>
          <w:color w:val="FF0000"/>
        </w:rPr>
      </w:pPr>
    </w:p>
    <w:p w14:paraId="4FCC9D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default" w:ascii="宋体" w:hAnsi="宋体"/>
          <w:b/>
          <w:szCs w:val="21"/>
        </w:rPr>
      </w:pPr>
      <w:r>
        <w:rPr>
          <w:rFonts w:hint="default" w:ascii="宋体" w:hAnsi="宋体"/>
          <w:b/>
          <w:szCs w:val="21"/>
        </w:rPr>
        <w:t xml:space="preserve">4.1 实验数据与环境 </w:t>
      </w:r>
    </w:p>
    <w:p w14:paraId="54B5CC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实验采用 CIKM AnalytiCup 2017 雷达数据集。数据集包含 2000 个测试样本，每个样本包含 15 帧雷达回波图像（12 帧输入，3 帧未来真值），时间分辨率为 6 分钟。 实验基于 PyTorch Lightning 框架，使用 Python 3.9 环境。硬件平台为 CPU 环境（验证了模型的轻量化特性）。</w:t>
      </w:r>
    </w:p>
    <w:p w14:paraId="279D64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default" w:ascii="宋体" w:hAnsi="宋体"/>
          <w:b/>
          <w:szCs w:val="21"/>
        </w:rPr>
      </w:pPr>
      <w:r>
        <w:rPr>
          <w:rFonts w:hint="default" w:ascii="宋体" w:hAnsi="宋体"/>
          <w:b/>
          <w:szCs w:val="21"/>
        </w:rPr>
        <w:t xml:space="preserve">4.2 评价指标 </w:t>
      </w:r>
    </w:p>
    <w:p w14:paraId="30C02E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 xml:space="preserve">本文采用气象领域通用的多维评价体系： </w:t>
      </w:r>
    </w:p>
    <w:p w14:paraId="0426F38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 xml:space="preserve">CSI (临界成功指数)：衡量预测降雨位置的准确性。 </w:t>
      </w:r>
    </w:p>
    <w:p w14:paraId="564568B7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 xml:space="preserve">MSE (均方误差)：衡量像素级的数值误差。 </w:t>
      </w:r>
    </w:p>
    <w:p w14:paraId="1669C7C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 xml:space="preserve">HSS (海德克技巧评分)：衡量去除随机运气后的预测技巧。 </w:t>
      </w:r>
    </w:p>
    <w:p w14:paraId="3811F09C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</w:rPr>
      </w:pPr>
      <w:r>
        <w:rPr>
          <w:rFonts w:hint="default" w:ascii="宋体" w:hAnsi="宋体" w:eastAsia="宋体" w:cs="宋体"/>
          <w:sz w:val="21"/>
          <w:szCs w:val="21"/>
        </w:rPr>
        <w:t>FAR (虚警率)：衡量模型的误报程度。</w:t>
      </w:r>
    </w:p>
    <w:p w14:paraId="077089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default" w:ascii="宋体" w:hAnsi="宋体"/>
          <w:b/>
          <w:szCs w:val="21"/>
        </w:rPr>
      </w:pPr>
      <w:r>
        <w:rPr>
          <w:rFonts w:hint="default" w:ascii="宋体" w:hAnsi="宋体"/>
          <w:b/>
          <w:szCs w:val="21"/>
        </w:rPr>
        <w:t>4.3 实验结果分析</w:t>
      </w:r>
    </w:p>
    <w:p w14:paraId="189312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eastAsia" w:ascii="宋体" w:hAnsi="宋体" w:eastAsia="宋体" w:cs="Times New Roman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"/>
          <w:sz w:val="21"/>
          <w:szCs w:val="21"/>
          <w:lang w:val="en-US" w:eastAsia="zh-CN" w:bidi="ar-SA"/>
        </w:rPr>
        <w:t xml:space="preserve">4.3.1 定量性能评估 </w:t>
      </w:r>
    </w:p>
    <w:p w14:paraId="3436DC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在全测试集（2000个样本）上进行的批量评估结果显示，PhysFormer-GAN 在各项指标上均优于基准方法（Persistence）。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</w:p>
    <w:p w14:paraId="7F42E519">
      <w:pPr>
        <w:spacing w:line="400" w:lineRule="exact"/>
        <w:ind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4A8A47C">
      <w:pPr>
        <w:pStyle w:val="12"/>
        <w:keepNext w:val="0"/>
        <w:keepLines w:val="0"/>
        <w:widowControl/>
        <w:suppressLineNumbers w:val="0"/>
        <w:ind w:firstLine="480" w:firstLineChars="200"/>
        <w:jc w:val="center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drawing>
          <wp:inline distT="0" distB="0" distL="114300" distR="114300">
            <wp:extent cx="4129405" cy="2620645"/>
            <wp:effectExtent l="0" t="0" r="4445" b="825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12D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/>
        </w:rPr>
      </w:pPr>
      <w:r>
        <w:rPr>
          <w:rFonts w:hint="eastAsia"/>
        </w:rPr>
        <w:t>图4.1 PhysFormer-GAN 与持续法（Persistence）在不同预报时效下的 CSI 性能对比</w:t>
      </w:r>
    </w:p>
    <w:p w14:paraId="609D9F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41A0798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jc w:val="lef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如图 4.1 所示，红色实线代表 PhysFormer-GAN，灰色虚线代表持续法。可以看出，从 T+6min 开始，本模型的 CSI 指标即全面超越基准方法。随着预报时效的延长（至 T+18min），持续法的性能因无法捕捉云团运动而快速衰减，而本模型曲线下降平缓，展现了极强的长时效鲁棒性。</w:t>
      </w:r>
    </w:p>
    <w:bookmarkEnd w:id="2"/>
    <w:p w14:paraId="00AF6283">
      <w:pPr>
        <w:spacing w:line="400" w:lineRule="exact"/>
        <w:rPr>
          <w:rFonts w:hint="eastAsia" w:ascii="宋体" w:hAnsi="宋体" w:eastAsia="宋体"/>
          <w:color w:val="FF0000"/>
          <w:lang w:val="en-US" w:eastAsia="zh-CN"/>
        </w:rPr>
      </w:pPr>
    </w:p>
    <w:p w14:paraId="40F9EC70">
      <w:pPr>
        <w:spacing w:line="240" w:lineRule="auto"/>
        <w:jc w:val="center"/>
        <w:rPr>
          <w:rFonts w:hint="eastAsia" w:ascii="宋体" w:hAnsi="宋体" w:eastAsia="宋体"/>
          <w:color w:val="FF0000"/>
          <w:lang w:val="en-US" w:eastAsia="zh-CN"/>
        </w:rPr>
      </w:pPr>
      <w:r>
        <w:rPr>
          <w:rFonts w:hint="eastAsia" w:ascii="宋体" w:hAnsi="宋体" w:eastAsia="宋体"/>
          <w:color w:val="FF0000"/>
          <w:lang w:val="en-US" w:eastAsia="zh-CN"/>
        </w:rPr>
        <w:drawing>
          <wp:inline distT="0" distB="0" distL="114300" distR="114300">
            <wp:extent cx="5073650" cy="1036955"/>
            <wp:effectExtent l="0" t="0" r="12700" b="10795"/>
            <wp:docPr id="3" name="图片 3" descr="PixPin_2025-12-09_20-46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ixPin_2025-12-09_20-46-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A9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840" w:firstLineChars="400"/>
        <w:jc w:val="center"/>
        <w:textAlignment w:val="auto"/>
        <w:rPr>
          <w:rFonts w:hint="eastAsia"/>
          <w:szCs w:val="21"/>
        </w:rPr>
      </w:pPr>
      <w:r>
        <w:rPr>
          <w:rFonts w:hint="eastAsia"/>
          <w:szCs w:val="21"/>
        </w:rPr>
        <w:t>表 4.1 不同预报时效下的多指标对比（全测试集均值）</w:t>
      </w:r>
    </w:p>
    <w:p w14:paraId="60AB2B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840" w:firstLineChars="400"/>
        <w:jc w:val="center"/>
        <w:textAlignment w:val="auto"/>
        <w:rPr>
          <w:rFonts w:hint="eastAsia"/>
          <w:szCs w:val="21"/>
        </w:rPr>
      </w:pPr>
    </w:p>
    <w:p w14:paraId="7F6C7DD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从表 4.1 可以看出，本模型在 T+6min 时 HSS 指标提升了约 21%（0.677 vs 0.556），这证明模型并非简单的惯性外推，而是学习到了真实的云团运动技巧。同时，FAR（虚警率）相比持续法降低了约 50%，说明引入 GAN 的对抗训练并没有导致虚假回波的生成，反而通过物理约束抑制了噪声。</w:t>
      </w:r>
    </w:p>
    <w:p w14:paraId="173501E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Times New Roman"/>
          <w:b/>
          <w:bCs/>
          <w:kern w:val="2"/>
          <w:sz w:val="21"/>
          <w:szCs w:val="21"/>
          <w:lang w:val="en-US" w:eastAsia="zh-CN" w:bidi="ar-SA"/>
        </w:rPr>
        <w:t>4.3.2 定性视觉分析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38D62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为了直观展示模型解决“模糊效应”的能力，选取典型强对流样本进行可视化对比。</w:t>
      </w:r>
    </w:p>
    <w:p w14:paraId="3C2D68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02E937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4836795" cy="1725930"/>
            <wp:effectExtent l="0" t="0" r="1905" b="7620"/>
            <wp:docPr id="4" name="图片 4" descr="PixPin_2025-12-09_20-51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ixPin_2025-12-09_20-51-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22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图 4.2 T+18min 时刻雷达回波预测效果对比（左：真值；中：本模型；右：持续法）</w:t>
      </w:r>
    </w:p>
    <w:p w14:paraId="24E8B9D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宋体" w:hAnsi="宋体" w:cs="宋体"/>
          <w:kern w:val="2"/>
          <w:sz w:val="21"/>
          <w:szCs w:val="21"/>
          <w:lang w:val="en-US" w:eastAsia="zh-CN" w:bidi="ar-SA"/>
        </w:rPr>
      </w:pPr>
    </w:p>
    <w:p w14:paraId="27DF4C3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如图 4.2 所示，持续法（右图）仅仅是对上一帧的机械复制，导致预测位置与真值（左图）出现明显错位。相比之下，PhysFormer-GAN（中图）生成的图像不仅在位置上与真值高度重合，更重要的是保留了云团内部的高频纹理细节和锐利边缘，避免了传统 MSE 回归模型常见的“均值模糊”现象，实现了高保真的推演。</w:t>
      </w:r>
    </w:p>
    <w:p w14:paraId="0004BD2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4C9B6F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5 系统调试与运行结果</w:t>
      </w:r>
    </w:p>
    <w:p w14:paraId="0445D19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7F96A01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本研究不仅提出了 PhysFormer-GAN 算法模型，还基于 Streamlit 框架开发了一套可视化的雷达回波短临预报交互系统。该系统集成了单样本微观分析与全数据集批量评估功能，旨在为气象科研人员提供直观的分析工具。</w:t>
      </w:r>
    </w:p>
    <w:p w14:paraId="373C82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default" w:ascii="宋体" w:hAnsi="宋体"/>
          <w:b/>
          <w:szCs w:val="21"/>
        </w:rPr>
      </w:pPr>
      <w:r>
        <w:rPr>
          <w:rFonts w:hint="default" w:ascii="宋体" w:hAnsi="宋体"/>
          <w:b/>
          <w:szCs w:val="21"/>
        </w:rPr>
        <w:t>5.1 系统测试步骤与效果</w:t>
      </w:r>
    </w:p>
    <w:p w14:paraId="78855ED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eastAsia" w:ascii="宋体" w:hAnsi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系统测试主要包含交互功能测试与可视化效果测试两个环节。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-SA"/>
        </w:rPr>
        <w:t>首先在终端输入: python -m streamlit run app.py。浏览器会自动跳转至操作页面，如图5.1所示。</w:t>
      </w:r>
    </w:p>
    <w:p w14:paraId="3427DBEE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right="0" w:rightChars="0" w:firstLine="420" w:firstLineChars="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06CF64C6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 w:firstLine="420" w:firstLineChars="0"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5024120" cy="2472690"/>
            <wp:effectExtent l="0" t="0" r="5080" b="3810"/>
            <wp:docPr id="7" name="图片 7" descr="PixPin_2025-12-09_21-14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ixPin_2025-12-09_21-14-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35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操作页面</w:t>
      </w:r>
    </w:p>
    <w:p w14:paraId="71B67F8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cs="宋体"/>
          <w:kern w:val="2"/>
          <w:sz w:val="21"/>
          <w:szCs w:val="21"/>
          <w:lang w:val="en-US" w:eastAsia="zh-CN" w:bidi="ar-SA"/>
        </w:rPr>
      </w:pPr>
    </w:p>
    <w:p w14:paraId="04CF0E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-SA"/>
        </w:rPr>
        <w:t>我们在这个页面上直观地测试以及查看测试结果。</w:t>
      </w:r>
    </w:p>
    <w:p w14:paraId="2157F3B5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 xml:space="preserve">单样本微观推演测试 </w:t>
      </w:r>
    </w:p>
    <w:p w14:paraId="761DEACE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right="0" w:rightChars="0" w:firstLine="420" w:firstLineChars="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-SA"/>
        </w:rPr>
        <w:t>初次进入系统默认选择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“单样本显微镜”模块。测试步骤如下：在导航栏中通过“上一个/下一个”按钮或下拉菜单选择测试样本（如 sample_test_A1）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-SA"/>
        </w:rPr>
        <w:t>，选择想要的测试用例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。 系统会自动读取该样本过去 1 小时（12帧）的雷达回波序列，输入模型进行推理，并与持续法及真实值进行对比。</w:t>
      </w:r>
    </w:p>
    <w:p w14:paraId="786FED30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right="0" w:rightChars="0" w:firstLine="420" w:firstLineChars="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6DC5DAFB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 w:firstLine="420" w:firstLineChars="0"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5281930" cy="2134235"/>
            <wp:effectExtent l="0" t="0" r="13970" b="18415"/>
            <wp:docPr id="9" name="图片 9" descr="PixPin_2025-12-09_21-21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ixPin_2025-12-09_21-21-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C1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系统单样本推演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-SA"/>
        </w:rPr>
        <w:t>预测效果</w:t>
      </w:r>
    </w:p>
    <w:p w14:paraId="56863D2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66499657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right="0" w:rightChars="0" w:firstLine="420" w:firstLineChars="0"/>
        <w:textAlignment w:val="auto"/>
        <w:rPr>
          <w:rFonts w:hint="default" w:ascii="宋体" w:hAnsi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cs="宋体"/>
          <w:kern w:val="2"/>
          <w:sz w:val="21"/>
          <w:szCs w:val="21"/>
          <w:lang w:val="en-US" w:eastAsia="zh-CN" w:bidi="ar-SA"/>
        </w:rPr>
        <w:t>如图5.2所示，界面左侧展示了T+6min云图对比。通过拖动时间滑块可见，PhysFormer-GAN（中图）生成的云团</w:t>
      </w:r>
      <w:r>
        <w:rPr>
          <w:rFonts w:hint="default" w:ascii="宋体" w:hAnsi="宋体" w:cs="宋体"/>
          <w:kern w:val="2"/>
          <w:sz w:val="21"/>
          <w:szCs w:val="21"/>
          <w:lang w:val="en-US" w:eastAsia="zh-CN" w:bidi="ar-SA"/>
        </w:rPr>
        <w:t>宏观结构与真值（左图）高度一致，移动方向预测准确，优于持续法（右图）的明显错位。尽管在局部纹理清晰度上略有损失，但整体形态保真度显著提升。界面右侧实时计算的CSI曲线及HSS、FAR等指标验证了系统推演功能的实时性与有效性。</w:t>
      </w:r>
    </w:p>
    <w:p w14:paraId="6072141F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0" w:leftChars="0" w:firstLine="422" w:firstLineChars="200"/>
        <w:textAlignment w:val="auto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 xml:space="preserve">全测试集批量评估测试 </w:t>
      </w:r>
    </w:p>
    <w:p w14:paraId="7362D2A9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right="0" w:rightChars="0" w:firstLine="420" w:firstLineChars="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为了验证模型的泛化能力，系统设计了“全局批量评估”模块。测试步骤为：切换至“Global Evaluation”标签页，设置评估样本数量（如 100 个或全量 2000 个），点击“开始评估”。系统会自动遍历测试集，计算所有样本在不同预报时效下的平均指标。测试结果如图 5.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-SA"/>
        </w:rPr>
        <w:t>3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 xml:space="preserve"> 所示。</w:t>
      </w:r>
    </w:p>
    <w:p w14:paraId="1305E3B7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right="0" w:rightChars="0" w:firstLine="420" w:firstLineChars="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69FA8F67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 w:firstLine="420" w:firstLineChars="0"/>
        <w:jc w:val="center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4906645" cy="1986280"/>
            <wp:effectExtent l="0" t="0" r="8255" b="13970"/>
            <wp:docPr id="10" name="图片 10" descr="PixPin_2025-12-09_21-52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ixPin_2025-12-09_21-52-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F9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 5.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系统批量评估运行结果</w:t>
      </w:r>
    </w:p>
    <w:p w14:paraId="253C6D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/>
          <w:lang w:val="en-US" w:eastAsia="zh-CN"/>
        </w:rPr>
      </w:pPr>
    </w:p>
    <w:p w14:paraId="01A131E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如图 5.</w:t>
      </w:r>
      <w:r>
        <w:rPr>
          <w:rFonts w:hint="eastAsia" w:ascii="宋体" w:hAnsi="宋体" w:cs="宋体"/>
          <w:kern w:val="2"/>
          <w:sz w:val="21"/>
          <w:szCs w:val="21"/>
          <w:lang w:val="en-US" w:eastAsia="zh-CN" w:bidi="ar-SA"/>
        </w:rPr>
        <w:t>3</w:t>
      </w: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 xml:space="preserve"> 所示，系统成功完成了 100 个样本的批量测试，并生成了平均性能趋势图。红色曲线（本模型）在所有时间步长上均高于灰色虚线（持续法），且系统自动输出了“CSI 相对提升 11.4%”的结论，验证了评估模块逻辑的正确性。</w:t>
      </w:r>
    </w:p>
    <w:p w14:paraId="54EAE3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default" w:ascii="宋体" w:hAnsi="宋体"/>
          <w:b/>
          <w:szCs w:val="21"/>
        </w:rPr>
      </w:pPr>
      <w:r>
        <w:rPr>
          <w:rFonts w:hint="default" w:ascii="宋体" w:hAnsi="宋体"/>
          <w:b/>
          <w:szCs w:val="21"/>
        </w:rPr>
        <w:t>5.2 调试遇到问题与解决方案</w:t>
      </w:r>
    </w:p>
    <w:p w14:paraId="1DA9D4E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在系统开发与模型调试过程中，遇到了以下关键问题，并通过工程化手段予以解决：</w:t>
      </w:r>
    </w:p>
    <w:p w14:paraId="18849F56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2" w:firstLineChars="200"/>
        <w:textAlignment w:val="auto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 xml:space="preserve">张量维度不匹配问题 </w:t>
      </w:r>
    </w:p>
    <w:p w14:paraId="79051C3D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right="0" w:rightChars="0" w:firstLine="420" w:firstLineChars="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在模型集成初期，直接将处理好的 5D 张量 [Batch, Time, Channel, H, W] 输入 2D U-Net 主干网络时报错。</w:t>
      </w:r>
    </w:p>
    <w:p w14:paraId="53B2FBE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问题分析：原 U-Net 模型设计为接收 4D 输入 [B, C*T, H, W]，即把时间维度在通道维展开。</w:t>
      </w:r>
    </w:p>
    <w:p w14:paraId="4FAD994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解决方案：在推理函数 autoregressive_inference 中增加了维度变换逻辑，在输入模型前使用 view() 函数将 Time 和 Channel 维度合并，输出后再使用 unsqueeze() 恢复时间维度，从而实现了循环推演的无缝衔接。</w:t>
      </w:r>
    </w:p>
    <w:p w14:paraId="345A437B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0" w:leftChars="0" w:firstLine="422" w:firstLineChars="200"/>
        <w:textAlignment w:val="auto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 xml:space="preserve">测试集样本长度不一致导致的评估中断 </w:t>
      </w:r>
    </w:p>
    <w:p w14:paraId="6EA959D9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Chars="200" w:right="0" w:rightChars="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在进行批量评估时，系统抛出“文件数量不足”错误导致程序崩溃。</w:t>
      </w:r>
    </w:p>
    <w:p w14:paraId="12613BA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问题分析：预设的预测步长为 10 步（需未来 10 帧真值），但 CIKM 数据集中部分样本仅包含未来 3 帧（18分钟）的真值数据。代码硬性要求 22 张图片，导致无法适配短样本。</w:t>
      </w:r>
    </w:p>
    <w:p w14:paraId="279663D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解决方案：引入动态步长适配机制。在读取每个样本时，动态计算 actual_steps = min(PREDICT_STEPS, available_files)。系统根据实际拥有的真值数量灵活调整预测长度，既保证了长样本能测完，也兼容了短样本，显著提高了系统的鲁棒性。</w:t>
      </w:r>
    </w:p>
    <w:p w14:paraId="44F8D516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0" w:leftChars="0" w:firstLine="422" w:firstLineChars="200"/>
        <w:textAlignment w:val="auto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-SA"/>
        </w:rPr>
        <w:t xml:space="preserve">GAN 训练初期的模式崩塌与指标异常 </w:t>
      </w:r>
    </w:p>
    <w:p w14:paraId="2A7259AF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Chars="200" w:right="0" w:rightChars="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在引入 GAN 的初期，发现生成的图像存在伪影，且 CSI 指标一度归零。</w:t>
      </w:r>
    </w:p>
    <w:p w14:paraId="227923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问题分析：冷启动（Cold Start）导致判别器过于强势，生成器梯度消失；且 CSI 对像素位置过于敏感，GAN 生成的高频纹理若有微小错位即会被“双重惩罚”。</w:t>
      </w:r>
    </w:p>
    <w:p w14:paraId="63254B3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  <w:t>解决方案：采用 Warm Start 策略，加载第一阶段预训练的 PhysFormer 权重作为初始化；同时在评估系统中引入 FSS 和 HSS 等对空间纹理更友好的指标，并微调评估阈值（Threshold），最终实现了训练的稳定收敛。</w:t>
      </w:r>
    </w:p>
    <w:p w14:paraId="20ACE0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kern w:val="2"/>
          <w:sz w:val="21"/>
          <w:szCs w:val="21"/>
          <w:lang w:val="en-US" w:eastAsia="zh-CN" w:bidi="ar-SA"/>
        </w:rPr>
      </w:pPr>
    </w:p>
    <w:p w14:paraId="705961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6</w:t>
      </w:r>
      <w:r>
        <w:rPr>
          <w:rFonts w:hint="eastAsia" w:ascii="宋体" w:hAnsi="宋体"/>
          <w:b/>
          <w:bCs/>
          <w:sz w:val="24"/>
        </w:rPr>
        <w:t xml:space="preserve"> 总结与展望 </w:t>
      </w:r>
    </w:p>
    <w:p w14:paraId="27B2CD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 w:ascii="宋体" w:hAnsi="宋体"/>
          <w:b/>
          <w:bCs/>
          <w:sz w:val="24"/>
        </w:rPr>
      </w:pPr>
    </w:p>
    <w:p w14:paraId="210BE9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本文针对雷达回波短临预报中的模糊效应和长时效衰减问题，提出了 PhysFormer-GAN 模型。通过融合 Coordinate Attention 与 Transformer 的混合架构设计，以及基于 Warm Start 的对抗微调策略，本模型在 CIKM 数据集上取得了显著的性能提升。</w:t>
      </w:r>
    </w:p>
    <w:p w14:paraId="276D2F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实验结果表明，该模型在 CSI、HSS 等关键指标上全面优于持续法基准，且有效降低了虚警率。 未来的工作将集中在引入更复杂的物理约束（如流体力学方程）以及探索扩散模型（Diffusion Models）在气象生成领域的应用，以进一步提升极端天气的预测能力。</w:t>
      </w:r>
    </w:p>
    <w:p w14:paraId="4130FD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48C9E88B">
      <w:pPr>
        <w:spacing w:line="400" w:lineRule="exact"/>
        <w:ind w:firstLine="420" w:firstLineChars="200"/>
        <w:rPr>
          <w:rFonts w:hint="eastAsia" w:ascii="黑体" w:eastAsia="黑体"/>
          <w:bCs/>
          <w:lang w:val="en-US" w:eastAsia="zh-CN"/>
        </w:rPr>
      </w:pPr>
      <w:r>
        <w:rPr>
          <w:rFonts w:hint="eastAsia" w:ascii="黑体" w:eastAsia="黑体"/>
          <w:bCs/>
          <w:lang w:val="en-US" w:eastAsia="zh-CN"/>
        </w:rPr>
        <w:t>参考文献：</w:t>
      </w:r>
    </w:p>
    <w:p w14:paraId="3071A8F9">
      <w:pPr>
        <w:numPr>
          <w:ilvl w:val="0"/>
          <w:numId w:val="5"/>
        </w:numPr>
        <w:spacing w:line="400" w:lineRule="exact"/>
        <w:rPr>
          <w:rFonts w:hint="eastAsia"/>
        </w:rPr>
      </w:pPr>
      <w:bookmarkStart w:id="3" w:name="_Ref11649"/>
      <w:r>
        <w:rPr>
          <w:rFonts w:hint="eastAsia"/>
        </w:rPr>
        <w:t>Shi X, Chen Z, Wang H, et al. Convolutional LSTM network: A machine learning approach for precipitation nowcasting[C]. Advances in Neural Information Processing Systems (NIPS), 2015, 28: 802-810.</w:t>
      </w:r>
      <w:bookmarkEnd w:id="3"/>
    </w:p>
    <w:p w14:paraId="6E47EEE4">
      <w:pPr>
        <w:numPr>
          <w:ilvl w:val="0"/>
          <w:numId w:val="5"/>
        </w:numPr>
        <w:spacing w:line="400" w:lineRule="exact"/>
        <w:rPr>
          <w:rFonts w:hint="eastAsia"/>
        </w:rPr>
      </w:pPr>
      <w:bookmarkStart w:id="4" w:name="_Ref12626"/>
      <w:r>
        <w:rPr>
          <w:rFonts w:hint="eastAsia"/>
        </w:rPr>
        <w:t>Shi X, Gao Z, Lausen L, et al. Deep learning for precipitation nowcasting: A benchmark and a new model[C]. Advances in Neural Information Processing Systems (NIPS), 2017, 30: 5617-5627.</w:t>
      </w:r>
      <w:bookmarkEnd w:id="4"/>
    </w:p>
    <w:p w14:paraId="1ADD3B1D">
      <w:pPr>
        <w:numPr>
          <w:ilvl w:val="0"/>
          <w:numId w:val="5"/>
        </w:numPr>
        <w:spacing w:line="400" w:lineRule="exact"/>
        <w:rPr>
          <w:rFonts w:hint="default"/>
          <w:lang w:val="en-US" w:eastAsia="zh-CN"/>
        </w:rPr>
      </w:pPr>
      <w:bookmarkStart w:id="5" w:name="_Ref12714"/>
      <w:r>
        <w:rPr>
          <w:rFonts w:hint="eastAsia"/>
        </w:rPr>
        <w:t>Trebing K, Stańczyk T, Mehrkanoon S. SmaAt-UNet: Precipitation nowcasting using a small attention-UNet architecture[J]. Pattern Recognition Letters, 2021, 145: 178-186.</w:t>
      </w:r>
      <w:bookmarkEnd w:id="5"/>
    </w:p>
    <w:p w14:paraId="1D59DF66">
      <w:pPr>
        <w:numPr>
          <w:ilvl w:val="0"/>
          <w:numId w:val="5"/>
        </w:numPr>
        <w:spacing w:line="400" w:lineRule="exact"/>
        <w:rPr>
          <w:rFonts w:hint="default"/>
          <w:lang w:val="en-US" w:eastAsia="zh-CN"/>
        </w:rPr>
      </w:pPr>
      <w:bookmarkStart w:id="6" w:name="_Ref12779"/>
      <w:r>
        <w:rPr>
          <w:rFonts w:hint="eastAsia"/>
        </w:rPr>
        <w:t xml:space="preserve">Ravuri S, Lenc K, Willson M, et al. Skilful precipitation nowcasting using deep generative models of radar[J]. Nature, 2021, 597(7878): 672-677. </w:t>
      </w:r>
      <w:bookmarkEnd w:id="6"/>
    </w:p>
    <w:p w14:paraId="3F83CD43">
      <w:pPr>
        <w:numPr>
          <w:ilvl w:val="0"/>
          <w:numId w:val="5"/>
        </w:numPr>
        <w:spacing w:line="400" w:lineRule="exact"/>
        <w:rPr>
          <w:rFonts w:hint="default"/>
          <w:lang w:val="en-US" w:eastAsia="zh-CN"/>
        </w:rPr>
      </w:pPr>
      <w:bookmarkStart w:id="7" w:name="_Ref12841"/>
      <w:r>
        <w:rPr>
          <w:rFonts w:hint="eastAsia"/>
        </w:rPr>
        <w:t xml:space="preserve">Hou Q, Zhou D, Feng J. Coordinate attention for efficient mobile network design[C]. Proceedings of the IEEE/CVF Conference on Computer Vision and Pattern Recognition (CVPR), 2021: 13713-13722. </w:t>
      </w:r>
      <w:bookmarkEnd w:id="7"/>
    </w:p>
    <w:p w14:paraId="3748FDD6">
      <w:pPr>
        <w:numPr>
          <w:ilvl w:val="0"/>
          <w:numId w:val="5"/>
        </w:numPr>
        <w:spacing w:line="400" w:lineRule="exact"/>
        <w:rPr>
          <w:rFonts w:hint="default"/>
          <w:lang w:val="en-US" w:eastAsia="zh-CN"/>
        </w:rPr>
      </w:pPr>
      <w:bookmarkStart w:id="8" w:name="_Ref12903"/>
      <w:r>
        <w:rPr>
          <w:rFonts w:hint="eastAsia"/>
        </w:rPr>
        <w:t xml:space="preserve">Goodfellow I, Pouget-Abadie J, Mirza M, et al. Generative adversarial nets[C]. Advances in Neural Information Processing Systems (NIPS), 2014, 27: 2672-2680. </w:t>
      </w:r>
      <w:bookmarkEnd w:id="8"/>
    </w:p>
    <w:p w14:paraId="4994A034">
      <w:pPr>
        <w:numPr>
          <w:ilvl w:val="0"/>
          <w:numId w:val="5"/>
        </w:numPr>
        <w:spacing w:line="400" w:lineRule="exact"/>
        <w:rPr>
          <w:rFonts w:hint="default"/>
          <w:lang w:val="en-US" w:eastAsia="zh-CN"/>
        </w:rPr>
      </w:pPr>
      <w:bookmarkStart w:id="9" w:name="_Ref13024"/>
      <w:r>
        <w:rPr>
          <w:rFonts w:hint="eastAsia"/>
        </w:rPr>
        <w:t>Isola P, Zhu J Y, Zhou T, et al. Image-to-image translation with conditional adversarial networks[C]. Proceedings of the IEEE Conference on Computer Vision and Pattern Recognition (CVPR), 2017: 1125-1134.</w:t>
      </w:r>
      <w:bookmarkEnd w:id="9"/>
    </w:p>
    <w:p w14:paraId="186203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</w:p>
    <w:p w14:paraId="2BE50A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</w:p>
    <w:p w14:paraId="000A0C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center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="宋体" w:hAnsi="宋体"/>
          <w:b/>
          <w:sz w:val="24"/>
          <w:szCs w:val="24"/>
        </w:rPr>
        <w:t>附录</w:t>
      </w:r>
    </w:p>
    <w:p w14:paraId="0AF91F7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本附录提供了 PhysFormer-GAN 模型关键模块的 PyTorch 实现代码，包括坐标注意力机制（Coordinate Attention）、轻量化 Transformer 瓶颈层以及生成器的整体架构组装。</w:t>
      </w:r>
    </w:p>
    <w:p w14:paraId="6123E5E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 时空注意力模块</w:t>
      </w:r>
    </w:p>
    <w:p w14:paraId="3E3A40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为了解决传统卷积在捕捉长距离依赖上的局限性，我们在编码器特征融合处引入了坐标注意力（Coordinate Attention），并在瓶颈层集成了 Transformer 模块。以下是 models/layers.py 中的核心实现：</w:t>
      </w:r>
    </w:p>
    <w:p w14:paraId="7C80A06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torch</w:t>
      </w:r>
    </w:p>
    <w:p w14:paraId="1D8335B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torch.nn as nn</w:t>
      </w:r>
    </w:p>
    <w:p w14:paraId="5942950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import torch.nn.functional as F</w:t>
      </w:r>
    </w:p>
    <w:p w14:paraId="4F55185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16E116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class CoordAtt(nn.Module):</w:t>
      </w:r>
    </w:p>
    <w:p w14:paraId="2EC9864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"""</w:t>
      </w:r>
    </w:p>
    <w:p w14:paraId="4CAEB4A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Coordinate Attention for capturing long-range dependencies along</w:t>
      </w:r>
    </w:p>
    <w:p w14:paraId="2367C22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one spatial direction while preserving precise positional information.</w:t>
      </w:r>
    </w:p>
    <w:p w14:paraId="1808377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"""</w:t>
      </w:r>
    </w:p>
    <w:p w14:paraId="001B78E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def __init__(self, inp, reduction_ratio=32):</w:t>
      </w:r>
    </w:p>
    <w:p w14:paraId="3A0FD1C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super(CoordAtt, self).__init__()</w:t>
      </w:r>
    </w:p>
    <w:p w14:paraId="1D3CDEF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self.pool_h = nn.AdaptiveAvgPool2d((None, 1)) # X-direction pooling</w:t>
      </w:r>
    </w:p>
    <w:p w14:paraId="7A8D8EA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self.pool_w = nn.AdaptiveAvgPool2d((1, None)) # Y-direction pooling</w:t>
      </w:r>
    </w:p>
    <w:p w14:paraId="5EA03D0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87B03E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mip = max(8, inp // reduction_ratio)</w:t>
      </w:r>
    </w:p>
    <w:p w14:paraId="4114BAE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2FE507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self.conv1 = nn.Conv2d(inp, mip, kernel_size=1, stride=1, padding=0)</w:t>
      </w:r>
    </w:p>
    <w:p w14:paraId="7FB2DF6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self.bn1 = nn.BatchNorm2d(mip)</w:t>
      </w:r>
    </w:p>
    <w:p w14:paraId="1A5159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self.act = nn.Hardswish()</w:t>
      </w:r>
    </w:p>
    <w:p w14:paraId="72EE36F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</w:t>
      </w:r>
    </w:p>
    <w:p w14:paraId="4FDA78E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self.conv_h = nn.Conv2d(mip, inp, kernel_size=1, stride=1, padding=0)</w:t>
      </w:r>
    </w:p>
    <w:p w14:paraId="19B0C2A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self.conv_w = nn.Conv2d(mip, inp, kernel_size=1, stride=1, padding=0)</w:t>
      </w:r>
    </w:p>
    <w:p w14:paraId="19ADE37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EB252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def forward(self, x):</w:t>
      </w:r>
    </w:p>
    <w:p w14:paraId="332CF52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identity = x</w:t>
      </w:r>
    </w:p>
    <w:p w14:paraId="41AE67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n, c, h, w = x.size()</w:t>
      </w:r>
    </w:p>
    <w:p w14:paraId="1223D1C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</w:t>
      </w:r>
    </w:p>
    <w:p w14:paraId="4A0A31F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1. Feature Aggregation</w:t>
      </w:r>
    </w:p>
    <w:p w14:paraId="1BDAEED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x_h = self.pool_h(x)</w:t>
      </w:r>
    </w:p>
    <w:p w14:paraId="3010E59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x_w = self.pool_w(x).permute(0, 1, 3, 2)</w:t>
      </w:r>
    </w:p>
    <w:p w14:paraId="3521570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E845C2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y = torch.cat([x_h, x_w], dim=2)</w:t>
      </w:r>
    </w:p>
    <w:p w14:paraId="1139EDF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y = self.conv1(y)</w:t>
      </w:r>
    </w:p>
    <w:p w14:paraId="364CB18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y = self.bn1(y)</w:t>
      </w:r>
    </w:p>
    <w:p w14:paraId="4BC7527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y = self.act(y) </w:t>
      </w:r>
    </w:p>
    <w:p w14:paraId="064379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</w:t>
      </w:r>
    </w:p>
    <w:p w14:paraId="232D8EA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x_h, x_w = torch.split(y, [h, w], dim=2)</w:t>
      </w:r>
    </w:p>
    <w:p w14:paraId="2DA7D3B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x_w = x_w.permute(0, 1, 3, 2)</w:t>
      </w:r>
    </w:p>
    <w:p w14:paraId="6A1CF20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3392330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2. Attention Map Generation</w:t>
      </w:r>
    </w:p>
    <w:p w14:paraId="621C5DD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a_h = self.conv_h(x_h).sigmoid()</w:t>
      </w:r>
    </w:p>
    <w:p w14:paraId="29719B0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a_w = self.conv_w(x_w).sigmoid()</w:t>
      </w:r>
    </w:p>
    <w:p w14:paraId="23DECD8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7CC290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3. Re-weighting</w:t>
      </w:r>
    </w:p>
    <w:p w14:paraId="05BDEC2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out = identity * a_h * a_w</w:t>
      </w:r>
    </w:p>
    <w:p w14:paraId="130B0AA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out</w:t>
      </w:r>
    </w:p>
    <w:p w14:paraId="7B5F97D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111D954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class TransformerBlock(nn.Module):</w:t>
      </w:r>
    </w:p>
    <w:p w14:paraId="5A4473A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"""</w:t>
      </w:r>
    </w:p>
    <w:p w14:paraId="6BAE50E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Lightweight Transformer Block for the U-Net Bottleneck.</w:t>
      </w:r>
    </w:p>
    <w:p w14:paraId="651A0E0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"""</w:t>
      </w:r>
    </w:p>
    <w:p w14:paraId="727E978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def __init__(self, dim, num_heads=4, mlp_ratio=4., drop=0.):</w:t>
      </w:r>
    </w:p>
    <w:p w14:paraId="12F5246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super().__init__()</w:t>
      </w:r>
    </w:p>
    <w:p w14:paraId="4D668FA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self.norm1 = nn.LayerNorm(dim)</w:t>
      </w:r>
    </w:p>
    <w:p w14:paraId="4DB5445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self.attn = nn.MultiheadAttention(embed_dim=dim, num_heads=num_heads, batch_first=True)</w:t>
      </w:r>
    </w:p>
    <w:p w14:paraId="020B759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self.norm2 = nn.LayerNorm(dim)</w:t>
      </w:r>
    </w:p>
    <w:p w14:paraId="205F992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self.mlp = nn.Sequential(</w:t>
      </w:r>
    </w:p>
    <w:p w14:paraId="0B38C21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nn.Linear(dim, int(dim * mlp_ratio)),</w:t>
      </w:r>
    </w:p>
    <w:p w14:paraId="2E16A43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nn.GELU(),</w:t>
      </w:r>
    </w:p>
    <w:p w14:paraId="0227513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nn.Linear(int(dim * mlp_ratio), dim),</w:t>
      </w:r>
    </w:p>
    <w:p w14:paraId="7CB34C7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    nn.Dropout(drop)</w:t>
      </w:r>
    </w:p>
    <w:p w14:paraId="26AB4E2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)</w:t>
      </w:r>
    </w:p>
    <w:p w14:paraId="457B39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CE1CA0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def forward(self, x):</w:t>
      </w:r>
    </w:p>
    <w:p w14:paraId="14A264C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n, c, h, w = x.shape</w:t>
      </w:r>
    </w:p>
    <w:p w14:paraId="7267564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Flatten: [B, C, H, W] -&gt; [B, H*W, C]</w:t>
      </w:r>
    </w:p>
    <w:p w14:paraId="4227472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x_flat = x.flatten(2).transpose(1, 2)</w:t>
      </w:r>
    </w:p>
    <w:p w14:paraId="1677F1D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F7C9B9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Self-Attention</w:t>
      </w:r>
    </w:p>
    <w:p w14:paraId="2CEEB65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x2 = self.norm1(x_flat)</w:t>
      </w:r>
    </w:p>
    <w:p w14:paraId="4D71252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attn_out, _ = self.attn(x2, x2, x2)</w:t>
      </w:r>
    </w:p>
    <w:p w14:paraId="4F50F99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x_flat = x_flat + attn_out</w:t>
      </w:r>
    </w:p>
    <w:p w14:paraId="079C01F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6B8481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Feed Forward Network</w:t>
      </w:r>
    </w:p>
    <w:p w14:paraId="7857D92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x2 = self.norm2(x_flat)</w:t>
      </w:r>
    </w:p>
    <w:p w14:paraId="119684C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x_flat = x_flat + self.mlp(x2)</w:t>
      </w:r>
    </w:p>
    <w:p w14:paraId="4409A42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6C0B0A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Reshape back to spatial dimensions</w:t>
      </w:r>
    </w:p>
    <w:p w14:paraId="46A136C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x_out = x_flat.transpose(1, 2).reshape(n, c, h, w)</w:t>
      </w:r>
    </w:p>
    <w:p w14:paraId="2A31EF0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x_out</w:t>
      </w:r>
    </w:p>
    <w:p w14:paraId="06904CB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 PhysFormer 生成器架构</w:t>
      </w:r>
    </w:p>
    <w:p w14:paraId="01C3330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生成器主体基于 U-Net 改进，集成了深度可分离卷积（Depthwise Separable Conv）以降低参数量，并在最底层嵌入了 Transformer Block。以下代码展示了各模块的组装逻辑（摘自 </w:t>
      </w:r>
      <w:r>
        <w:rPr>
          <w:rStyle w:val="20"/>
          <w:rFonts w:hint="eastAsia" w:asciiTheme="minorEastAsia" w:hAnsiTheme="minorEastAsia" w:eastAsiaTheme="minorEastAsia" w:cstheme="minorEastAsia"/>
          <w:sz w:val="21"/>
          <w:szCs w:val="21"/>
        </w:rPr>
        <w:t>models/unet_precip_regression_lightning.py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）：</w:t>
      </w:r>
    </w:p>
    <w:p w14:paraId="4864679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class UNetDS_CoordAtt(PrecipRegressionBase):</w:t>
      </w:r>
    </w:p>
    <w:p w14:paraId="2403C74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def __init__(self, hparams):</w:t>
      </w:r>
    </w:p>
    <w:p w14:paraId="0748E46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super().__init__(hparams=hparams)</w:t>
      </w:r>
    </w:p>
    <w:p w14:paraId="1154D04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self.n_channels = self.hparams.n_channels</w:t>
      </w:r>
    </w:p>
    <w:p w14:paraId="13A73FC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self.bilinear = self.hparams.bilinear</w:t>
      </w:r>
    </w:p>
    <w:p w14:paraId="5E5E57C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reduction_ratio = self.hparams.reduction_ratio</w:t>
      </w:r>
    </w:p>
    <w:p w14:paraId="3B25E0B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</w:t>
      </w:r>
    </w:p>
    <w:p w14:paraId="0D7E18D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Encoder Path (with Depthwise Separable Convolutions)</w:t>
      </w:r>
    </w:p>
    <w:p w14:paraId="53CD974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self.inc = DoubleConvDS(self.n_channels, 64)</w:t>
      </w:r>
    </w:p>
    <w:p w14:paraId="6E506DF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self.down1 = DownDS(64, 128)</w:t>
      </w:r>
    </w:p>
    <w:p w14:paraId="1681C4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self.down2 = DownDS(128, 256)</w:t>
      </w:r>
    </w:p>
    <w:p w14:paraId="1259477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self.down3 = DownDS(256, 512)</w:t>
      </w:r>
    </w:p>
    <w:p w14:paraId="74FB0FC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</w:t>
      </w:r>
    </w:p>
    <w:p w14:paraId="21A4451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factor = 2 if self.bilinear else 1</w:t>
      </w:r>
    </w:p>
    <w:p w14:paraId="4E85AEA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self.down4 = DownDS(512, 1024 // factor)</w:t>
      </w:r>
    </w:p>
    <w:p w14:paraId="733CD04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947947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=== Core Innovation: Transformer Bottleneck ===</w:t>
      </w:r>
    </w:p>
    <w:p w14:paraId="4B94831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Captures global correlations at the lowest resolution</w:t>
      </w:r>
    </w:p>
    <w:p w14:paraId="26926E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self.bottleneck_transformer = TransformerBlock(dim=1024 // factor, num_heads=4)</w:t>
      </w:r>
    </w:p>
    <w:p w14:paraId="06F9062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</w:t>
      </w:r>
    </w:p>
    <w:p w14:paraId="281A994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Attention Mechanisms on Skip Connections</w:t>
      </w:r>
    </w:p>
    <w:p w14:paraId="25093BB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self.ca1 = CoordAtt(64, reduction_ratio=reduction_ratio)</w:t>
      </w:r>
    </w:p>
    <w:p w14:paraId="1B19574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self.ca2 = CoordAtt(128, reduction_ratio=reduction_ratio)</w:t>
      </w:r>
    </w:p>
    <w:p w14:paraId="27985C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self.ca3 = CoordAtt(256, reduction_ratio=reduction_ratio)</w:t>
      </w:r>
    </w:p>
    <w:p w14:paraId="6464E68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self.ca4 = CoordAtt(512, reduction_ratio=reduction_ratio)</w:t>
      </w:r>
    </w:p>
    <w:p w14:paraId="4EB31FF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self.ca5 = CoordAtt(1024 // factor, reduction_ratio=reduction_ratio)</w:t>
      </w:r>
    </w:p>
    <w:p w14:paraId="29EF9D9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55E1694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Decoder Path</w:t>
      </w:r>
    </w:p>
    <w:p w14:paraId="08840FA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self.up1 = UpDS(1024, 512 // factor, self.bilinear)</w:t>
      </w:r>
    </w:p>
    <w:p w14:paraId="0B7ADAC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self.up2 = UpDS(512, 256 // factor, self.bilinear)</w:t>
      </w:r>
    </w:p>
    <w:p w14:paraId="2CCFA2E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self.up3 = UpDS(256, 128 // factor, self.bilinear)</w:t>
      </w:r>
    </w:p>
    <w:p w14:paraId="64F1269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self.up4 = UpDS(128, 64, self.bilinear)</w:t>
      </w:r>
    </w:p>
    <w:p w14:paraId="3F43254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self.outc = OutConv(64, self.n_classes)</w:t>
      </w:r>
    </w:p>
    <w:p w14:paraId="36F2E7E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34143C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def forward(self, x):</w:t>
      </w:r>
    </w:p>
    <w:p w14:paraId="253EFE1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1. Encoding</w:t>
      </w:r>
    </w:p>
    <w:p w14:paraId="459B428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x1 = self.inc(x)</w:t>
      </w:r>
    </w:p>
    <w:p w14:paraId="50B2A6A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x1Att = self.ca1(x1) # Apply Attention</w:t>
      </w:r>
    </w:p>
    <w:p w14:paraId="759CE01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x2 = self.down1(x1)</w:t>
      </w:r>
    </w:p>
    <w:p w14:paraId="3A9573A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x2Att = self.ca2(x2)</w:t>
      </w:r>
    </w:p>
    <w:p w14:paraId="342E7B2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x3 = self.down2(x2)</w:t>
      </w:r>
    </w:p>
    <w:p w14:paraId="0050FAA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x3Att = self.ca3(x3)</w:t>
      </w:r>
    </w:p>
    <w:p w14:paraId="72BC016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x4 = self.down3(x3)</w:t>
      </w:r>
    </w:p>
    <w:p w14:paraId="69ABC80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x4Att = self.ca4(x4)</w:t>
      </w:r>
    </w:p>
    <w:p w14:paraId="61F4212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</w:t>
      </w:r>
    </w:p>
    <w:p w14:paraId="47AEEAF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2. Bottleneck Processing</w:t>
      </w:r>
    </w:p>
    <w:p w14:paraId="7935EFC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x5 = self.down4(x4)</w:t>
      </w:r>
    </w:p>
    <w:p w14:paraId="1839F88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x5 = self.bottleneck_transformer(x5) # Global Modeling</w:t>
      </w:r>
    </w:p>
    <w:p w14:paraId="4F74EF2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x5Att = self.ca5(x5)</w:t>
      </w:r>
    </w:p>
    <w:p w14:paraId="75C938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</w:t>
      </w:r>
    </w:p>
    <w:p w14:paraId="6527B4E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3. Decoding</w:t>
      </w:r>
    </w:p>
    <w:p w14:paraId="4965BC6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 = self.up1(x5Att, x4Att)</w:t>
      </w:r>
    </w:p>
    <w:p w14:paraId="2B7278E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 = self.up2(x, x3Att)</w:t>
      </w:r>
    </w:p>
    <w:p w14:paraId="78A50C5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 = self.up3(x, x2Att)</w:t>
      </w:r>
    </w:p>
    <w:p w14:paraId="3340CE4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x = self.up4(x, x1Att)</w:t>
      </w:r>
    </w:p>
    <w:p w14:paraId="14953DA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logits = self.outc(x)</w:t>
      </w:r>
    </w:p>
    <w:p w14:paraId="4E5832E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logits</w:t>
      </w:r>
    </w:p>
    <w:p w14:paraId="694161B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 对抗训练逻辑</w:t>
      </w:r>
    </w:p>
    <w:p w14:paraId="6B619AB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在阶段二中，我们引入 PatchGAN 判别器进行对抗微调。损失函数由像素级 L1 损失和对抗损失加权组成。以下是 </w:t>
      </w:r>
      <w:r>
        <w:rPr>
          <w:rStyle w:val="20"/>
          <w:rFonts w:hint="eastAsia" w:asciiTheme="minorEastAsia" w:hAnsiTheme="minorEastAsia" w:eastAsiaTheme="minorEastAsia" w:cstheme="minorEastAsia"/>
          <w:sz w:val="21"/>
          <w:szCs w:val="21"/>
        </w:rPr>
        <w:t>models/gan_module.py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中的训练步进逻辑：</w:t>
      </w:r>
    </w:p>
    <w:p w14:paraId="71967B8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def training_step(self, batch, batch_idx, optimizer_idx):</w:t>
      </w:r>
    </w:p>
    <w:p w14:paraId="0FABB27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imgs, y = batch</w:t>
      </w:r>
    </w:p>
    <w:p w14:paraId="27B7567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</w:t>
      </w:r>
    </w:p>
    <w:p w14:paraId="1EF2213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# Generate prediction (Fake)</w:t>
      </w:r>
    </w:p>
    <w:p w14:paraId="7E927D3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prediction = self(imgs)</w:t>
      </w:r>
    </w:p>
    <w:p w14:paraId="30DDFB1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4E7FC8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# Train Generator (Optimizer 0)</w:t>
      </w:r>
    </w:p>
    <w:p w14:paraId="2285AC2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if optimizer_idx == 0:</w:t>
      </w:r>
    </w:p>
    <w:p w14:paraId="08EE160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1. Pixel-wise L1 Loss (Content Consistency)</w:t>
      </w:r>
    </w:p>
    <w:p w14:paraId="31D4F7B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l1_loss = self.criterion(prediction, y)</w:t>
      </w:r>
    </w:p>
    <w:p w14:paraId="1B08103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</w:t>
      </w:r>
    </w:p>
    <w:p w14:paraId="09CD3C7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2. Adversarial Loss (Texture Realism)</w:t>
      </w:r>
    </w:p>
    <w:p w14:paraId="0463DFA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Input to discriminator: Concatenation of [History, Prediction]</w:t>
      </w:r>
    </w:p>
    <w:p w14:paraId="3111778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fake_input = torch.cat([imgs, prediction], dim=1)</w:t>
      </w:r>
    </w:p>
    <w:p w14:paraId="25E65BD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fake_validity = self.discriminator(fake_input)</w:t>
      </w:r>
    </w:p>
    <w:p w14:paraId="63753D7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adversarial_loss = self.adversarial_loss(fake_validity, True)</w:t>
      </w:r>
    </w:p>
    <w:p w14:paraId="4B8FFD3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</w:t>
      </w:r>
    </w:p>
    <w:p w14:paraId="3FF03DB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Total Generator Loss</w:t>
      </w:r>
    </w:p>
    <w:p w14:paraId="33EDF26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g_loss = self.hparams.lambda_l1 * l1_loss + adversarial_loss</w:t>
      </w:r>
    </w:p>
    <w:p w14:paraId="56C6593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g_loss</w:t>
      </w:r>
    </w:p>
    <w:p w14:paraId="68220CE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4578D9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# Train Discriminator (Optimizer 1)</w:t>
      </w:r>
    </w:p>
    <w:p w14:paraId="7E9F313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if optimizer_idx == 1:</w:t>
      </w:r>
    </w:p>
    <w:p w14:paraId="3E007A6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Real Loss</w:t>
      </w:r>
    </w:p>
    <w:p w14:paraId="579FB5D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real_input = torch.cat([imgs, y], dim=1)</w:t>
      </w:r>
    </w:p>
    <w:p w14:paraId="3E57405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real_validity = self.discriminator(real_input)</w:t>
      </w:r>
    </w:p>
    <w:p w14:paraId="4C6B644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real_loss = self.adversarial_loss(real_validity, True)</w:t>
      </w:r>
    </w:p>
    <w:p w14:paraId="215DD8B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6EF714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# Fake Loss</w:t>
      </w:r>
    </w:p>
    <w:p w14:paraId="7C496D5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fake_input = torch.cat([imgs, prediction.detach()], dim=1)</w:t>
      </w:r>
    </w:p>
    <w:p w14:paraId="5D519FA6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fake_validity = self.discriminator(fake_input)</w:t>
      </w:r>
    </w:p>
    <w:p w14:paraId="48BE482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fake_loss = self.adversarial_loss(fake_validity, False)</w:t>
      </w:r>
    </w:p>
    <w:p w14:paraId="77A7567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034EA31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d_loss = (real_loss + fake_loss) / 2</w:t>
      </w:r>
    </w:p>
    <w:p w14:paraId="783B353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       return d_loss</w:t>
      </w:r>
    </w:p>
    <w:p w14:paraId="154E59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jc w:val="both"/>
        <w:textAlignment w:val="auto"/>
        <w:rPr>
          <w:rFonts w:hint="eastAsia" w:asciiTheme="minorEastAsia" w:hAnsiTheme="minorEastAsia" w:eastAsiaTheme="minorEastAsia" w:cstheme="minorEastAsia"/>
          <w:b/>
          <w:sz w:val="21"/>
          <w:szCs w:val="21"/>
          <w:lang w:val="en-US" w:eastAsia="zh-CN"/>
        </w:rPr>
      </w:pPr>
    </w:p>
    <w:sectPr>
      <w:footerReference r:id="rId6" w:type="first"/>
      <w:footerReference r:id="rId5" w:type="default"/>
      <w:pgSz w:w="11906" w:h="16838"/>
      <w:pgMar w:top="1418" w:right="1134" w:bottom="1134" w:left="1701" w:header="851" w:footer="992" w:gutter="0"/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MS UI Gothic"/>
    <w:panose1 w:val="02020609040205080304"/>
    <w:charset w:val="80"/>
    <w:family w:val="auto"/>
    <w:pitch w:val="default"/>
    <w:sig w:usb0="00000000" w:usb1="00000000" w:usb2="08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B3938">
    <w:pPr>
      <w:pStyle w:val="8"/>
      <w:framePr w:wrap="around" w:vAnchor="text" w:hAnchor="margin" w:xAlign="center" w:y="1"/>
      <w:rPr>
        <w:rStyle w:val="18"/>
      </w:rPr>
    </w:pPr>
    <w:r>
      <w:fldChar w:fldCharType="begin"/>
    </w:r>
    <w:r>
      <w:rPr>
        <w:rStyle w:val="18"/>
      </w:rPr>
      <w:instrText xml:space="preserve">PAGE  </w:instrText>
    </w:r>
    <w:r>
      <w:fldChar w:fldCharType="end"/>
    </w:r>
  </w:p>
  <w:p w14:paraId="24AE4279"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D6F92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593D68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593D68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CF91C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7CDE53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7CDE53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EDDE2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142881"/>
    <w:multiLevelType w:val="singleLevel"/>
    <w:tmpl w:val="2314288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4688DAE"/>
    <w:multiLevelType w:val="singleLevel"/>
    <w:tmpl w:val="34688DA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57F3745"/>
    <w:multiLevelType w:val="singleLevel"/>
    <w:tmpl w:val="357F3745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354A358"/>
    <w:multiLevelType w:val="singleLevel"/>
    <w:tmpl w:val="4354A358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593611A"/>
    <w:multiLevelType w:val="multilevel"/>
    <w:tmpl w:val="7593611A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xN2UwZjIwM2EwMDc4NWVjYTM4YjcyYmU3ZmU0YmQifQ=="/>
  </w:docVars>
  <w:rsids>
    <w:rsidRoot w:val="00A145FD"/>
    <w:rsid w:val="0000271F"/>
    <w:rsid w:val="00025515"/>
    <w:rsid w:val="000256D3"/>
    <w:rsid w:val="0004343F"/>
    <w:rsid w:val="00060E3C"/>
    <w:rsid w:val="00061825"/>
    <w:rsid w:val="00062307"/>
    <w:rsid w:val="00077352"/>
    <w:rsid w:val="00083E09"/>
    <w:rsid w:val="00086032"/>
    <w:rsid w:val="00087358"/>
    <w:rsid w:val="000B1DC6"/>
    <w:rsid w:val="000C63B3"/>
    <w:rsid w:val="00112B42"/>
    <w:rsid w:val="001279F5"/>
    <w:rsid w:val="00140C5D"/>
    <w:rsid w:val="0016118E"/>
    <w:rsid w:val="001849AC"/>
    <w:rsid w:val="001B0A65"/>
    <w:rsid w:val="001B5A2D"/>
    <w:rsid w:val="001C0C0B"/>
    <w:rsid w:val="001C617B"/>
    <w:rsid w:val="001D6E5B"/>
    <w:rsid w:val="002134DB"/>
    <w:rsid w:val="00221CBE"/>
    <w:rsid w:val="0022751D"/>
    <w:rsid w:val="00242A69"/>
    <w:rsid w:val="002550B0"/>
    <w:rsid w:val="00265CD5"/>
    <w:rsid w:val="00276DC7"/>
    <w:rsid w:val="002857A9"/>
    <w:rsid w:val="002A12F5"/>
    <w:rsid w:val="002D7D33"/>
    <w:rsid w:val="002E2AD6"/>
    <w:rsid w:val="002E34FC"/>
    <w:rsid w:val="002E5B10"/>
    <w:rsid w:val="002F1B04"/>
    <w:rsid w:val="00304611"/>
    <w:rsid w:val="00315257"/>
    <w:rsid w:val="00333849"/>
    <w:rsid w:val="00336554"/>
    <w:rsid w:val="003A10DD"/>
    <w:rsid w:val="003E4CA3"/>
    <w:rsid w:val="003E69EE"/>
    <w:rsid w:val="003F5D78"/>
    <w:rsid w:val="003F7E2E"/>
    <w:rsid w:val="00403557"/>
    <w:rsid w:val="00424CD3"/>
    <w:rsid w:val="00435B56"/>
    <w:rsid w:val="00457528"/>
    <w:rsid w:val="00473985"/>
    <w:rsid w:val="00482F6B"/>
    <w:rsid w:val="004854FD"/>
    <w:rsid w:val="004879FA"/>
    <w:rsid w:val="00492DCD"/>
    <w:rsid w:val="004B11DC"/>
    <w:rsid w:val="004B681B"/>
    <w:rsid w:val="004D6DA6"/>
    <w:rsid w:val="004E3CC8"/>
    <w:rsid w:val="004E7EEA"/>
    <w:rsid w:val="005119FB"/>
    <w:rsid w:val="00544BE8"/>
    <w:rsid w:val="005459DB"/>
    <w:rsid w:val="00582576"/>
    <w:rsid w:val="00586256"/>
    <w:rsid w:val="00590DE8"/>
    <w:rsid w:val="00593346"/>
    <w:rsid w:val="00594AF5"/>
    <w:rsid w:val="005A16DC"/>
    <w:rsid w:val="005A7E46"/>
    <w:rsid w:val="005D078A"/>
    <w:rsid w:val="005E226A"/>
    <w:rsid w:val="005F41E7"/>
    <w:rsid w:val="006162D0"/>
    <w:rsid w:val="0064744A"/>
    <w:rsid w:val="00647B28"/>
    <w:rsid w:val="0066234D"/>
    <w:rsid w:val="006751F2"/>
    <w:rsid w:val="00675525"/>
    <w:rsid w:val="00675700"/>
    <w:rsid w:val="00675DFF"/>
    <w:rsid w:val="00692CAF"/>
    <w:rsid w:val="00694253"/>
    <w:rsid w:val="00697B1A"/>
    <w:rsid w:val="006C1A61"/>
    <w:rsid w:val="006D096E"/>
    <w:rsid w:val="006E067E"/>
    <w:rsid w:val="006E19E5"/>
    <w:rsid w:val="00710EE7"/>
    <w:rsid w:val="00716697"/>
    <w:rsid w:val="0071750A"/>
    <w:rsid w:val="00722E2C"/>
    <w:rsid w:val="007347E4"/>
    <w:rsid w:val="00735D8D"/>
    <w:rsid w:val="00745944"/>
    <w:rsid w:val="00746CEA"/>
    <w:rsid w:val="00763748"/>
    <w:rsid w:val="00771E55"/>
    <w:rsid w:val="00777B37"/>
    <w:rsid w:val="007A079D"/>
    <w:rsid w:val="007A1809"/>
    <w:rsid w:val="007C2940"/>
    <w:rsid w:val="007D68AF"/>
    <w:rsid w:val="007F01D4"/>
    <w:rsid w:val="00802425"/>
    <w:rsid w:val="0080327E"/>
    <w:rsid w:val="00806869"/>
    <w:rsid w:val="00806D70"/>
    <w:rsid w:val="008260DC"/>
    <w:rsid w:val="00827D47"/>
    <w:rsid w:val="008427E9"/>
    <w:rsid w:val="0084562D"/>
    <w:rsid w:val="00850CF5"/>
    <w:rsid w:val="00880D91"/>
    <w:rsid w:val="008819E4"/>
    <w:rsid w:val="008920B9"/>
    <w:rsid w:val="00895ADB"/>
    <w:rsid w:val="008A262B"/>
    <w:rsid w:val="008B0481"/>
    <w:rsid w:val="008B146D"/>
    <w:rsid w:val="008D4E5C"/>
    <w:rsid w:val="008D6E4C"/>
    <w:rsid w:val="008E3199"/>
    <w:rsid w:val="008E4F53"/>
    <w:rsid w:val="008F1994"/>
    <w:rsid w:val="0090117C"/>
    <w:rsid w:val="00903E66"/>
    <w:rsid w:val="00907023"/>
    <w:rsid w:val="009207AF"/>
    <w:rsid w:val="00927542"/>
    <w:rsid w:val="00944A56"/>
    <w:rsid w:val="0094731A"/>
    <w:rsid w:val="0095205D"/>
    <w:rsid w:val="009573CD"/>
    <w:rsid w:val="00961639"/>
    <w:rsid w:val="00967597"/>
    <w:rsid w:val="009739D3"/>
    <w:rsid w:val="009764BD"/>
    <w:rsid w:val="009A3DA1"/>
    <w:rsid w:val="009A4A94"/>
    <w:rsid w:val="009F4AAB"/>
    <w:rsid w:val="00A049CC"/>
    <w:rsid w:val="00A1164F"/>
    <w:rsid w:val="00A145FD"/>
    <w:rsid w:val="00A15007"/>
    <w:rsid w:val="00A36B01"/>
    <w:rsid w:val="00A41A15"/>
    <w:rsid w:val="00A532D4"/>
    <w:rsid w:val="00A559D8"/>
    <w:rsid w:val="00A66BCA"/>
    <w:rsid w:val="00A73A28"/>
    <w:rsid w:val="00A76E6E"/>
    <w:rsid w:val="00A863B4"/>
    <w:rsid w:val="00A93A27"/>
    <w:rsid w:val="00AB1FC1"/>
    <w:rsid w:val="00AB60D9"/>
    <w:rsid w:val="00AB6965"/>
    <w:rsid w:val="00AC71BC"/>
    <w:rsid w:val="00AE09FF"/>
    <w:rsid w:val="00AE732E"/>
    <w:rsid w:val="00AE7AF5"/>
    <w:rsid w:val="00AF5B06"/>
    <w:rsid w:val="00B104CB"/>
    <w:rsid w:val="00B10A10"/>
    <w:rsid w:val="00B160C2"/>
    <w:rsid w:val="00B30F14"/>
    <w:rsid w:val="00B4637A"/>
    <w:rsid w:val="00B705A9"/>
    <w:rsid w:val="00B823C1"/>
    <w:rsid w:val="00B8751A"/>
    <w:rsid w:val="00B90CC1"/>
    <w:rsid w:val="00BA532B"/>
    <w:rsid w:val="00BC3CB3"/>
    <w:rsid w:val="00C16252"/>
    <w:rsid w:val="00C208AB"/>
    <w:rsid w:val="00C35502"/>
    <w:rsid w:val="00C645A0"/>
    <w:rsid w:val="00C74F5C"/>
    <w:rsid w:val="00C80B83"/>
    <w:rsid w:val="00C96BD3"/>
    <w:rsid w:val="00CA4EB1"/>
    <w:rsid w:val="00CA63F2"/>
    <w:rsid w:val="00CB58B3"/>
    <w:rsid w:val="00CC739A"/>
    <w:rsid w:val="00CD1ABB"/>
    <w:rsid w:val="00CD1C51"/>
    <w:rsid w:val="00CE6A09"/>
    <w:rsid w:val="00CE7BD5"/>
    <w:rsid w:val="00CF210C"/>
    <w:rsid w:val="00CF7086"/>
    <w:rsid w:val="00D1590D"/>
    <w:rsid w:val="00D757AB"/>
    <w:rsid w:val="00D826D3"/>
    <w:rsid w:val="00D84C4D"/>
    <w:rsid w:val="00D87D84"/>
    <w:rsid w:val="00D93074"/>
    <w:rsid w:val="00D95FF5"/>
    <w:rsid w:val="00DA7615"/>
    <w:rsid w:val="00DE28CF"/>
    <w:rsid w:val="00DE38F2"/>
    <w:rsid w:val="00DF1527"/>
    <w:rsid w:val="00E00B00"/>
    <w:rsid w:val="00E1324B"/>
    <w:rsid w:val="00E25AC5"/>
    <w:rsid w:val="00E44503"/>
    <w:rsid w:val="00E64DBF"/>
    <w:rsid w:val="00E818AA"/>
    <w:rsid w:val="00EC15F5"/>
    <w:rsid w:val="00ED1C3C"/>
    <w:rsid w:val="00EF1E0D"/>
    <w:rsid w:val="00EF2200"/>
    <w:rsid w:val="00EF599C"/>
    <w:rsid w:val="00F1417E"/>
    <w:rsid w:val="00F30E7D"/>
    <w:rsid w:val="00F55C4F"/>
    <w:rsid w:val="00F63D56"/>
    <w:rsid w:val="00F86BFF"/>
    <w:rsid w:val="00FA1414"/>
    <w:rsid w:val="00FA65AC"/>
    <w:rsid w:val="00FB7187"/>
    <w:rsid w:val="00FE3329"/>
    <w:rsid w:val="00FE5F05"/>
    <w:rsid w:val="00FF1F7B"/>
    <w:rsid w:val="01AB745F"/>
    <w:rsid w:val="0A3144E0"/>
    <w:rsid w:val="0B836E32"/>
    <w:rsid w:val="0D5F5E5E"/>
    <w:rsid w:val="1159310D"/>
    <w:rsid w:val="12331667"/>
    <w:rsid w:val="17CC0594"/>
    <w:rsid w:val="1C4A17FC"/>
    <w:rsid w:val="1DD065E9"/>
    <w:rsid w:val="2163244D"/>
    <w:rsid w:val="21A842C7"/>
    <w:rsid w:val="23143199"/>
    <w:rsid w:val="25FF7D86"/>
    <w:rsid w:val="286111B4"/>
    <w:rsid w:val="35904557"/>
    <w:rsid w:val="3AA53545"/>
    <w:rsid w:val="3F262123"/>
    <w:rsid w:val="3FA11192"/>
    <w:rsid w:val="43CF26EE"/>
    <w:rsid w:val="4519629D"/>
    <w:rsid w:val="467250CA"/>
    <w:rsid w:val="544165A1"/>
    <w:rsid w:val="55AE629E"/>
    <w:rsid w:val="58B33A46"/>
    <w:rsid w:val="59C17412"/>
    <w:rsid w:val="5BD40AB2"/>
    <w:rsid w:val="61CC411F"/>
    <w:rsid w:val="6292105F"/>
    <w:rsid w:val="629A2F5C"/>
    <w:rsid w:val="63690012"/>
    <w:rsid w:val="6B2D7B77"/>
    <w:rsid w:val="6EB20BFA"/>
    <w:rsid w:val="70124526"/>
    <w:rsid w:val="70B12FF8"/>
    <w:rsid w:val="70FC22D6"/>
    <w:rsid w:val="738E7309"/>
    <w:rsid w:val="772F6AEC"/>
    <w:rsid w:val="7F99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line="360" w:lineRule="auto"/>
    </w:pPr>
    <w:rPr>
      <w:sz w:val="24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tabs>
        <w:tab w:val="right" w:leader="dot" w:pos="8302"/>
      </w:tabs>
      <w:spacing w:line="360" w:lineRule="auto"/>
      <w:jc w:val="center"/>
    </w:pPr>
    <w:rPr>
      <w:rFonts w:eastAsia="黑体"/>
      <w:sz w:val="36"/>
    </w:rPr>
  </w:style>
  <w:style w:type="paragraph" w:styleId="11">
    <w:name w:val="Body Text 2"/>
    <w:basedOn w:val="1"/>
    <w:qFormat/>
    <w:uiPriority w:val="0"/>
    <w:pPr>
      <w:jc w:val="center"/>
    </w:pPr>
    <w:rPr>
      <w:rFonts w:ascii="黑体" w:eastAsia="黑体"/>
      <w:sz w:val="48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annotation subject"/>
    <w:basedOn w:val="5"/>
    <w:next w:val="5"/>
    <w:semiHidden/>
    <w:qFormat/>
    <w:uiPriority w:val="0"/>
    <w:rPr>
      <w:b/>
      <w:bCs/>
    </w:rPr>
  </w:style>
  <w:style w:type="table" w:styleId="15">
    <w:name w:val="Table Grid"/>
    <w:basedOn w:val="1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page number"/>
    <w:qFormat/>
    <w:uiPriority w:val="0"/>
  </w:style>
  <w:style w:type="character" w:styleId="19">
    <w:name w:val="Hyperlink"/>
    <w:qFormat/>
    <w:uiPriority w:val="0"/>
    <w:rPr>
      <w:color w:val="0000FF"/>
      <w:u w:val="single"/>
    </w:rPr>
  </w:style>
  <w:style w:type="character" w:styleId="20">
    <w:name w:val="HTML Code"/>
    <w:basedOn w:val="16"/>
    <w:qFormat/>
    <w:uiPriority w:val="0"/>
    <w:rPr>
      <w:rFonts w:ascii="Courier New" w:hAnsi="Courier New"/>
      <w:sz w:val="20"/>
    </w:rPr>
  </w:style>
  <w:style w:type="character" w:styleId="21">
    <w:name w:val="annotation reference"/>
    <w:semiHidden/>
    <w:qFormat/>
    <w:uiPriority w:val="0"/>
    <w:rPr>
      <w:sz w:val="21"/>
      <w:szCs w:val="21"/>
    </w:rPr>
  </w:style>
  <w:style w:type="paragraph" w:customStyle="1" w:styleId="2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18</Pages>
  <Words>121</Words>
  <Characters>157</Characters>
  <Lines>12</Lines>
  <Paragraphs>7</Paragraphs>
  <TotalTime>156</TotalTime>
  <ScaleCrop>false</ScaleCrop>
  <LinksUpToDate>false</LinksUpToDate>
  <CharactersWithSpaces>158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2025-11-02T12:43:00Z</dcterms:created>
  <dc:creator>user</dc:creator>
  <cp:lastModifiedBy>xixihaha</cp:lastModifiedBy>
  <cp:lastPrinted>2006-06-07T00:47:00Z</cp:lastPrinted>
  <dcterms:modified xsi:type="dcterms:W3CDTF">2025-12-11T08:04:49Z</dcterms:modified>
  <dc:title>电子化采购系统的研究与设计(小二号黑体居中)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8D19DA7D5C5440F681033B0E871D6A66_13</vt:lpwstr>
  </property>
  <property fmtid="{D5CDD505-2E9C-101B-9397-08002B2CF9AE}" pid="4" name="KSOTemplateDocerSaveRecord">
    <vt:lpwstr>eyJoZGlkIjoiZWRhMzM4YjFhNzQ2MzI3Y2NkOWI3MWM4YjQ5M2IwZDgiLCJ1c2VySWQiOiIxNzQ2MDc5Njg1In0=</vt:lpwstr>
  </property>
</Properties>
</file>