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Title"/>
        <w:jc w:val="center"/>
      </w:pPr>
      <w:r>
        <w:t>DOEON KIM</w:t>
      </w:r>
    </w:p>
    <w:p>
      <w:pPr>
        <w:pStyle w:val="ResumeHeadline"/>
        <w:jc w:val="center"/>
      </w:pPr>
      <w:r>
        <w:t>AI Solutions Architect | Governed Delivery, Data Workflows, Operational AI</w:t>
      </w:r>
    </w:p>
    <w:p>
      <w:pPr>
        <w:pStyle w:val="ResumeContact"/>
        <w:jc w:val="center"/>
      </w:pPr>
      <w:r>
        <w:t>Busan, South Korea | +82 10-5791-8465 | ehdjs1351@gmail.com</w:t>
      </w:r>
    </w:p>
    <w:p>
      <w:pPr>
        <w:pStyle w:val="ResumeContact"/>
        <w:jc w:val="center"/>
      </w:pPr>
      <w:r>
        <w:t>linkedin.com/in/doeon-kim-4742a2388 | github.com/KIM3310 | kim3310.github.io/doeon-kim-portfolio</w:t>
      </w:r>
    </w:p>
    <w:p>
      <w:pPr>
        <w:pStyle w:val="ResumeSection"/>
      </w:pPr>
      <w:r>
        <w:t>SUMMARY</w:t>
      </w:r>
    </w:p>
    <w:p>
      <w:pPr>
        <w:pStyle w:val="ListBullet"/>
      </w:pPr>
      <w:r>
        <w:rPr>
          <w:rFonts w:ascii="Arial" w:hAnsi="Arial"/>
          <w:sz w:val="18"/>
        </w:rPr>
        <w:t>Designs and delivers reviewable AI systems from discovery and pilot planning to governed rollout, with public proof in enterprise delivery, multimodal operations, and operator-facing workflows.</w:t>
      </w:r>
    </w:p>
    <w:p>
      <w:pPr>
        <w:pStyle w:val="ListBullet"/>
      </w:pPr>
      <w:r>
        <w:rPr>
          <w:rFonts w:ascii="Arial" w:hAnsi="Arial"/>
          <w:sz w:val="18"/>
        </w:rPr>
        <w:t>Turns ambiguous requirements into inspectable architectures with clear trust boundaries, review paths, and handoff artifacts instead of one-off demos.</w:t>
      </w:r>
    </w:p>
    <w:p>
      <w:pPr>
        <w:pStyle w:val="ListBullet"/>
      </w:pPr>
      <w:r>
        <w:rPr>
          <w:rFonts w:ascii="Arial" w:hAnsi="Arial"/>
          <w:sz w:val="18"/>
        </w:rPr>
        <w:t>Pairs hands-on implementation with customer-facing architecture judgment across cloud, data, runtime, and governance-heavy delivery contexts, including live workshop preview, warehouse proof, and verified reviewer lanes.</w:t>
      </w:r>
    </w:p>
    <w:p>
      <w:pPr>
        <w:pStyle w:val="ListBullet"/>
      </w:pPr>
      <w:r>
        <w:rPr>
          <w:rFonts w:ascii="Arial" w:hAnsi="Arial"/>
          <w:sz w:val="18"/>
        </w:rPr>
        <w:t>Certified across Microsoft, Snowflake, Databricks, and Palantir-aligned stacks, with public project pages that let reviewers inspect shipped systems quickly and issuer validation shared separately when needed.</w:t>
      </w:r>
    </w:p>
    <w:p>
      <w:pPr>
        <w:pStyle w:val="ResumeSection"/>
      </w:pPr>
      <w:r>
        <w:t>SKILLS</w:t>
      </w:r>
    </w:p>
    <w:p>
      <w:pPr>
        <w:pStyle w:val="ResumeBody"/>
      </w:pPr>
      <w:r>
        <w:rPr>
          <w:b/>
        </w:rPr>
        <w:t xml:space="preserve">AI &amp; Solution Design: </w:t>
      </w:r>
      <w:r>
        <w:t>solution architecture, LLM systems, RAG, agent runtimes, multimodal AI, eval design</w:t>
      </w:r>
    </w:p>
    <w:p>
      <w:pPr>
        <w:pStyle w:val="ResumeBody"/>
      </w:pPr>
      <w:r>
        <w:rPr>
          <w:b/>
        </w:rPr>
        <w:t xml:space="preserve">Cloud &amp; Data Platforms: </w:t>
      </w:r>
      <w:r>
        <w:t>Azure OpenAI, Azure AI Search, AWS, GCP, Databricks, Snowflake, Palantir</w:t>
      </w:r>
    </w:p>
    <w:p>
      <w:pPr>
        <w:pStyle w:val="ResumeBody"/>
      </w:pPr>
      <w:r>
        <w:rPr>
          <w:b/>
        </w:rPr>
        <w:t xml:space="preserve">Engineering Delivery: </w:t>
      </w:r>
      <w:r>
        <w:t>Python, FastAPI, TypeScript, React, Next.js, Node.js, WebSocket/SSE, Docker, CI/CD</w:t>
      </w:r>
    </w:p>
    <w:p>
      <w:pPr>
        <w:pStyle w:val="ResumeBody"/>
      </w:pPr>
      <w:r>
        <w:rPr>
          <w:b/>
        </w:rPr>
        <w:t xml:space="preserve">Governance &amp; Ops: </w:t>
      </w:r>
      <w:r>
        <w:t>IAM/RBAC, audit logging, incident response, rollout gates, reviewer handoff, operator workflows</w:t>
      </w:r>
    </w:p>
    <w:p>
      <w:pPr>
        <w:pStyle w:val="ResumeSection"/>
      </w:pPr>
      <w:r>
        <w:t>EXPERIENCE</w:t>
      </w:r>
    </w:p>
    <w:p>
      <w:pPr>
        <w:pStyle w:val="ResumeBody"/>
      </w:pPr>
      <w:r>
        <w:rPr>
          <w:b/>
        </w:rPr>
        <w:t>Microsoft AI School | Trainee</w:t>
      </w:r>
    </w:p>
    <w:p>
      <w:pPr>
        <w:pStyle w:val="ResumeMeta"/>
      </w:pPr>
      <w:r>
        <w:t>Seoul, South Korea | Sep 2025 - Feb 26, 2026</w:t>
      </w:r>
    </w:p>
    <w:p>
      <w:pPr>
        <w:pStyle w:val="ListBullet"/>
      </w:pPr>
      <w:r>
        <w:t>Delivered project work across RAG, incident operations, and real-time operator workflows under practitioner and Microsoft Korea feedback loops.</w:t>
      </w:r>
    </w:p>
    <w:p>
      <w:pPr>
        <w:pStyle w:val="ListBullet"/>
      </w:pPr>
      <w:r>
        <w:t>Converted ambiguous project requirements into reviewable system designs, live demos, and handoff-ready delivery surfaces across multiple team systems.</w:t>
      </w:r>
    </w:p>
    <w:p>
      <w:pPr>
        <w:pStyle w:val="ListBullet"/>
      </w:pPr>
      <w:r>
        <w:t>Improved Haptix multi-label performance to AP 96.8 on single-tag and AP 85.0 on triple-tag cases while building backend and retrieval delivery surfaces.</w:t>
      </w:r>
    </w:p>
    <w:p>
      <w:pPr>
        <w:pStyle w:val="ResumeBody"/>
      </w:pPr>
      <w:r>
        <w:rPr>
          <w:b/>
        </w:rPr>
        <w:t>ATOM TECH SOLUTIONS LTD | Full Stack Engineer (AI Integration) Intern</w:t>
      </w:r>
    </w:p>
    <w:p>
      <w:pPr>
        <w:pStyle w:val="ResumeMeta"/>
      </w:pPr>
      <w:r>
        <w:t>Berkeley, CA, United States | Jun 2025 - Sep 2025</w:t>
      </w:r>
    </w:p>
    <w:p>
      <w:pPr>
        <w:pStyle w:val="ListBullet"/>
      </w:pPr>
      <w:r>
        <w:t>Built customer-facing full-stack features and integrated OpenAI-powered chatbot workflows into an existing US startup review product.</w:t>
      </w:r>
    </w:p>
    <w:p>
      <w:pPr>
        <w:pStyle w:val="ListBullet"/>
      </w:pPr>
      <w:r>
        <w:t>Improved delivery reliability by tightening server-side configuration, credential handling, request/response error handling, and external API integration flows.</w:t>
      </w:r>
    </w:p>
    <w:p>
      <w:pPr>
        <w:pStyle w:val="ListBullet"/>
      </w:pPr>
      <w:r>
        <w:t>Worked asynchronously across US time zones, turning stakeholder feedback and log-based issues into stable application and AI integration updates.</w:t>
      </w:r>
    </w:p>
    <w:p>
      <w:pPr>
        <w:pStyle w:val="ResumeBody"/>
      </w:pPr>
      <w:r>
        <w:rPr>
          <w:b/>
        </w:rPr>
        <w:t>ROK Defense Communication Command | Strategic Backbone Network &amp; Security Team Lead</w:t>
      </w:r>
    </w:p>
    <w:p>
      <w:pPr>
        <w:pStyle w:val="ResumeMeta"/>
      </w:pPr>
      <w:r>
        <w:t>Seongnam, South Korea | Nov 2023 - May 2025</w:t>
      </w:r>
    </w:p>
    <w:p>
      <w:pPr>
        <w:pStyle w:val="ListBullet"/>
      </w:pPr>
      <w:r>
        <w:t>Led a 6-person squad in a 24/7 mission-critical environment and kept operations reviewable under no-fail expectations.</w:t>
      </w:r>
    </w:p>
    <w:p>
      <w:pPr>
        <w:pStyle w:val="ListBullet"/>
      </w:pPr>
      <w:r>
        <w:t>Handled roughly 8-9 incidents per month, leading triage, mitigation, IAM/access control, emergency recovery, and compliance-oriented handoff.</w:t>
      </w:r>
    </w:p>
    <w:p>
      <w:pPr>
        <w:pStyle w:val="ResumeSection"/>
      </w:pPr>
      <w:r>
        <w:t>SELECTED PROJECTS</w:t>
      </w:r>
    </w:p>
    <w:p>
      <w:pPr>
        <w:pStyle w:val="ResumeBody"/>
      </w:pPr>
      <w:r>
        <w:rPr>
          <w:b/>
        </w:rPr>
        <w:t>Enterprise LLM Adoption Kit | Pilot-to-Production Governance Control Tower</w:t>
      </w:r>
    </w:p>
    <w:p>
      <w:pPr>
        <w:pStyle w:val="ResumeMeta"/>
      </w:pPr>
      <w:r>
        <w:t>Customer architecture and rollout evidence</w:t>
      </w:r>
    </w:p>
    <w:p>
      <w:pPr>
        <w:pStyle w:val="ListBullet"/>
      </w:pPr>
      <w:r>
        <w:t>Implemented RBAC, prompt-injection detection, PII redaction, audit logging, JSONL eval pipelines, and rollout artifacts.</w:t>
      </w:r>
    </w:p>
    <w:p>
      <w:pPr>
        <w:pStyle w:val="ListBullet"/>
      </w:pPr>
      <w:r>
        <w:t>Added rollout-gates, live-workshop-preview, and customer-architecture-pack surfaces to support discovery, pilot, rollout, and handoff decisions.</w:t>
      </w:r>
    </w:p>
    <w:p>
      <w:pPr>
        <w:pStyle w:val="ResumeBody"/>
      </w:pPr>
      <w:r>
        <w:rPr>
          <w:b/>
        </w:rPr>
        <w:t>Nexus-Hive | Governed Analytics Runtime</w:t>
      </w:r>
    </w:p>
    <w:p>
      <w:pPr>
        <w:pStyle w:val="ResumeMeta"/>
      </w:pPr>
      <w:r>
        <w:t>Warehouse-target review surface</w:t>
      </w:r>
    </w:p>
    <w:p>
      <w:pPr>
        <w:pStyle w:val="ListBullet"/>
      </w:pPr>
      <w:r>
        <w:t>Built governed analytics review surfaces with warehouse brief, reviewer-query-demo, semantic governance, and target scorecards for SQLite, Snowflake, and Databricks-aligned review.</w:t>
      </w:r>
    </w:p>
    <w:p>
      <w:pPr>
        <w:pStyle w:val="ResumeBody"/>
      </w:pPr>
      <w:r>
        <w:rPr>
          <w:b/>
        </w:rPr>
        <w:t>Lakehouse Contract Lab | Spark + Delta Review Surface</w:t>
      </w:r>
    </w:p>
    <w:p>
      <w:pPr>
        <w:pStyle w:val="ResumeMeta"/>
      </w:pPr>
      <w:r>
        <w:t>Artifact-refresh-only platform proof</w:t>
      </w:r>
    </w:p>
    <w:p>
      <w:pPr>
        <w:pStyle w:val="ListBullet"/>
      </w:pPr>
      <w:r>
        <w:t>Built explicit Spark + Delta medallion proof with quality gates, reviewer-readable table previews, and artifact-refresh review summaries for Snowflake- and Databricks-style architecture conversations.</w:t>
      </w:r>
    </w:p>
    <w:p>
      <w:pPr>
        <w:pStyle w:val="ResumeBody"/>
      </w:pPr>
      <w:r>
        <w:rPr>
          <w:b/>
        </w:rPr>
        <w:t>secure-xl2hwp-local | Offline Regulated Workflow Platform</w:t>
      </w:r>
    </w:p>
    <w:p>
      <w:pPr>
        <w:pStyle w:val="ResumeMeta"/>
      </w:pPr>
      <w:r>
        <w:t>Air-gapped deployment proof</w:t>
      </w:r>
    </w:p>
    <w:p>
      <w:pPr>
        <w:pStyle w:val="ListBullet"/>
      </w:pPr>
      <w:r>
        <w:t>Built a local spreadsheet-to-document workflow with signed export verification, readiness checks, and offline-deployment-pack surfaces for constrained environments.</w:t>
      </w:r>
    </w:p>
    <w:p>
      <w:pPr>
        <w:pStyle w:val="ResumeBody"/>
      </w:pPr>
      <w:r>
        <w:rPr>
          <w:b/>
        </w:rPr>
        <w:t>AegisOps | Multimodal Incident Copilot</w:t>
      </w:r>
    </w:p>
    <w:p>
      <w:pPr>
        <w:pStyle w:val="ResumeMeta"/>
      </w:pPr>
      <w:r>
        <w:t>Operational review and handoff</w:t>
      </w:r>
    </w:p>
    <w:p>
      <w:pPr>
        <w:pStyle w:val="ListBullet"/>
      </w:pPr>
      <w:r>
        <w:t>Combined logs, screenshots, RCA, postmortem-pack, escalation-readiness, and live escalation preview surfaces into a reviewer-safe incident workflow.</w:t>
      </w:r>
    </w:p>
    <w:p>
      <w:pPr>
        <w:pStyle w:val="ResumeSection"/>
      </w:pPr>
      <w:r>
        <w:t>EDUCATION</w:t>
      </w:r>
    </w:p>
    <w:p>
      <w:pPr>
        <w:pStyle w:val="ResumeBody"/>
      </w:pPr>
      <w:r>
        <w:t>Korea National Open University (KNOU) | B.S. in Computer Science (In Progress, Entered Mar 2026)</w:t>
      </w:r>
    </w:p>
    <w:p>
      <w:pPr>
        <w:pStyle w:val="ResumeSection"/>
      </w:pPr>
      <w:r>
        <w:t>CERTIFICATIONS</w:t>
      </w:r>
    </w:p>
    <w:p>
      <w:pPr>
        <w:pStyle w:val="ResumeBody"/>
      </w:pPr>
      <w:r>
        <w:t>Microsoft / Snowflake / Palantir: AI-900, SnowPro Associate, Foundry Data Engineer Associate, Foundry Foundations</w:t>
      </w:r>
    </w:p>
    <w:p>
      <w:pPr>
        <w:pStyle w:val="ResumeBody"/>
      </w:pPr>
      <w:r>
        <w:t>Databricks / Datadog / IBM: AWS Databricks Platform Architect, GCP Databricks Platform Architect, Databricks Fundamentals, Observability Certifications, AI / Cloud / Cyber Fundamentals</w:t>
      </w:r>
    </w:p>
    <w:p>
      <w:pPr>
        <w:pStyle w:val="ResumeBody"/>
      </w:pPr>
      <w:r>
        <w:t>Other: SAP Cloud Platform Integration Service</w:t>
      </w:r>
    </w:p>
    <w:p>
      <w:pPr>
        <w:pStyle w:val="ResumeSection"/>
      </w:pPr>
      <w:r>
        <w:t>LANGUAGES</w:t>
      </w:r>
    </w:p>
    <w:p>
      <w:pPr>
        <w:pStyle w:val="ResumeBody"/>
      </w:pPr>
      <w:r>
        <w:t>Korean (Native), English (Business / Working), Japanese (Business / Working)</w:t>
      </w:r>
    </w:p>
    <w:p>
      <w:pPr>
        <w:pStyle w:val="ResumeSection"/>
      </w:pPr>
      <w:r>
        <w:t>VALUE I BRING</w:t>
      </w:r>
    </w:p>
    <w:p>
      <w:pPr>
        <w:pStyle w:val="ListBullet"/>
      </w:pPr>
      <w:r>
        <w:rPr>
          <w:rFonts w:ascii="Arial" w:hAnsi="Arial"/>
          <w:sz w:val="18"/>
        </w:rPr>
        <w:t>Translate technical ambiguity into reviewable systems with clearer operating boundaries and proof.</w:t>
      </w:r>
    </w:p>
    <w:p>
      <w:pPr>
        <w:pStyle w:val="ListBullet"/>
      </w:pPr>
      <w:r>
        <w:rPr>
          <w:rFonts w:ascii="Arial" w:hAnsi="Arial"/>
          <w:sz w:val="18"/>
        </w:rPr>
        <w:t>Work well across engineers, specialists, and customer-facing stakeholders to support trusted delivery.</w:t>
      </w:r>
    </w:p>
    <w:p>
      <w:pPr>
        <w:pStyle w:val="ListBullet"/>
      </w:pPr>
      <w:r>
        <w:rPr>
          <w:rFonts w:ascii="Arial" w:hAnsi="Arial"/>
          <w:sz w:val="18"/>
        </w:rPr>
        <w:t>Pair architecture judgment with enough implementation depth to build the project page, not just describe it.</w:t>
      </w:r>
    </w:p>
    <w:sectPr w:rsidR="00FC693F" w:rsidRPr="0006063C" w:rsidSect="00034616">
      <w:pgSz w:w="12240" w:h="15840"/>
      <w:pgMar w:top="648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Title">
    <w:name w:val="ResumeTitle"/>
    <w:rPr>
      <w:rFonts w:ascii="Arial" w:hAnsi="Arial"/>
      <w:b/>
      <w:i w:val="0"/>
      <w:sz w:val="36"/>
    </w:rPr>
  </w:style>
  <w:style w:type="paragraph" w:customStyle="1" w:styleId="ResumeHeadline">
    <w:name w:val="ResumeHeadline"/>
    <w:rPr>
      <w:rFonts w:ascii="Arial" w:hAnsi="Arial"/>
      <w:b/>
      <w:i w:val="0"/>
      <w:color w:val="0D3EC5"/>
      <w:sz w:val="22"/>
    </w:rPr>
  </w:style>
  <w:style w:type="paragraph" w:customStyle="1" w:styleId="ResumeContact">
    <w:name w:val="ResumeContact"/>
    <w:rPr>
      <w:rFonts w:ascii="Arial" w:hAnsi="Arial"/>
      <w:b w:val="0"/>
      <w:i w:val="0"/>
      <w:color w:val="334253"/>
      <w:sz w:val="18"/>
    </w:rPr>
  </w:style>
  <w:style w:type="paragraph" w:customStyle="1" w:styleId="ResumeSection">
    <w:name w:val="ResumeSection"/>
    <w:rPr>
      <w:rFonts w:ascii="Arial" w:hAnsi="Arial"/>
      <w:b/>
      <w:i w:val="0"/>
      <w:color w:val="0D3EC5"/>
      <w:sz w:val="20"/>
    </w:rPr>
  </w:style>
  <w:style w:type="paragraph" w:customStyle="1" w:styleId="ResumeBody">
    <w:name w:val="ResumeBody"/>
    <w:rPr>
      <w:rFonts w:ascii="Arial" w:hAnsi="Arial"/>
      <w:b w:val="0"/>
      <w:i w:val="0"/>
      <w:sz w:val="18"/>
    </w:rPr>
  </w:style>
  <w:style w:type="paragraph" w:customStyle="1" w:styleId="ResumeMeta">
    <w:name w:val="ResumeMeta"/>
    <w:rPr>
      <w:rFonts w:ascii="Arial" w:hAnsi="Arial"/>
      <w:b w:val="0"/>
      <w:i/>
      <w:color w:val="33425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