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AI Solutions Architect | Governed AI Delivery, Data Workflows, Reviewer-Safe Systems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Designs and delivers reviewable AI systems from discovery and pilot planning to governed rollout, with strongest public proof in enterprise LLM governance, multimodal operations, and operator-facing workflows.</w:t>
      </w:r>
    </w:p>
    <w:p>
      <w:pPr>
        <w:pStyle w:val="ListBullet"/>
      </w:pPr>
      <w:r>
        <w:rPr>
          <w:rFonts w:ascii="Arial" w:hAnsi="Arial"/>
          <w:sz w:val="18"/>
        </w:rPr>
        <w:t>Turns ambiguous requirements into inspectable architectures with clear trust boundaries, review paths, and handoff artifacts instead of one-off demos.</w:t>
      </w:r>
    </w:p>
    <w:p>
      <w:pPr>
        <w:pStyle w:val="ListBullet"/>
      </w:pPr>
      <w:r>
        <w:rPr>
          <w:rFonts w:ascii="Arial" w:hAnsi="Arial"/>
          <w:sz w:val="18"/>
        </w:rPr>
        <w:t>Pairs hands-on implementation with customer-facing architecture judgment across cloud, data, runtime, and governance-heavy delivery contexts.</w:t>
      </w:r>
    </w:p>
    <w:p>
      <w:pPr>
        <w:pStyle w:val="ListBullet"/>
      </w:pPr>
      <w:r>
        <w:rPr>
          <w:rFonts w:ascii="Arial" w:hAnsi="Arial"/>
          <w:sz w:val="18"/>
        </w:rPr>
        <w:t>Certified across Microsoft, Snowflake, Databricks, and Palantir-aligned stacks, with public proof surfaces that let reviewers inspect shipped systems quickly.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AI &amp; Solution Design: </w:t>
      </w:r>
      <w:r>
        <w:t>solution architecture, LLM systems, RAG, agent runtimes, multimodal AI, eval design</w:t>
      </w:r>
    </w:p>
    <w:p>
      <w:pPr>
        <w:pStyle w:val="ResumeBody"/>
      </w:pPr>
      <w:r>
        <w:rPr>
          <w:b/>
        </w:rPr>
        <w:t xml:space="preserve">Cloud &amp; Data Platforms: </w:t>
      </w:r>
      <w:r>
        <w:t>Azure OpenAI, Azure AI Search, AWS, GCP, Databricks, Snowflake, Palantir</w:t>
      </w:r>
    </w:p>
    <w:p>
      <w:pPr>
        <w:pStyle w:val="ResumeBody"/>
      </w:pPr>
      <w:r>
        <w:rPr>
          <w:b/>
        </w:rPr>
        <w:t xml:space="preserve">Engineering Delivery: </w:t>
      </w:r>
      <w:r>
        <w:t>Python, FastAPI, TypeScript, React, Next.js, Node.js, WebSocket/SSE, Docker, CI/CD</w:t>
      </w:r>
    </w:p>
    <w:p>
      <w:pPr>
        <w:pStyle w:val="ResumeBody"/>
      </w:pPr>
      <w:r>
        <w:rPr>
          <w:b/>
        </w:rPr>
        <w:t xml:space="preserve">Governance &amp; Ops: </w:t>
      </w:r>
      <w:r>
        <w:t>IAM/RBAC, audit logging, incident response, rollout gates, reviewer handoff, operator workflows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project work across RAG, incident operations, and real-time operator workflows under practitioner and Microsoft Korea feedback loops.</w:t>
      </w:r>
    </w:p>
    <w:p>
      <w:pPr>
        <w:pStyle w:val="ListBullet"/>
      </w:pPr>
      <w:r>
        <w:t>Converted ambiguous project requirements into reviewable system designs, live demos, and handoff-ready delivery surfaces across multiple team systems.</w:t>
      </w:r>
    </w:p>
    <w:p>
      <w:pPr>
        <w:pStyle w:val="ListBullet"/>
      </w:pPr>
      <w:r>
        <w:t>Improved Haptix multi-label performance to AP 96.8 on single-tag and AP 85.0 on triple-tag cases while building backend and retrieval delivery surfaces.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Built customer-facing full-stack features and integrated OpenAI-powered chatbot workflows for a US startup product environment.</w:t>
      </w:r>
    </w:p>
    <w:p>
      <w:pPr>
        <w:pStyle w:val="ListBullet"/>
      </w:pPr>
      <w:r>
        <w:t>Worked asynchronously across US time zones and kept delivery moving across application, AI integration, and stakeholder communication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and kept operations reviewable under no-fail expectations.</w:t>
      </w:r>
    </w:p>
    <w:p>
      <w:pPr>
        <w:pStyle w:val="ListBullet"/>
      </w:pPr>
      <w:r>
        <w:t>Handled roughly 8-9 incidents per month, leading triage, mitigation, IAM/access control, emergency recovery, and compliance-oriented handoff.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Enterprise LLM Adoption Kit | Pilot-to-Production Governance Control Tower</w:t>
      </w:r>
    </w:p>
    <w:p>
      <w:pPr>
        <w:pStyle w:val="ResumeMeta"/>
      </w:pPr>
      <w:r>
        <w:t>Customer architecture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 and customer-architecture-pack surfaces to support discovery, pilot, rollout, and handoff decisions.</w:t>
      </w:r>
    </w:p>
    <w:p>
      <w:pPr>
        <w:pStyle w:val="ResumeBody"/>
      </w:pPr>
      <w:r>
        <w:rPr>
          <w:b/>
        </w:rPr>
        <w:t>Nexus-Hive | Governed Analytics Runtime</w:t>
      </w:r>
    </w:p>
    <w:p>
      <w:pPr>
        <w:pStyle w:val="ResumeMeta"/>
      </w:pPr>
      <w:r>
        <w:t>Warehouse-target review surface</w:t>
      </w:r>
    </w:p>
    <w:p>
      <w:pPr>
        <w:pStyle w:val="ListBullet"/>
      </w:pPr>
      <w:r>
        <w:t>Built governed analytics review surfaces with warehouse brief, runtime meta, and target scorecards for SQLite, Snowflake, and Databricks-aligned review.</w:t>
      </w:r>
    </w:p>
    <w:p>
      <w:pPr>
        <w:pStyle w:val="ResumeBody"/>
      </w:pPr>
      <w:r>
        <w:rPr>
          <w:b/>
        </w:rPr>
        <w:t>The Logistics Prophet | Decision Intelligence Control Tower</w:t>
      </w:r>
    </w:p>
    <w:p>
      <w:pPr>
        <w:pStyle w:val="ResumeMeta"/>
      </w:pPr>
      <w:r>
        <w:t>Action-to-KPI evidence</w:t>
      </w:r>
    </w:p>
    <w:p>
      <w:pPr>
        <w:pStyle w:val="ListBullet"/>
      </w:pPr>
      <w:r>
        <w:t>Connected recommendation flows to KPI delta using decision-board and action-impact-board surfaces so operational decisions stay inspectable.</w:t>
      </w:r>
    </w:p>
    <w:p>
      <w:pPr>
        <w:pStyle w:val="ResumeBody"/>
      </w:pPr>
      <w:r>
        <w:rPr>
          <w:b/>
        </w:rPr>
        <w:t>secure-xl2hwp-local | Offline Regulated Workflow Platform</w:t>
      </w:r>
    </w:p>
    <w:p>
      <w:pPr>
        <w:pStyle w:val="ResumeMeta"/>
      </w:pPr>
      <w:r>
        <w:t>Air-gapped deployment proof</w:t>
      </w:r>
    </w:p>
    <w:p>
      <w:pPr>
        <w:pStyle w:val="ListBullet"/>
      </w:pPr>
      <w:r>
        <w:t>Built a local spreadsheet-to-document workflow with signed export verification, readiness checks, and offline-deployment-pack surfaces for constrained environments.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Operational review and handoff</w:t>
      </w:r>
    </w:p>
    <w:p>
      <w:pPr>
        <w:pStyle w:val="ListBullet"/>
      </w:pPr>
      <w:r>
        <w:t>Combined logs, screenshots, RCA, postmortem-pack, and escalation-readiness surfaces into a reviewer-safe incident workflow.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(KNOU)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Microsoft / Snowflake / Palantir: AI-900, SnowPro Associate, Foundry Data Engineer Associate, Foundry Foundations</w:t>
      </w:r>
    </w:p>
    <w:p>
      <w:pPr>
        <w:pStyle w:val="ResumeBody"/>
      </w:pPr>
      <w:r>
        <w:t>Databricks / Datadog / IBM: AWS Databricks Platform Architect, GCP Databricks Platform Architect, Databricks Fundamentals, Observability Certifications, AI / Cloud / Cyber Fundamentals</w:t>
      </w:r>
    </w:p>
    <w:p>
      <w:pPr>
        <w:pStyle w:val="ResumeBody"/>
      </w:pPr>
      <w:r>
        <w:t>Other: SAP Cloud Platform Integration Service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p>
      <w:pPr>
        <w:pStyle w:val="ResumeSection"/>
      </w:pPr>
      <w:r>
        <w:t>VALUE I BRING</w:t>
      </w:r>
    </w:p>
    <w:p>
      <w:pPr>
        <w:pStyle w:val="ListBullet"/>
      </w:pPr>
      <w:r>
        <w:rPr>
          <w:rFonts w:ascii="Arial" w:hAnsi="Arial"/>
          <w:sz w:val="18"/>
        </w:rPr>
        <w:t>Translate technical ambiguity into reviewable systems with clearer operating boundaries and proof.</w:t>
      </w:r>
    </w:p>
    <w:p>
      <w:pPr>
        <w:pStyle w:val="ListBullet"/>
      </w:pPr>
      <w:r>
        <w:rPr>
          <w:rFonts w:ascii="Arial" w:hAnsi="Arial"/>
          <w:sz w:val="18"/>
        </w:rPr>
        <w:t>Work well across engineers, specialists, and customer-facing stakeholders to support trusted delivery.</w:t>
      </w:r>
    </w:p>
    <w:p>
      <w:pPr>
        <w:pStyle w:val="ListBullet"/>
      </w:pPr>
      <w:r>
        <w:rPr>
          <w:rFonts w:ascii="Arial" w:hAnsi="Arial"/>
          <w:sz w:val="18"/>
        </w:rPr>
        <w:t>Pair architecture judgment with enough implementation depth to build the proof surface, not just describe it.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