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기술 구현·실무 수용·보안 검증을 연결한 실증 문서</w:t>
      </w:r>
    </w:p>
    <w:p>
      <w:pPr>
        <w:pStyle w:val="Title"/>
      </w:pPr>
      <w:r>
        <w:t>CaseProof Enterprise v5.1</w:t>
      </w:r>
    </w:p>
    <w:p>
      <w:r>
        <w:t>금융 AI 의사결정 품질·변경 통제 플랫폼 — 실제 HTTP API 및 DB 연결형 합성 데이터 MVP</w:t>
      </w:r>
    </w:p>
    <w:p>
      <w:r>
        <w:t>대상 직무: 대형 손해보험사·생명보험사 AI·디지털혁신 / IT 기획 / AI 플랫폼 / SW 개발</w:t>
      </w:r>
    </w:p>
    <w:p>
      <w:r>
        <w:t>문서 성격: 기능 범위와 미완료 범위를 분리한 인수설계서 · 2026년 10월 29일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t>항목</w:t>
            </w:r>
          </w:p>
        </w:tc>
        <w:tc>
          <w:tcPr>
            <w:tcW w:type="dxa" w:w="4896"/>
            <w:vAlign w:val="center"/>
          </w:tcPr>
          <w:p>
            <w:r>
              <w:t>현재 증거</w:t>
            </w:r>
          </w:p>
        </w:tc>
      </w:tr>
      <w:tr>
        <w:tc>
          <w:tcPr>
            <w:tcW w:type="dxa" w:w="4896"/>
            <w:vAlign w:val="center"/>
          </w:tcPr>
          <w:p>
            <w:r>
              <w:t>검증 코드</w:t>
            </w:r>
          </w:p>
        </w:tc>
        <w:tc>
          <w:tcPr>
            <w:tcW w:type="dxa" w:w="4896"/>
            <w:vAlign w:val="center"/>
          </w:tcPr>
          <w:p>
            <w:r>
              <w:t>FastAPI API / SQLAlchemy / SQLite / React 아닌 정적 브라우저 UI</w:t>
            </w:r>
          </w:p>
        </w:tc>
      </w:tr>
      <w:tr>
        <w:tc>
          <w:tcPr>
            <w:tcW w:type="dxa" w:w="4896"/>
            <w:vAlign w:val="center"/>
          </w:tcPr>
          <w:p>
            <w:r>
              <w:t>테스트</w:t>
            </w:r>
          </w:p>
        </w:tc>
        <w:tc>
          <w:tcPr>
            <w:tcW w:type="dxa" w:w="4896"/>
            <w:vAlign w:val="center"/>
          </w:tcPr>
          <w:p>
            <w:r>
              <w:t>pytest 90개 + 하위 테스트 22개 통과 (로컬)</w:t>
            </w:r>
          </w:p>
        </w:tc>
      </w:tr>
      <w:tr>
        <w:tc>
          <w:tcPr>
            <w:tcW w:type="dxa" w:w="4896"/>
            <w:vAlign w:val="center"/>
          </w:tcPr>
          <w:p>
            <w:r>
              <w:t>통합 시나리오</w:t>
            </w:r>
          </w:p>
        </w:tc>
        <w:tc>
          <w:tcPr>
            <w:tcW w:type="dxa" w:w="4896"/>
            <w:vAlign w:val="center"/>
          </w:tcPr>
          <w:p>
            <w:r>
              <w:t>생성→두 버전 검사→독립 2단계 승인→증거 확인, 12/12</w:t>
            </w:r>
          </w:p>
        </w:tc>
      </w:tr>
      <w:tr>
        <w:tc>
          <w:tcPr>
            <w:tcW w:type="dxa" w:w="4896"/>
            <w:vAlign w:val="center"/>
          </w:tcPr>
          <w:p>
            <w:r>
              <w:t>현재 자체 평가</w:t>
            </w:r>
          </w:p>
        </w:tc>
        <w:tc>
          <w:tcPr>
            <w:tcW w:type="dxa" w:w="4896"/>
            <w:vAlign w:val="center"/>
          </w:tcPr>
          <w:p>
            <w:r>
              <w:t>80 / 105 (기본 80/100 + 초과 0/5)</w:t>
            </w:r>
          </w:p>
        </w:tc>
      </w:tr>
      <w:tr>
        <w:tc>
          <w:tcPr>
            <w:tcW w:type="dxa" w:w="4896"/>
            <w:vAlign w:val="center"/>
          </w:tcPr>
          <w:p>
            <w:r>
              <w:t>실제 LLM·실상품·실고객</w:t>
            </w:r>
          </w:p>
        </w:tc>
        <w:tc>
          <w:tcPr>
            <w:tcW w:type="dxa" w:w="4896"/>
            <w:vAlign w:val="center"/>
          </w:tcPr>
          <w:p>
            <w:r>
              <w:t>모두 미연결 / 합성 사례만 수행</w:t>
            </w:r>
          </w:p>
        </w:tc>
      </w:tr>
    </w:tbl>
    <w:p/>
    <w:p>
      <w:r>
        <w:t>실무 사용 제한: 실제 상품 약관, 고객 개인정보, 지급 결정, 법률 적합성 판단에 사용해서는 안 됩니다.</w:t>
      </w:r>
    </w:p>
    <w:p>
      <w:r>
        <w:br w:type="page"/>
      </w:r>
    </w:p>
    <w:p>
      <w:pPr>
        <w:pStyle w:val="Heading1"/>
      </w:pPr>
      <w:r>
        <w:t>1. 제품 목적과 현업에서의 위치</w:t>
      </w:r>
    </w:p>
    <w:p>
      <w:r>
        <w:t>보험사 AI 업무의 변화가 발생할 때 시점에 맞는 가상 업무규칙과 숫자형 안내를 검증하고, 모델/규정의 검증 데이터와 승인 책임을 한 번에 추적할 수 있는 작은 수직 슬라이스입니다. 생산 도입 가능한 규정 엔진이라고 주장하지 않습니다.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사용자</w:t>
            </w:r>
          </w:p>
        </w:tc>
        <w:tc>
          <w:tcPr>
            <w:tcW w:type="dxa" w:w="3264"/>
            <w:vAlign w:val="center"/>
          </w:tcPr>
          <w:p>
            <w:r>
              <w:t>해야 할 결정</w:t>
            </w:r>
          </w:p>
        </w:tc>
        <w:tc>
          <w:tcPr>
            <w:tcW w:type="dxa" w:w="3264"/>
            <w:vAlign w:val="center"/>
          </w:tcPr>
          <w:p>
            <w:r>
              <w:t>현재 작동 단계</w:t>
            </w:r>
          </w:p>
        </w:tc>
      </w:tr>
      <w:tr>
        <w:tc>
          <w:tcPr>
            <w:tcW w:type="dxa" w:w="3264"/>
            <w:vAlign w:val="center"/>
          </w:tcPr>
          <w:p>
            <w:r>
              <w:t>업무 개선 분석가</w:t>
            </w:r>
          </w:p>
        </w:tc>
        <w:tc>
          <w:tcPr>
            <w:tcW w:type="dxa" w:w="3264"/>
            <w:vAlign w:val="center"/>
          </w:tcPr>
          <w:p>
            <w:r>
              <w:t>변경 생성·가상 약관 날짜 기준 검증</w:t>
            </w:r>
          </w:p>
        </w:tc>
        <w:tc>
          <w:tcPr>
            <w:tcW w:type="dxa" w:w="3264"/>
            <w:vAlign w:val="center"/>
          </w:tcPr>
          <w:p>
            <w:r>
              <w:t>API, UI 실제 저장</w:t>
            </w:r>
          </w:p>
        </w:tc>
      </w:tr>
      <w:tr>
        <w:tc>
          <w:tcPr>
            <w:tcW w:type="dxa" w:w="3264"/>
            <w:vAlign w:val="center"/>
          </w:tcPr>
          <w:p>
            <w:r>
              <w:t>현업 검토 담당자</w:t>
            </w:r>
          </w:p>
        </w:tc>
        <w:tc>
          <w:tcPr>
            <w:tcW w:type="dxa" w:w="3264"/>
            <w:vAlign w:val="center"/>
          </w:tcPr>
          <w:p>
            <w:r>
              <w:t>근거·판정 확인 및 승인/반려</w:t>
            </w:r>
          </w:p>
        </w:tc>
        <w:tc>
          <w:tcPr>
            <w:tcW w:type="dxa" w:w="3264"/>
            <w:vAlign w:val="center"/>
          </w:tcPr>
          <w:p>
            <w:r>
              <w:t>역할 인증 및 분리 승인</w:t>
            </w:r>
          </w:p>
        </w:tc>
      </w:tr>
      <w:tr>
        <w:tc>
          <w:tcPr>
            <w:tcW w:type="dxa" w:w="3264"/>
            <w:vAlign w:val="center"/>
          </w:tcPr>
          <w:p>
            <w:r>
              <w:t>IT 릴리스 승인자</w:t>
            </w:r>
          </w:p>
        </w:tc>
        <w:tc>
          <w:tcPr>
            <w:tcW w:type="dxa" w:w="3264"/>
            <w:vAlign w:val="center"/>
          </w:tcPr>
          <w:p>
            <w:r>
              <w:t>승인 이력·증거 확인 및 데모 승인</w:t>
            </w:r>
          </w:p>
        </w:tc>
        <w:tc>
          <w:tcPr>
            <w:tcW w:type="dxa" w:w="3264"/>
            <w:vAlign w:val="center"/>
          </w:tcPr>
          <w:p>
            <w:r>
              <w:t>릴리스 게이트·무결성</w:t>
            </w:r>
          </w:p>
        </w:tc>
      </w:tr>
      <w:tr>
        <w:tc>
          <w:tcPr>
            <w:tcW w:type="dxa" w:w="3264"/>
            <w:vAlign w:val="center"/>
          </w:tcPr>
          <w:p>
            <w:r>
              <w:t>감사 담당자</w:t>
            </w:r>
          </w:p>
        </w:tc>
        <w:tc>
          <w:tcPr>
            <w:tcW w:type="dxa" w:w="3264"/>
            <w:vAlign w:val="center"/>
          </w:tcPr>
          <w:p>
            <w:r>
              <w:t>조직별 로그 해시·증거 묶음 검사</w:t>
            </w:r>
          </w:p>
        </w:tc>
        <w:tc>
          <w:tcPr>
            <w:tcW w:type="dxa" w:w="3264"/>
            <w:vAlign w:val="center"/>
          </w:tcPr>
          <w:p>
            <w:r>
              <w:t>감사 체인/DB 대조</w:t>
            </w:r>
          </w:p>
        </w:tc>
      </w:tr>
    </w:tbl>
    <w:p/>
    <w:p>
      <w:pPr>
        <w:pStyle w:val="Heading1"/>
      </w:pPr>
      <w:r>
        <w:t>2. 실행 아키텍처</w:t>
      </w:r>
    </w:p>
    <w:p>
      <w:r>
        <w:t>브라우저 정적 HTML/JavaScript → FastAPI HTTP → SQLAlchemy 관계형 모델 → SQLite 로컬 DB. 평가기는 참조 Python 시점 규칙 함수와 숫자 주장 검증기를 사용합니다. 2개 회사 가상 업무팩을 독립 테넌트로 로드합니다.</w:t>
      </w:r>
    </w:p>
    <w:p>
      <w:pPr>
        <w:pStyle w:val="ListBullet"/>
        <w:spacing w:after="60"/>
      </w:pPr>
      <w:r>
        <w:t>제품: AURORA_NONLIFE, HORIZON_LIFE의 **가상** 손보·생보 규정만 제공.</w:t>
      </w:r>
    </w:p>
    <w:p>
      <w:pPr>
        <w:pStyle w:val="ListBullet"/>
        <w:spacing w:after="60"/>
      </w:pPr>
      <w:r>
        <w:t>스냅샷: 가상 규정·평가자·테스트 데이터셋 SHA-256 값을 서버 계산값과 비교.</w:t>
      </w:r>
    </w:p>
    <w:p>
      <w:pPr>
        <w:pStyle w:val="ListBullet"/>
        <w:spacing w:after="60"/>
      </w:pPr>
      <w:r>
        <w:t>권한: Bearer 데모 토큰과 ANALYST/DOMAIN_REVIEWER/RELEASE_APPROVER/AUDITOR 역할.</w:t>
      </w:r>
    </w:p>
    <w:p>
      <w:pPr>
        <w:pStyle w:val="ListBullet"/>
        <w:spacing w:after="60"/>
      </w:pPr>
      <w:r>
        <w:t>상태: DRAFT→PENDING_DOMAIN_REVIEW→PENDING_RELEASE→APPROVED_FOR_DEMO 또는 REJECTED.</w:t>
      </w:r>
    </w:p>
    <w:p>
      <w:pPr>
        <w:pStyle w:val="ListBullet"/>
        <w:spacing w:after="60"/>
      </w:pPr>
      <w:r>
        <w:t>비구현: LLM 호출, OCR, RAG, 금융기관 SSO, PostgreSQL 통합/ RLS, 실제 배포 자동화.</w:t>
      </w:r>
    </w:p>
    <w:p>
      <w:pPr>
        <w:pStyle w:val="Heading1"/>
      </w:pPr>
      <w:r>
        <w:t>3. 실제 시연 시나리오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단계</w:t>
            </w:r>
          </w:p>
        </w:tc>
        <w:tc>
          <w:tcPr>
            <w:tcW w:type="dxa" w:w="3264"/>
            <w:vAlign w:val="center"/>
          </w:tcPr>
          <w:p>
            <w:r>
              <w:t>시나리오</w:t>
            </w:r>
          </w:p>
        </w:tc>
        <w:tc>
          <w:tcPr>
            <w:tcW w:type="dxa" w:w="3264"/>
            <w:vAlign w:val="center"/>
          </w:tcPr>
          <w:p>
            <w:r>
              <w:t>예상 상태</w:t>
            </w:r>
          </w:p>
        </w:tc>
      </w:tr>
      <w:tr>
        <w:tc>
          <w:tcPr>
            <w:tcW w:type="dxa" w:w="3264"/>
            <w:vAlign w:val="center"/>
          </w:tcPr>
          <w:p>
            <w:r>
              <w:t>1</w:t>
            </w:r>
          </w:p>
        </w:tc>
        <w:tc>
          <w:tcPr>
            <w:tcW w:type="dxa" w:w="3264"/>
            <w:vAlign w:val="center"/>
          </w:tcPr>
          <w:p>
            <w:r>
              <w:t>합성 변경 생성</w:t>
            </w:r>
          </w:p>
        </w:tc>
        <w:tc>
          <w:tcPr>
            <w:tcW w:type="dxa" w:w="3264"/>
            <w:vAlign w:val="center"/>
          </w:tcPr>
          <w:p>
            <w:r>
              <w:t>DRAFT</w:t>
            </w:r>
          </w:p>
        </w:tc>
      </w:tr>
      <w:tr>
        <w:tc>
          <w:tcPr>
            <w:tcW w:type="dxa" w:w="3264"/>
            <w:vAlign w:val="center"/>
          </w:tcPr>
          <w:p>
            <w:r>
              <w:t>2</w:t>
            </w:r>
          </w:p>
        </w:tc>
        <w:tc>
          <w:tcPr>
            <w:tcW w:type="dxa" w:w="3264"/>
            <w:vAlign w:val="center"/>
          </w:tcPr>
          <w:p>
            <w:r>
              <w:t>2026-06-30 / 30일 검증</w:t>
            </w:r>
          </w:p>
        </w:tc>
        <w:tc>
          <w:tcPr>
            <w:tcW w:type="dxa" w:w="3264"/>
            <w:vAlign w:val="center"/>
          </w:tcPr>
          <w:p>
            <w:r>
              <w:t>PASS · H1</w:t>
            </w:r>
          </w:p>
        </w:tc>
      </w:tr>
      <w:tr>
        <w:tc>
          <w:tcPr>
            <w:tcW w:type="dxa" w:w="3264"/>
            <w:vAlign w:val="center"/>
          </w:tcPr>
          <w:p>
            <w:r>
              <w:t>3</w:t>
            </w:r>
          </w:p>
        </w:tc>
        <w:tc>
          <w:tcPr>
            <w:tcW w:type="dxa" w:w="3264"/>
            <w:vAlign w:val="center"/>
          </w:tcPr>
          <w:p>
            <w:r>
              <w:t>2026-07-01 / 20일 검증</w:t>
            </w:r>
          </w:p>
        </w:tc>
        <w:tc>
          <w:tcPr>
            <w:tcW w:type="dxa" w:w="3264"/>
            <w:vAlign w:val="center"/>
          </w:tcPr>
          <w:p>
            <w:r>
              <w:t>PASS · H2</w:t>
            </w:r>
          </w:p>
        </w:tc>
      </w:tr>
      <w:tr>
        <w:tc>
          <w:tcPr>
            <w:tcW w:type="dxa" w:w="3264"/>
            <w:vAlign w:val="center"/>
          </w:tcPr>
          <w:p>
            <w:r>
              <w:t>4</w:t>
            </w:r>
          </w:p>
        </w:tc>
        <w:tc>
          <w:tcPr>
            <w:tcW w:type="dxa" w:w="3264"/>
            <w:vAlign w:val="center"/>
          </w:tcPr>
          <w:p>
            <w:r>
              <w:t>요청자가 현업 검토 제출</w:t>
            </w:r>
          </w:p>
        </w:tc>
        <w:tc>
          <w:tcPr>
            <w:tcW w:type="dxa" w:w="3264"/>
            <w:vAlign w:val="center"/>
          </w:tcPr>
          <w:p>
            <w:r>
              <w:t>PENDING_DOMAIN_REVIEW</w:t>
            </w:r>
          </w:p>
        </w:tc>
      </w:tr>
      <w:tr>
        <w:tc>
          <w:tcPr>
            <w:tcW w:type="dxa" w:w="3264"/>
            <w:vAlign w:val="center"/>
          </w:tcPr>
          <w:p>
            <w:r>
              <w:t>5</w:t>
            </w:r>
          </w:p>
        </w:tc>
        <w:tc>
          <w:tcPr>
            <w:tcW w:type="dxa" w:w="3264"/>
            <w:vAlign w:val="center"/>
          </w:tcPr>
          <w:p>
            <w:r>
              <w:t>현업 검토자가 자기 승인 금지 규칙 통과</w:t>
            </w:r>
          </w:p>
        </w:tc>
        <w:tc>
          <w:tcPr>
            <w:tcW w:type="dxa" w:w="3264"/>
            <w:vAlign w:val="center"/>
          </w:tcPr>
          <w:p>
            <w:r>
              <w:t>PENDING_RELEASE</w:t>
            </w:r>
          </w:p>
        </w:tc>
      </w:tr>
      <w:tr>
        <w:tc>
          <w:tcPr>
            <w:tcW w:type="dxa" w:w="3264"/>
            <w:vAlign w:val="center"/>
          </w:tcPr>
          <w:p>
            <w:r>
              <w:t>6</w:t>
            </w:r>
          </w:p>
        </w:tc>
        <w:tc>
          <w:tcPr>
            <w:tcW w:type="dxa" w:w="3264"/>
            <w:vAlign w:val="center"/>
          </w:tcPr>
          <w:p>
            <w:r>
              <w:t>분리된 릴리스 승인자 확인</w:t>
            </w:r>
          </w:p>
        </w:tc>
        <w:tc>
          <w:tcPr>
            <w:tcW w:type="dxa" w:w="3264"/>
            <w:vAlign w:val="center"/>
          </w:tcPr>
          <w:p>
            <w:r>
              <w:t>APPROVED_FOR_DEMO</w:t>
            </w:r>
          </w:p>
        </w:tc>
      </w:tr>
      <w:tr>
        <w:tc>
          <w:tcPr>
            <w:tcW w:type="dxa" w:w="3264"/>
            <w:vAlign w:val="center"/>
          </w:tcPr>
          <w:p>
            <w:r>
              <w:t>7</w:t>
            </w:r>
          </w:p>
        </w:tc>
        <w:tc>
          <w:tcPr>
            <w:tcW w:type="dxa" w:w="3264"/>
            <w:vAlign w:val="center"/>
          </w:tcPr>
          <w:p>
            <w:r>
              <w:t>감사자 근거 확인</w:t>
            </w:r>
          </w:p>
        </w:tc>
        <w:tc>
          <w:tcPr>
            <w:tcW w:type="dxa" w:w="3264"/>
            <w:vAlign w:val="center"/>
          </w:tcPr>
          <w:p>
            <w:r>
              <w:t>manifest·감사 이벤트 검증</w:t>
            </w:r>
          </w:p>
        </w:tc>
      </w:tr>
    </w:tbl>
    <w:p/>
    <w:p>
      <w:r>
        <w:br w:type="page"/>
      </w:r>
    </w:p>
    <w:p>
      <w:pPr>
        <w:pStyle w:val="Heading1"/>
      </w:pPr>
      <w:r>
        <w:t>4. 핵심 불변식 — 어떤 상황에서 실패해야 하는가</w:t>
      </w:r>
    </w:p>
    <w:p>
      <w:pPr>
        <w:pStyle w:val="ListBullet"/>
        <w:spacing w:after="60"/>
      </w:pPr>
      <w:r>
        <w:t>자신의 테넌트 외 객체 ID로 접근 시 항상 404. 관계형 데이터 복합 FK도 타사 데이터 참조를 거부.</w:t>
      </w:r>
    </w:p>
    <w:p>
      <w:pPr>
        <w:pStyle w:val="ListBullet"/>
        <w:spacing w:after="60"/>
      </w:pPr>
      <w:r>
        <w:t>클라이언트가 원본 규정·테스트·평가자 해시를 임의 조합하여 제출하면 409.</w:t>
      </w:r>
    </w:p>
    <w:p>
      <w:pPr>
        <w:pStyle w:val="ListBullet"/>
        <w:spacing w:after="60"/>
      </w:pPr>
      <w:r>
        <w:t>변경 상태의 CAS revision이 오래되었으면 409, 기존 데이터와 원본 평가 로그는 보존.</w:t>
      </w:r>
    </w:p>
    <w:p>
      <w:pPr>
        <w:pStyle w:val="ListBullet"/>
        <w:spacing w:after="60"/>
      </w:pPr>
      <w:r>
        <w:t>멱등키를 같은 입력에 재사용하면 기존 결과 반환, 서로 다른 입력은 409.</w:t>
      </w:r>
    </w:p>
    <w:p>
      <w:pPr>
        <w:pStyle w:val="ListBullet"/>
        <w:spacing w:after="60"/>
      </w:pPr>
      <w:r>
        <w:t>검증 결과가 BLOCK·INCONCLUSIVE이면 검토 제출 차단. 서로 다른 규정 버전 PASS 2건 필요.</w:t>
      </w:r>
    </w:p>
    <w:p>
      <w:pPr>
        <w:pStyle w:val="ListBullet"/>
        <w:spacing w:after="60"/>
      </w:pPr>
      <w:r>
        <w:t>요청자, 현업 검토자, 최종 승인자는 서로 다른 사용자여야 함.</w:t>
      </w:r>
    </w:p>
    <w:p>
      <w:pPr>
        <w:pStyle w:val="ListBullet"/>
        <w:spacing w:after="60"/>
      </w:pPr>
      <w:r>
        <w:t>감사 체인뿐 아니라 실제 DB의 평가 JSON·원본 요청·승인 사유도 감사 이벤트 해시와 교차 검증.</w:t>
      </w:r>
    </w:p>
    <w:p>
      <w:pPr>
        <w:pStyle w:val="ListBullet"/>
        <w:spacing w:after="60"/>
      </w:pPr>
      <w:r>
        <w:t>현재 DB 밖의 불변 증거가 없으므로 관리자 수준의 전체 재작성 공격을 차단했다고 주장하지 않음.</w:t>
      </w:r>
    </w:p>
    <w:p>
      <w:pPr>
        <w:pStyle w:val="Heading1"/>
      </w:pPr>
      <w:r>
        <w:t>5. 테넌트 격리 및 규정 판단</w:t>
      </w:r>
    </w:p>
    <w:p>
      <w:r>
        <w:t>모든 조회와 쓰기는 로그인 계정의 tenant ID를 사용하며, Change·Evaluation·DecisionNote는 tenant + reference 복합 FK로 데이터 경계를 강제합니다. 서로 다른 상품 규정은 공통 evaluator를 이용하지만 실제 보험사 상품 문서에 적용하려면 계약일·특약일·사고일·청구일을 더 상세하게 분리해야 합니다.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판정</w:t>
            </w:r>
          </w:p>
        </w:tc>
        <w:tc>
          <w:tcPr>
            <w:tcW w:type="dxa" w:w="3264"/>
            <w:vAlign w:val="center"/>
          </w:tcPr>
          <w:p>
            <w:r>
              <w:t>합성 예시</w:t>
            </w:r>
          </w:p>
        </w:tc>
        <w:tc>
          <w:tcPr>
            <w:tcW w:type="dxa" w:w="3264"/>
            <w:vAlign w:val="center"/>
          </w:tcPr>
          <w:p>
            <w:r>
              <w:t>실무 처리</w:t>
            </w:r>
          </w:p>
        </w:tc>
      </w:tr>
      <w:tr>
        <w:tc>
          <w:tcPr>
            <w:tcW w:type="dxa" w:w="3264"/>
            <w:vAlign w:val="center"/>
          </w:tcPr>
          <w:p>
            <w:r>
              <w:t>PASS</w:t>
            </w:r>
          </w:p>
        </w:tc>
        <w:tc>
          <w:tcPr>
            <w:tcW w:type="dxa" w:w="3264"/>
            <w:vAlign w:val="center"/>
          </w:tcPr>
          <w:p>
            <w:r>
              <w:t>가상 적용 규정과 30일 일치</w:t>
            </w:r>
          </w:p>
        </w:tc>
        <w:tc>
          <w:tcPr>
            <w:tcW w:type="dxa" w:w="3264"/>
            <w:vAlign w:val="center"/>
          </w:tcPr>
          <w:p>
            <w:r>
              <w:t>추가 시험/승인 필요</w:t>
            </w:r>
          </w:p>
        </w:tc>
      </w:tr>
      <w:tr>
        <w:tc>
          <w:tcPr>
            <w:tcW w:type="dxa" w:w="3264"/>
            <w:vAlign w:val="center"/>
          </w:tcPr>
          <w:p>
            <w:r>
              <w:t>BLOCK</w:t>
            </w:r>
          </w:p>
        </w:tc>
        <w:tc>
          <w:tcPr>
            <w:tcW w:type="dxa" w:w="3264"/>
            <w:vAlign w:val="center"/>
          </w:tcPr>
          <w:p>
            <w:r>
              <w:t>20일이 정답인데 30일 안내</w:t>
            </w:r>
          </w:p>
        </w:tc>
        <w:tc>
          <w:tcPr>
            <w:tcW w:type="dxa" w:w="3264"/>
            <w:vAlign w:val="center"/>
          </w:tcPr>
          <w:p>
            <w:r>
              <w:t>업무 노출 차단</w:t>
            </w:r>
          </w:p>
        </w:tc>
      </w:tr>
      <w:tr>
        <w:tc>
          <w:tcPr>
            <w:tcW w:type="dxa" w:w="3264"/>
            <w:vAlign w:val="center"/>
          </w:tcPr>
          <w:p>
            <w:r>
              <w:t>INCONCLUSIVE</w:t>
            </w:r>
          </w:p>
        </w:tc>
        <w:tc>
          <w:tcPr>
            <w:tcW w:type="dxa" w:w="3264"/>
            <w:vAlign w:val="center"/>
          </w:tcPr>
          <w:p>
            <w:r>
              <w:t>규정 충돌, 미승인 출처, 미등록 특약</w:t>
            </w:r>
          </w:p>
        </w:tc>
        <w:tc>
          <w:tcPr>
            <w:tcW w:type="dxa" w:w="3264"/>
            <w:vAlign w:val="center"/>
          </w:tcPr>
          <w:p>
            <w:r>
              <w:t>담당자 확인 필요</w:t>
            </w:r>
          </w:p>
        </w:tc>
      </w:tr>
    </w:tbl>
    <w:p/>
    <w:p>
      <w:pPr>
        <w:pStyle w:val="Heading1"/>
      </w:pPr>
      <w:r>
        <w:t>6. 감사 증거의 새로운 교차 검증</w:t>
      </w:r>
    </w:p>
    <w:p>
      <w:r>
        <w:t>v4의 단순 해시 체인만으로는 Evaluation 원문이 수정돼도 로그는 정상으로 보일 수 있었습니다. v5.1에서는 평가 이벤트에 요청/결과 SHA-256을 기록하고, DB 원본과 대조하는 record_integrity 검사로 보완했습니다.</w:t>
      </w:r>
    </w:p>
    <w:p>
      <w:r>
        <w:t>검사 대상: 변경 최초 스냅샷, 평가별 입력/결과/판정/행위자, 승인 DecisionNote 원문 및 담당자, 이벤트 해시 체인. 한 가지라도 어긋나면 검토·최종 승인 시 409로 실패하며, 승인 후 변조는 evidence API에서 불일치로 표시합니다.</w:t>
      </w:r>
    </w:p>
    <w:p>
      <w:r>
        <w:br w:type="page"/>
      </w:r>
    </w:p>
    <w:p>
      <w:pPr>
        <w:pStyle w:val="Heading1"/>
      </w:pPr>
      <w:r>
        <w:t>7. 보안 위험·통제·남은 격차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위협</w:t>
            </w:r>
          </w:p>
        </w:tc>
        <w:tc>
          <w:tcPr>
            <w:tcW w:type="dxa" w:w="3264"/>
            <w:vAlign w:val="center"/>
          </w:tcPr>
          <w:p>
            <w:r>
              <w:t>현재 통제</w:t>
            </w:r>
          </w:p>
        </w:tc>
        <w:tc>
          <w:tcPr>
            <w:tcW w:type="dxa" w:w="3264"/>
            <w:vAlign w:val="center"/>
          </w:tcPr>
          <w:p>
            <w:r>
              <w:t>실무 전 보강</w:t>
            </w:r>
          </w:p>
        </w:tc>
      </w:tr>
      <w:tr>
        <w:tc>
          <w:tcPr>
            <w:tcW w:type="dxa" w:w="3264"/>
            <w:vAlign w:val="center"/>
          </w:tcPr>
          <w:p>
            <w:r>
              <w:t>타사 데이터 열람</w:t>
            </w:r>
          </w:p>
        </w:tc>
        <w:tc>
          <w:tcPr>
            <w:tcW w:type="dxa" w:w="3264"/>
            <w:vAlign w:val="center"/>
          </w:tcPr>
          <w:p>
            <w:r>
              <w:t>Tenant scope + FK + 404</w:t>
            </w:r>
          </w:p>
        </w:tc>
        <w:tc>
          <w:tcPr>
            <w:tcW w:type="dxa" w:w="3264"/>
            <w:vAlign w:val="center"/>
          </w:tcPr>
          <w:p>
            <w:r>
              <w:t>PostgreSQL RLS, 계정분리</w:t>
            </w:r>
          </w:p>
        </w:tc>
      </w:tr>
      <w:tr>
        <w:tc>
          <w:tcPr>
            <w:tcW w:type="dxa" w:w="3264"/>
            <w:vAlign w:val="center"/>
          </w:tcPr>
          <w:p>
            <w:r>
              <w:t>권한/자기 승인</w:t>
            </w:r>
          </w:p>
        </w:tc>
        <w:tc>
          <w:tcPr>
            <w:tcW w:type="dxa" w:w="3264"/>
            <w:vAlign w:val="center"/>
          </w:tcPr>
          <w:p>
            <w:r>
              <w:t>역할·SoD ·부정 경로 테스트</w:t>
            </w:r>
          </w:p>
        </w:tc>
        <w:tc>
          <w:tcPr>
            <w:tcW w:type="dxa" w:w="3264"/>
            <w:vAlign w:val="center"/>
          </w:tcPr>
          <w:p>
            <w:r>
              <w:t>SSO/MFA, 인사 권한 연동</w:t>
            </w:r>
          </w:p>
        </w:tc>
      </w:tr>
      <w:tr>
        <w:tc>
          <w:tcPr>
            <w:tcW w:type="dxa" w:w="3264"/>
            <w:vAlign w:val="center"/>
          </w:tcPr>
          <w:p>
            <w:r>
              <w:t>평가 결과 조작</w:t>
            </w:r>
          </w:p>
        </w:tc>
        <w:tc>
          <w:tcPr>
            <w:tcW w:type="dxa" w:w="3264"/>
            <w:vAlign w:val="center"/>
          </w:tcPr>
          <w:p>
            <w:r>
              <w:t>DB↔audit 해시 비교</w:t>
            </w:r>
          </w:p>
        </w:tc>
        <w:tc>
          <w:tcPr>
            <w:tcW w:type="dxa" w:w="3264"/>
            <w:vAlign w:val="center"/>
          </w:tcPr>
          <w:p>
            <w:r>
              <w:t>외부 WORM 앵커·서명</w:t>
            </w:r>
          </w:p>
        </w:tc>
      </w:tr>
      <w:tr>
        <w:tc>
          <w:tcPr>
            <w:tcW w:type="dxa" w:w="3264"/>
            <w:vAlign w:val="center"/>
          </w:tcPr>
          <w:p>
            <w:r>
              <w:t>감사 로그 자체 수정</w:t>
            </w:r>
          </w:p>
        </w:tc>
        <w:tc>
          <w:tcPr>
            <w:tcW w:type="dxa" w:w="3264"/>
            <w:vAlign w:val="center"/>
          </w:tcPr>
          <w:p>
            <w:r>
              <w:t>연결형 SHA-256 체인</w:t>
            </w:r>
          </w:p>
        </w:tc>
        <w:tc>
          <w:tcPr>
            <w:tcW w:type="dxa" w:w="3264"/>
            <w:vAlign w:val="center"/>
          </w:tcPr>
          <w:p>
            <w:r>
              <w:t>외부 타임스탬프/키관리</w:t>
            </w:r>
          </w:p>
        </w:tc>
      </w:tr>
      <w:tr>
        <w:tc>
          <w:tcPr>
            <w:tcW w:type="dxa" w:w="3264"/>
            <w:vAlign w:val="center"/>
          </w:tcPr>
          <w:p>
            <w:r>
              <w:t>동시 수정</w:t>
            </w:r>
          </w:p>
        </w:tc>
        <w:tc>
          <w:tcPr>
            <w:tcW w:type="dxa" w:w="3264"/>
            <w:vAlign w:val="center"/>
          </w:tcPr>
          <w:p>
            <w:r>
              <w:t>revision CAS</w:t>
            </w:r>
          </w:p>
        </w:tc>
        <w:tc>
          <w:tcPr>
            <w:tcW w:type="dxa" w:w="3264"/>
            <w:vAlign w:val="center"/>
          </w:tcPr>
          <w:p>
            <w:r>
              <w:t>PG 다중 worker 경쟁 시험</w:t>
            </w:r>
          </w:p>
        </w:tc>
      </w:tr>
      <w:tr>
        <w:tc>
          <w:tcPr>
            <w:tcW w:type="dxa" w:w="3264"/>
            <w:vAlign w:val="center"/>
          </w:tcPr>
          <w:p>
            <w:r>
              <w:t>LLM 공격</w:t>
            </w:r>
          </w:p>
        </w:tc>
        <w:tc>
          <w:tcPr>
            <w:tcW w:type="dxa" w:w="3264"/>
            <w:vAlign w:val="center"/>
          </w:tcPr>
          <w:p>
            <w:r>
              <w:t>현재 LLM 미연결</w:t>
            </w:r>
          </w:p>
        </w:tc>
        <w:tc>
          <w:tcPr>
            <w:tcW w:type="dxa" w:w="3264"/>
            <w:vAlign w:val="center"/>
          </w:tcPr>
          <w:p>
            <w:r>
              <w:t>RAG prompt injection/PII red-team</w:t>
            </w:r>
          </w:p>
        </w:tc>
      </w:tr>
      <w:tr>
        <w:tc>
          <w:tcPr>
            <w:tcW w:type="dxa" w:w="3264"/>
            <w:vAlign w:val="center"/>
          </w:tcPr>
          <w:p>
            <w:r>
              <w:t>과도한 API 호출</w:t>
            </w:r>
          </w:p>
        </w:tc>
        <w:tc>
          <w:tcPr>
            <w:tcW w:type="dxa" w:w="3264"/>
            <w:vAlign w:val="center"/>
          </w:tcPr>
          <w:p>
            <w:r>
              <w:t>현재 미통제</w:t>
            </w:r>
          </w:p>
        </w:tc>
        <w:tc>
          <w:tcPr>
            <w:tcW w:type="dxa" w:w="3264"/>
            <w:vAlign w:val="center"/>
          </w:tcPr>
          <w:p>
            <w:r>
              <w:t>rate-limit 및 응답 제한</w:t>
            </w:r>
          </w:p>
        </w:tc>
      </w:tr>
      <w:tr>
        <w:tc>
          <w:tcPr>
            <w:tcW w:type="dxa" w:w="3264"/>
            <w:vAlign w:val="center"/>
          </w:tcPr>
          <w:p>
            <w:r>
              <w:t>장애 후 재처리</w:t>
            </w:r>
          </w:p>
        </w:tc>
        <w:tc>
          <w:tcPr>
            <w:tcW w:type="dxa" w:w="3264"/>
            <w:vAlign w:val="center"/>
          </w:tcPr>
          <w:p>
            <w:r>
              <w:t>조회로 상태 확인 가능</w:t>
            </w:r>
          </w:p>
        </w:tc>
        <w:tc>
          <w:tcPr>
            <w:tcW w:type="dxa" w:w="3264"/>
            <w:vAlign w:val="center"/>
          </w:tcPr>
          <w:p>
            <w:r>
              <w:t>승인 멱등성·복구/재검토</w:t>
            </w:r>
          </w:p>
        </w:tc>
      </w:tr>
    </w:tbl>
    <w:p/>
    <w:p>
      <w:r>
        <w:t>보안 참고 기준: OWASP API Security Top 10 2023, OWASP LLM Top 10. 이 패키지는 보안 인증이나 규정 준수 검증 완료를 주장하지 않습니다.</w:t>
      </w:r>
    </w:p>
    <w:p>
      <w:pPr>
        <w:pStyle w:val="Heading1"/>
      </w:pPr>
      <w:r>
        <w:t>8. 실제 자동 검증 결과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계층</w:t>
            </w:r>
          </w:p>
        </w:tc>
        <w:tc>
          <w:tcPr>
            <w:tcW w:type="dxa" w:w="3264"/>
            <w:vAlign w:val="center"/>
          </w:tcPr>
          <w:p>
            <w:r>
              <w:t>결과</w:t>
            </w:r>
          </w:p>
        </w:tc>
        <w:tc>
          <w:tcPr>
            <w:tcW w:type="dxa" w:w="3264"/>
            <w:vAlign w:val="center"/>
          </w:tcPr>
          <w:p>
            <w:r>
              <w:t>해석</w:t>
            </w:r>
          </w:p>
        </w:tc>
      </w:tr>
      <w:tr>
        <w:tc>
          <w:tcPr>
            <w:tcW w:type="dxa" w:w="3264"/>
            <w:vAlign w:val="center"/>
          </w:tcPr>
          <w:p>
            <w:r>
              <w:t>참조·통합 pytest</w:t>
            </w:r>
          </w:p>
        </w:tc>
        <w:tc>
          <w:tcPr>
            <w:tcW w:type="dxa" w:w="3264"/>
            <w:vAlign w:val="center"/>
          </w:tcPr>
          <w:p>
            <w:r>
              <w:t>90 passed, 22 subtests passed</w:t>
            </w:r>
          </w:p>
        </w:tc>
        <w:tc>
          <w:tcPr>
            <w:tcW w:type="dxa" w:w="3264"/>
            <w:vAlign w:val="center"/>
          </w:tcPr>
          <w:p>
            <w:r>
              <w:t>로컬 합성 데이터 동작</w:t>
            </w:r>
          </w:p>
        </w:tc>
      </w:tr>
      <w:tr>
        <w:tc>
          <w:tcPr>
            <w:tcW w:type="dxa" w:w="3264"/>
            <w:vAlign w:val="center"/>
          </w:tcPr>
          <w:p>
            <w:r>
              <w:t>HTTP TestClient E2E smoke</w:t>
            </w:r>
          </w:p>
        </w:tc>
        <w:tc>
          <w:tcPr>
            <w:tcW w:type="dxa" w:w="3264"/>
            <w:vAlign w:val="center"/>
          </w:tcPr>
          <w:p>
            <w:r>
              <w:t>12/12 checks passed</w:t>
            </w:r>
          </w:p>
        </w:tc>
        <w:tc>
          <w:tcPr>
            <w:tcW w:type="dxa" w:w="3264"/>
            <w:vAlign w:val="center"/>
          </w:tcPr>
          <w:p>
            <w:r>
              <w:t>서버 처리·DB 트랜잭션 통과</w:t>
            </w:r>
          </w:p>
        </w:tc>
      </w:tr>
      <w:tr>
        <w:tc>
          <w:tcPr>
            <w:tcW w:type="dxa" w:w="3264"/>
            <w:vAlign w:val="center"/>
          </w:tcPr>
          <w:p>
            <w:r>
              <w:t>합성 규정 테스트셋</w:t>
            </w:r>
          </w:p>
        </w:tc>
        <w:tc>
          <w:tcPr>
            <w:tcW w:type="dxa" w:w="3264"/>
            <w:vAlign w:val="center"/>
          </w:tcPr>
          <w:p>
            <w:r>
              <w:t>20/20 통과</w:t>
            </w:r>
          </w:p>
        </w:tc>
        <w:tc>
          <w:tcPr>
            <w:tcW w:type="dxa" w:w="3264"/>
            <w:vAlign w:val="center"/>
          </w:tcPr>
          <w:p>
            <w:r>
              <w:t>사전에 작성한 가상 정답과 일치</w:t>
            </w:r>
          </w:p>
        </w:tc>
      </w:tr>
      <w:tr>
        <w:tc>
          <w:tcPr>
            <w:tcW w:type="dxa" w:w="3264"/>
            <w:vAlign w:val="center"/>
          </w:tcPr>
          <w:p>
            <w:r>
              <w:t>실제 브라우저 조작</w:t>
            </w:r>
          </w:p>
        </w:tc>
        <w:tc>
          <w:tcPr>
            <w:tcW w:type="dxa" w:w="3264"/>
            <w:vAlign w:val="center"/>
          </w:tcPr>
          <w:p>
            <w:r>
              <w:t>검증 미완료</w:t>
            </w:r>
          </w:p>
        </w:tc>
        <w:tc>
          <w:tcPr>
            <w:tcW w:type="dxa" w:w="3264"/>
            <w:vAlign w:val="center"/>
          </w:tcPr>
          <w:p>
            <w:r>
              <w:t>실행 환경의 로컬 접속 정책에 의해 차단</w:t>
            </w:r>
          </w:p>
        </w:tc>
      </w:tr>
      <w:tr>
        <w:tc>
          <w:tcPr>
            <w:tcW w:type="dxa" w:w="3264"/>
            <w:vAlign w:val="center"/>
          </w:tcPr>
          <w:p>
            <w:r>
              <w:t>실보험 전문 검수 / 타 도구 비교</w:t>
            </w:r>
          </w:p>
        </w:tc>
        <w:tc>
          <w:tcPr>
            <w:tcW w:type="dxa" w:w="3264"/>
            <w:vAlign w:val="center"/>
          </w:tcPr>
          <w:p>
            <w:r>
              <w:t>미진행</w:t>
            </w:r>
          </w:p>
        </w:tc>
        <w:tc>
          <w:tcPr>
            <w:tcW w:type="dxa" w:w="3264"/>
            <w:vAlign w:val="center"/>
          </w:tcPr>
          <w:p>
            <w:r>
              <w:t>우월성·법규 준수는 검증되지 않음</w:t>
            </w:r>
          </w:p>
        </w:tc>
      </w:tr>
    </w:tbl>
    <w:p/>
    <w:p>
      <w:r>
        <w:t>로그: reports/pytest_log.txt, reports/integration_smoke.json. API·DB 테스트와 브라우저 E2E는 같은 것이 아닙니다.</w:t>
      </w:r>
    </w:p>
    <w:p>
      <w:r>
        <w:br w:type="page"/>
      </w:r>
    </w:p>
    <w:p>
      <w:pPr>
        <w:pStyle w:val="Heading1"/>
      </w:pPr>
      <w:r>
        <w:t>9. 105점 자체 평가 (증거 기반)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r>
              <w:t>항목</w:t>
            </w:r>
          </w:p>
        </w:tc>
        <w:tc>
          <w:tcPr>
            <w:tcW w:type="dxa" w:w="2448"/>
            <w:vAlign w:val="center"/>
          </w:tcPr>
          <w:p>
            <w:r>
              <w:t>배점</w:t>
            </w:r>
          </w:p>
        </w:tc>
        <w:tc>
          <w:tcPr>
            <w:tcW w:type="dxa" w:w="2448"/>
            <w:vAlign w:val="center"/>
          </w:tcPr>
          <w:p>
            <w:r>
              <w:t>v4</w:t>
            </w:r>
          </w:p>
        </w:tc>
        <w:tc>
          <w:tcPr>
            <w:tcW w:type="dxa" w:w="2448"/>
            <w:vAlign w:val="center"/>
          </w:tcPr>
          <w:p>
            <w:r>
              <w:t>v5.1</w:t>
            </w:r>
          </w:p>
        </w:tc>
      </w:tr>
      <w:tr>
        <w:tc>
          <w:tcPr>
            <w:tcW w:type="dxa" w:w="2448"/>
            <w:vAlign w:val="center"/>
          </w:tcPr>
          <w:p>
            <w:r>
              <w:t>보험 업무·규정 정확성</w:t>
            </w:r>
          </w:p>
        </w:tc>
        <w:tc>
          <w:tcPr>
            <w:tcW w:type="dxa" w:w="2448"/>
            <w:vAlign w:val="center"/>
          </w:tcPr>
          <w:p>
            <w:r>
              <w:t>16</w:t>
            </w:r>
          </w:p>
        </w:tc>
        <w:tc>
          <w:tcPr>
            <w:tcW w:type="dxa" w:w="2448"/>
            <w:vAlign w:val="center"/>
          </w:tcPr>
          <w:p>
            <w:r>
              <w:t>13</w:t>
            </w:r>
          </w:p>
        </w:tc>
        <w:tc>
          <w:tcPr>
            <w:tcW w:type="dxa" w:w="2448"/>
            <w:vAlign w:val="center"/>
          </w:tcPr>
          <w:p>
            <w:r>
              <w:t>13</w:t>
            </w:r>
          </w:p>
        </w:tc>
      </w:tr>
      <w:tr>
        <w:tc>
          <w:tcPr>
            <w:tcW w:type="dxa" w:w="2448"/>
            <w:vAlign w:val="center"/>
          </w:tcPr>
          <w:p>
            <w:r>
              <w:t>다보험사 업무팩</w:t>
            </w:r>
          </w:p>
        </w:tc>
        <w:tc>
          <w:tcPr>
            <w:tcW w:type="dxa" w:w="2448"/>
            <w:vAlign w:val="center"/>
          </w:tcPr>
          <w:p>
            <w:r>
              <w:t>12</w:t>
            </w:r>
          </w:p>
        </w:tc>
        <w:tc>
          <w:tcPr>
            <w:tcW w:type="dxa" w:w="2448"/>
            <w:vAlign w:val="center"/>
          </w:tcPr>
          <w:p>
            <w:r>
              <w:t>10</w:t>
            </w:r>
          </w:p>
        </w:tc>
        <w:tc>
          <w:tcPr>
            <w:tcW w:type="dxa" w:w="2448"/>
            <w:vAlign w:val="center"/>
          </w:tcPr>
          <w:p>
            <w:r>
              <w:t>11</w:t>
            </w:r>
          </w:p>
        </w:tc>
      </w:tr>
      <w:tr>
        <w:tc>
          <w:tcPr>
            <w:tcW w:type="dxa" w:w="2448"/>
            <w:vAlign w:val="center"/>
          </w:tcPr>
          <w:p>
            <w:r>
              <w:t>경쟁제품 차별성</w:t>
            </w:r>
          </w:p>
        </w:tc>
        <w:tc>
          <w:tcPr>
            <w:tcW w:type="dxa" w:w="2448"/>
            <w:vAlign w:val="center"/>
          </w:tcPr>
          <w:p>
            <w:r>
              <w:t>12</w:t>
            </w:r>
          </w:p>
        </w:tc>
        <w:tc>
          <w:tcPr>
            <w:tcW w:type="dxa" w:w="2448"/>
            <w:vAlign w:val="center"/>
          </w:tcPr>
          <w:p>
            <w:r>
              <w:t>9</w:t>
            </w:r>
          </w:p>
        </w:tc>
        <w:tc>
          <w:tcPr>
            <w:tcW w:type="dxa" w:w="2448"/>
            <w:vAlign w:val="center"/>
          </w:tcPr>
          <w:p>
            <w:r>
              <w:t>9</w:t>
            </w:r>
          </w:p>
        </w:tc>
      </w:tr>
      <w:tr>
        <w:tc>
          <w:tcPr>
            <w:tcW w:type="dxa" w:w="2448"/>
            <w:vAlign w:val="center"/>
          </w:tcPr>
          <w:p>
            <w:r>
              <w:t>코드/API/DB/UI</w:t>
            </w:r>
          </w:p>
        </w:tc>
        <w:tc>
          <w:tcPr>
            <w:tcW w:type="dxa" w:w="2448"/>
            <w:vAlign w:val="center"/>
          </w:tcPr>
          <w:p>
            <w:r>
              <w:t>15</w:t>
            </w:r>
          </w:p>
        </w:tc>
        <w:tc>
          <w:tcPr>
            <w:tcW w:type="dxa" w:w="2448"/>
            <w:vAlign w:val="center"/>
          </w:tcPr>
          <w:p>
            <w:r>
              <w:t>13</w:t>
            </w:r>
          </w:p>
        </w:tc>
        <w:tc>
          <w:tcPr>
            <w:tcW w:type="dxa" w:w="2448"/>
            <w:vAlign w:val="center"/>
          </w:tcPr>
          <w:p>
            <w:r>
              <w:t>14</w:t>
            </w:r>
          </w:p>
        </w:tc>
      </w:tr>
      <w:tr>
        <w:tc>
          <w:tcPr>
            <w:tcW w:type="dxa" w:w="2448"/>
            <w:vAlign w:val="center"/>
          </w:tcPr>
          <w:p>
            <w:r>
              <w:t>객관적 AI 검증</w:t>
            </w:r>
          </w:p>
        </w:tc>
        <w:tc>
          <w:tcPr>
            <w:tcW w:type="dxa" w:w="2448"/>
            <w:vAlign w:val="center"/>
          </w:tcPr>
          <w:p>
            <w:r>
              <w:t>15</w:t>
            </w:r>
          </w:p>
        </w:tc>
        <w:tc>
          <w:tcPr>
            <w:tcW w:type="dxa" w:w="2448"/>
            <w:vAlign w:val="center"/>
          </w:tcPr>
          <w:p>
            <w:r>
              <w:t>8</w:t>
            </w:r>
          </w:p>
        </w:tc>
        <w:tc>
          <w:tcPr>
            <w:tcW w:type="dxa" w:w="2448"/>
            <w:vAlign w:val="center"/>
          </w:tcPr>
          <w:p>
            <w:r>
              <w:t>8</w:t>
            </w:r>
          </w:p>
        </w:tc>
      </w:tr>
      <w:tr>
        <w:tc>
          <w:tcPr>
            <w:tcW w:type="dxa" w:w="2448"/>
            <w:vAlign w:val="center"/>
          </w:tcPr>
          <w:p>
            <w:r>
              <w:t>보안·위험 책임</w:t>
            </w:r>
          </w:p>
        </w:tc>
        <w:tc>
          <w:tcPr>
            <w:tcW w:type="dxa" w:w="2448"/>
            <w:vAlign w:val="center"/>
          </w:tcPr>
          <w:p>
            <w:r>
              <w:t>12</w:t>
            </w:r>
          </w:p>
        </w:tc>
        <w:tc>
          <w:tcPr>
            <w:tcW w:type="dxa" w:w="2448"/>
            <w:vAlign w:val="center"/>
          </w:tcPr>
          <w:p>
            <w:r>
              <w:t>10</w:t>
            </w:r>
          </w:p>
        </w:tc>
        <w:tc>
          <w:tcPr>
            <w:tcW w:type="dxa" w:w="2448"/>
            <w:vAlign w:val="center"/>
          </w:tcPr>
          <w:p>
            <w:r>
              <w:t>11</w:t>
            </w:r>
          </w:p>
        </w:tc>
      </w:tr>
      <w:tr>
        <w:tc>
          <w:tcPr>
            <w:tcW w:type="dxa" w:w="2448"/>
            <w:vAlign w:val="center"/>
          </w:tcPr>
          <w:p>
            <w:r>
              <w:t>업무 UX/복원력</w:t>
            </w:r>
          </w:p>
        </w:tc>
        <w:tc>
          <w:tcPr>
            <w:tcW w:type="dxa" w:w="2448"/>
            <w:vAlign w:val="center"/>
          </w:tcPr>
          <w:p>
            <w:r>
              <w:t>8</w:t>
            </w:r>
          </w:p>
        </w:tc>
        <w:tc>
          <w:tcPr>
            <w:tcW w:type="dxa" w:w="2448"/>
            <w:vAlign w:val="center"/>
          </w:tcPr>
          <w:p>
            <w:r>
              <w:t>6</w:t>
            </w:r>
          </w:p>
        </w:tc>
        <w:tc>
          <w:tcPr>
            <w:tcW w:type="dxa" w:w="2448"/>
            <w:vAlign w:val="center"/>
          </w:tcPr>
          <w:p>
            <w:r>
              <w:t>6</w:t>
            </w:r>
          </w:p>
        </w:tc>
      </w:tr>
      <w:tr>
        <w:tc>
          <w:tcPr>
            <w:tcW w:type="dxa" w:w="2448"/>
            <w:vAlign w:val="center"/>
          </w:tcPr>
          <w:p>
            <w:r>
              <w:t>1인 운영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4</w:t>
            </w:r>
          </w:p>
        </w:tc>
        <w:tc>
          <w:tcPr>
            <w:tcW w:type="dxa" w:w="2448"/>
            <w:vAlign w:val="center"/>
          </w:tcPr>
          <w:p>
            <w:r>
              <w:t>4</w:t>
            </w:r>
          </w:p>
        </w:tc>
      </w:tr>
      <w:tr>
        <w:tc>
          <w:tcPr>
            <w:tcW w:type="dxa" w:w="2448"/>
            <w:vAlign w:val="center"/>
          </w:tcPr>
          <w:p>
            <w:r>
              <w:t>취업 증거 전달력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3</w:t>
            </w:r>
          </w:p>
        </w:tc>
        <w:tc>
          <w:tcPr>
            <w:tcW w:type="dxa" w:w="2448"/>
            <w:vAlign w:val="center"/>
          </w:tcPr>
          <w:p>
            <w:r>
              <w:t>4</w:t>
            </w:r>
          </w:p>
        </w:tc>
      </w:tr>
      <w:tr>
        <w:tc>
          <w:tcPr>
            <w:tcW w:type="dxa" w:w="2448"/>
            <w:vAlign w:val="center"/>
          </w:tcPr>
          <w:p>
            <w:r>
              <w:t>기본 합계</w:t>
            </w:r>
          </w:p>
        </w:tc>
        <w:tc>
          <w:tcPr>
            <w:tcW w:type="dxa" w:w="2448"/>
            <w:vAlign w:val="center"/>
          </w:tcPr>
          <w:p>
            <w:r>
              <w:t>100</w:t>
            </w:r>
          </w:p>
        </w:tc>
        <w:tc>
          <w:tcPr>
            <w:tcW w:type="dxa" w:w="2448"/>
            <w:vAlign w:val="center"/>
          </w:tcPr>
          <w:p>
            <w:r>
              <w:t>76</w:t>
            </w:r>
          </w:p>
        </w:tc>
        <w:tc>
          <w:tcPr>
            <w:tcW w:type="dxa" w:w="2448"/>
            <w:vAlign w:val="center"/>
          </w:tcPr>
          <w:p>
            <w:r>
              <w:t>80</w:t>
            </w:r>
          </w:p>
        </w:tc>
      </w:tr>
      <w:tr>
        <w:tc>
          <w:tcPr>
            <w:tcW w:type="dxa" w:w="2448"/>
            <w:vAlign w:val="center"/>
          </w:tcPr>
          <w:p>
            <w:r>
              <w:t>초과점 (외부 검증)</w:t>
            </w:r>
          </w:p>
        </w:tc>
        <w:tc>
          <w:tcPr>
            <w:tcW w:type="dxa" w:w="2448"/>
            <w:vAlign w:val="center"/>
          </w:tcPr>
          <w:p>
            <w:r>
              <w:t>5</w:t>
            </w:r>
          </w:p>
        </w:tc>
        <w:tc>
          <w:tcPr>
            <w:tcW w:type="dxa" w:w="2448"/>
            <w:vAlign w:val="center"/>
          </w:tcPr>
          <w:p>
            <w:r>
              <w:t>0</w:t>
            </w:r>
          </w:p>
        </w:tc>
        <w:tc>
          <w:tcPr>
            <w:tcW w:type="dxa" w:w="2448"/>
            <w:vAlign w:val="center"/>
          </w:tcPr>
          <w:p>
            <w:r>
              <w:t>0</w:t>
            </w:r>
          </w:p>
        </w:tc>
      </w:tr>
      <w:tr>
        <w:tc>
          <w:tcPr>
            <w:tcW w:type="dxa" w:w="2448"/>
            <w:vAlign w:val="center"/>
          </w:tcPr>
          <w:p>
            <w:r>
              <w:t>최종 합계</w:t>
            </w:r>
          </w:p>
        </w:tc>
        <w:tc>
          <w:tcPr>
            <w:tcW w:type="dxa" w:w="2448"/>
            <w:vAlign w:val="center"/>
          </w:tcPr>
          <w:p>
            <w:r>
              <w:t>105</w:t>
            </w:r>
          </w:p>
        </w:tc>
        <w:tc>
          <w:tcPr>
            <w:tcW w:type="dxa" w:w="2448"/>
            <w:vAlign w:val="center"/>
          </w:tcPr>
          <w:p>
            <w:r>
              <w:t>76</w:t>
            </w:r>
          </w:p>
        </w:tc>
        <w:tc>
          <w:tcPr>
            <w:tcW w:type="dxa" w:w="2448"/>
            <w:vAlign w:val="center"/>
          </w:tcPr>
          <w:p>
            <w:r>
              <w:t>80</w:t>
            </w:r>
          </w:p>
        </w:tc>
      </w:tr>
    </w:tbl>
    <w:p/>
    <w:p>
      <w:r>
        <w:t>평가축은 공개 금융 AI 도입 동향·규제 및 경쟁제품 문서에서 도출했고, 배점과 단계 점수는 **자체 설계**입니다. 금융사 채용팀의 공식 점수가 아닙니다. 80점은 실제 구현 증거를 반영한 보수적 점검 점수입니다.</w:t>
      </w:r>
    </w:p>
    <w:p>
      <w:pPr>
        <w:pStyle w:val="Heading1"/>
      </w:pPr>
      <w:r>
        <w:t>10. 다음 개발 게이트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t>우선</w:t>
            </w:r>
          </w:p>
        </w:tc>
        <w:tc>
          <w:tcPr>
            <w:tcW w:type="dxa" w:w="3264"/>
            <w:vAlign w:val="center"/>
          </w:tcPr>
          <w:p>
            <w:r>
              <w:t>항목</w:t>
            </w:r>
          </w:p>
        </w:tc>
        <w:tc>
          <w:tcPr>
            <w:tcW w:type="dxa" w:w="3264"/>
            <w:vAlign w:val="center"/>
          </w:tcPr>
          <w:p>
            <w:r>
              <w:t>완료 정의</w:t>
            </w:r>
          </w:p>
        </w:tc>
      </w:tr>
      <w:tr>
        <w:tc>
          <w:tcPr>
            <w:tcW w:type="dxa" w:w="3264"/>
            <w:vAlign w:val="center"/>
          </w:tcPr>
          <w:p>
            <w:r>
              <w:t>P0</w:t>
            </w:r>
          </w:p>
        </w:tc>
        <w:tc>
          <w:tcPr>
            <w:tcW w:type="dxa" w:w="3264"/>
            <w:vAlign w:val="center"/>
          </w:tcPr>
          <w:p>
            <w:r>
              <w:t>PostgreSQL + Alembic + RLS</w:t>
            </w:r>
          </w:p>
        </w:tc>
        <w:tc>
          <w:tcPr>
            <w:tcW w:type="dxa" w:w="3264"/>
            <w:vAlign w:val="center"/>
          </w:tcPr>
          <w:p>
            <w:r>
              <w:t>두 tenant/다중 트랜잭션 격리 실제 PG 시험</w:t>
            </w:r>
          </w:p>
        </w:tc>
      </w:tr>
      <w:tr>
        <w:tc>
          <w:tcPr>
            <w:tcW w:type="dxa" w:w="3264"/>
            <w:vAlign w:val="center"/>
          </w:tcPr>
          <w:p>
            <w:r>
              <w:t>P0</w:t>
            </w:r>
          </w:p>
        </w:tc>
        <w:tc>
          <w:tcPr>
            <w:tcW w:type="dxa" w:w="3264"/>
            <w:vAlign w:val="center"/>
          </w:tcPr>
          <w:p>
            <w:r>
              <w:t>반려→시정→재검토·승인 멱등성</w:t>
            </w:r>
          </w:p>
        </w:tc>
        <w:tc>
          <w:tcPr>
            <w:tcW w:type="dxa" w:w="3264"/>
            <w:vAlign w:val="center"/>
          </w:tcPr>
          <w:p>
            <w:r>
              <w:t>변경 이력 원본 보존·반복 API 안전</w:t>
            </w:r>
          </w:p>
        </w:tc>
      </w:tr>
      <w:tr>
        <w:tc>
          <w:tcPr>
            <w:tcW w:type="dxa" w:w="3264"/>
            <w:vAlign w:val="center"/>
          </w:tcPr>
          <w:p>
            <w:r>
              <w:t>P0</w:t>
            </w:r>
          </w:p>
        </w:tc>
        <w:tc>
          <w:tcPr>
            <w:tcW w:type="dxa" w:w="3264"/>
            <w:vAlign w:val="center"/>
          </w:tcPr>
          <w:p>
            <w:r>
              <w:t>브라우저 UI 검증</w:t>
            </w:r>
          </w:p>
        </w:tc>
        <w:tc>
          <w:tcPr>
            <w:tcW w:type="dxa" w:w="3264"/>
            <w:vAlign w:val="center"/>
          </w:tcPr>
          <w:p>
            <w:r>
              <w:t>타인의 PC에서 실제 역할별 클릭 스크린샷/로그</w:t>
            </w:r>
          </w:p>
        </w:tc>
      </w:tr>
      <w:tr>
        <w:tc>
          <w:tcPr>
            <w:tcW w:type="dxa" w:w="3264"/>
            <w:vAlign w:val="center"/>
          </w:tcPr>
          <w:p>
            <w:r>
              <w:t>P1</w:t>
            </w:r>
          </w:p>
        </w:tc>
        <w:tc>
          <w:tcPr>
            <w:tcW w:type="dxa" w:w="3264"/>
            <w:vAlign w:val="center"/>
          </w:tcPr>
          <w:p>
            <w:r>
              <w:t>실제 AI 어댑터/RAG</w:t>
            </w:r>
          </w:p>
        </w:tc>
        <w:tc>
          <w:tcPr>
            <w:tcW w:type="dxa" w:w="3264"/>
            <w:vAlign w:val="center"/>
          </w:tcPr>
          <w:p>
            <w:r>
              <w:t>fake adapter→sandbox, 공격·출처 검증</w:t>
            </w:r>
          </w:p>
        </w:tc>
      </w:tr>
      <w:tr>
        <w:tc>
          <w:tcPr>
            <w:tcW w:type="dxa" w:w="3264"/>
            <w:vAlign w:val="center"/>
          </w:tcPr>
          <w:p>
            <w:r>
              <w:t>P1</w:t>
            </w:r>
          </w:p>
        </w:tc>
        <w:tc>
          <w:tcPr>
            <w:tcW w:type="dxa" w:w="3264"/>
            <w:vAlign w:val="center"/>
          </w:tcPr>
          <w:p>
            <w:r>
              <w:t>360건 블라인드 실험</w:t>
            </w:r>
          </w:p>
        </w:tc>
        <w:tc>
          <w:tcPr>
            <w:tcW w:type="dxa" w:w="3264"/>
            <w:vAlign w:val="center"/>
          </w:tcPr>
          <w:p>
            <w:r>
              <w:t>비교군 B0/B1/B2/T 공정 비교, CI·오탐·비용</w:t>
            </w:r>
          </w:p>
        </w:tc>
      </w:tr>
      <w:tr>
        <w:tc>
          <w:tcPr>
            <w:tcW w:type="dxa" w:w="3264"/>
            <w:vAlign w:val="center"/>
          </w:tcPr>
          <w:p>
            <w:r>
              <w:t>P1</w:t>
            </w:r>
          </w:p>
        </w:tc>
        <w:tc>
          <w:tcPr>
            <w:tcW w:type="dxa" w:w="3264"/>
            <w:vAlign w:val="center"/>
          </w:tcPr>
          <w:p>
            <w:r>
              <w:t>불변 감사 저장</w:t>
            </w:r>
          </w:p>
        </w:tc>
        <w:tc>
          <w:tcPr>
            <w:tcW w:type="dxa" w:w="3264"/>
            <w:vAlign w:val="center"/>
          </w:tcPr>
          <w:p>
            <w:r>
              <w:t>외부 앵커·서명 검증·복구 테스트</w:t>
            </w:r>
          </w:p>
        </w:tc>
      </w:tr>
      <w:tr>
        <w:tc>
          <w:tcPr>
            <w:tcW w:type="dxa" w:w="3264"/>
            <w:vAlign w:val="center"/>
          </w:tcPr>
          <w:p>
            <w:r>
              <w:t>P2</w:t>
            </w:r>
          </w:p>
        </w:tc>
        <w:tc>
          <w:tcPr>
            <w:tcW w:type="dxa" w:w="3264"/>
            <w:vAlign w:val="center"/>
          </w:tcPr>
          <w:p>
            <w:r>
              <w:t>실무 인터뷰/타인 재설치</w:t>
            </w:r>
          </w:p>
        </w:tc>
        <w:tc>
          <w:tcPr>
            <w:tcW w:type="dxa" w:w="3264"/>
            <w:vAlign w:val="center"/>
          </w:tcPr>
          <w:p>
            <w:r>
              <w:t>2인 피드백·제3자 재현 후 +5 평가</w:t>
            </w:r>
          </w:p>
        </w:tc>
      </w:tr>
    </w:tbl>
    <w:p/>
    <w:p>
      <w:r>
        <w:t>프로젝트의 최종 목표 105점은 공개 근거 + 작동하는 제품 + 외부 검증 모두를 요구합니다. 아직 25점이 미입증 상태입니다.</w:t>
      </w:r>
    </w:p>
    <w:p>
      <w:r>
        <w:br w:type="page"/>
      </w:r>
    </w:p>
    <w:p>
      <w:pPr>
        <w:pStyle w:val="Heading1"/>
      </w:pPr>
      <w:r>
        <w:t>부록 A. 재현 방법</w:t>
      </w:r>
    </w:p>
    <w:p>
      <w:pPr>
        <w:pStyle w:val="ListBullet"/>
      </w:pPr>
      <w:r>
        <w:rPr>
          <w:rFonts w:ascii="Consolas" w:hAnsi="Consolas"/>
          <w:sz w:val="18"/>
        </w:rPr>
        <w:t>py -3.11 -m venv .venv</w:t>
      </w:r>
    </w:p>
    <w:p>
      <w:pPr>
        <w:pStyle w:val="ListBullet"/>
      </w:pPr>
      <w:r>
        <w:rPr>
          <w:rFonts w:ascii="Consolas" w:hAnsi="Consolas"/>
          <w:sz w:val="18"/>
        </w:rPr>
        <w:t>.\.venv\Scripts\Activate.ps1</w:t>
      </w:r>
    </w:p>
    <w:p>
      <w:pPr>
        <w:pStyle w:val="ListBullet"/>
      </w:pPr>
      <w:r>
        <w:rPr>
          <w:rFonts w:ascii="Consolas" w:hAnsi="Consolas"/>
          <w:sz w:val="18"/>
        </w:rPr>
        <w:t>pip install -r requirements-dev.txt</w:t>
      </w:r>
    </w:p>
    <w:p>
      <w:pPr>
        <w:pStyle w:val="ListBullet"/>
      </w:pPr>
      <w:r>
        <w:rPr>
          <w:rFonts w:ascii="Consolas" w:hAnsi="Consolas"/>
          <w:sz w:val="18"/>
        </w:rPr>
        <w:t>$env:CASEPROOF_DEMO_MODE='1'</w:t>
      </w:r>
    </w:p>
    <w:p>
      <w:pPr>
        <w:pStyle w:val="ListBullet"/>
      </w:pPr>
      <w:r>
        <w:rPr>
          <w:rFonts w:ascii="Consolas" w:hAnsi="Consolas"/>
          <w:sz w:val="18"/>
        </w:rPr>
        <w:t>python -m service.cli init-demo</w:t>
      </w:r>
    </w:p>
    <w:p>
      <w:pPr>
        <w:pStyle w:val="ListBullet"/>
      </w:pPr>
      <w:r>
        <w:rPr>
          <w:rFonts w:ascii="Consolas" w:hAnsi="Consolas"/>
          <w:sz w:val="18"/>
        </w:rPr>
        <w:t>python -m uvicorn service.app:app --host 127.0.0.1 --port 8000 --workers 1</w:t>
      </w:r>
    </w:p>
    <w:p>
      <w:pPr>
        <w:pStyle w:val="ListBullet"/>
      </w:pPr>
      <w:r>
        <w:rPr>
          <w:rFonts w:ascii="Consolas" w:hAnsi="Consolas"/>
          <w:sz w:val="18"/>
        </w:rPr>
        <w:t>python -m pytest -q</w:t>
      </w:r>
    </w:p>
    <w:p>
      <w:pPr>
        <w:pStyle w:val="ListBullet"/>
      </w:pPr>
      <w:r>
        <w:rPr>
          <w:rFonts w:ascii="Consolas" w:hAnsi="Consolas"/>
          <w:sz w:val="18"/>
        </w:rPr>
        <w:t>python -m scripts.smoke</w:t>
      </w:r>
    </w:p>
    <w:p>
      <w:r>
        <w:t>브라우저 주소 http://127.0.0.1:8000/ — 토큰은 init-demo 출력에서 발급되며 패키지에 저장되지 않습니다. 실제 고객 개인정보를 입력하지 마세요.</w:t>
      </w:r>
    </w:p>
    <w:p>
      <w:pPr>
        <w:pStyle w:val="Heading1"/>
      </w:pPr>
      <w:r>
        <w:t>부록 B. 정본과 범위</w:t>
      </w:r>
    </w:p>
    <w:p>
      <w:r>
        <w:t>실행 정본: service/, reference/, datasets/, tests/ 및 docs/의 v5.1 명세. archive_v4는 배경/상위 설계 참고이며 런타임 구현이 아닙니다. 충돌하면 실제 작동을 먼저 확인하고 명세를 수정하세요.</w:t>
      </w:r>
    </w:p>
    <w:p>
      <w:r>
        <w:t>공개 보안 출처: https://api-security.owasp.org/editions/2023/en/0x11-t10/ ; https://genai.owasp.org/llm-top-10/</w:t>
      </w:r>
    </w:p>
    <w:p>
      <w:r>
        <w:t>제품 실제 배포·규제 적합성 검토 전에는 보안/법무/현업 전문가 평가가 필수입니다.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CaseProof Enterprise v5.1  |  2026-10-29  |  실제 보험업무·금융규제 인증 아님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CASEPROOF / ENTERPRISE · SYNTHETIC WORKING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2C39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E41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5557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C375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