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2" w:lineRule="exact"/>
      </w:pPr>
      <w:r>
        <w:rPr>
          <w:b/>
          <w:sz w:val="18"/>
        </w:rPr>
        <w:t>OPERATIONS BRIEF / 2026.09</w:t>
      </w:r>
    </w:p>
    <w:p>
      <w:pPr>
        <w:pStyle w:val="Title"/>
      </w:pPr>
      <w:r>
        <w:t>고객 문의에서 결제까지</w:t>
        <w:br/>
        <w:t>상담 전환 개선안</w:t>
      </w:r>
    </w:p>
    <w:p>
      <w:pPr>
        <w:spacing w:line="448" w:lineRule="exact"/>
      </w:pPr>
      <w:r>
        <w:rPr>
          <w:b/>
          <w:sz w:val="32"/>
        </w:rPr>
        <w:t>디지털 제작 서비스의 운영 책임자를 위한</w:t>
        <w:br/>
        <w:t>측정 기준과 실행 설계</w:t>
      </w:r>
    </w:p>
    <w:p>
      <w:pPr>
        <w:spacing w:line="252" w:lineRule="exact"/>
      </w:pPr>
      <w:r>
        <w:rPr>
          <w:b w:val="0"/>
          <w:sz w:val="18"/>
        </w:rPr>
        <w:t>대상: 일반 문서 편집 · 보고서의 PPT 변환 · 영상 자막 제작</w:t>
        <w:br/>
        <w:t>문서 성격: swan 자체 제작 전문 보고서 샘플 / 실제 성과 분석 아님</w:t>
      </w:r>
    </w:p>
    <w:p>
      <w:pPr>
        <w:pStyle w:val="Heading2"/>
      </w:pPr>
      <w:r>
        <w:t>핵심 판단</w:t>
      </w:r>
    </w:p>
    <w:p>
      <w:pPr>
        <w:spacing w:line="294" w:lineRule="exact"/>
      </w:pPr>
      <w:r>
        <w:rPr>
          <w:b w:val="0"/>
          <w:sz w:val="21"/>
        </w:rPr>
        <w:t>주문이 적다는 결과만으로 가격이나 전문성을 원인으로 단정할 수 없다. 견적이 고객에게 도달했는지, 질문에</w:t>
        <w:br/>
        <w:t>답했는지, 작업 범위가 합의됐는지를 먼저 분리해 확인해야 한다. 이 보고서는 실제 고객 로그를 분석한 결과가</w:t>
        <w:br/>
        <w:t>아니라, 해당 판단을 가능하게 만드는 운영 설계다.</w:t>
      </w:r>
    </w:p>
    <w:p>
      <w:pPr>
        <w:pStyle w:val="Heading2"/>
      </w:pPr>
      <w:r>
        <w:t>우선 실행할 세 가지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752"/>
        <w:gridCol w:w="3600"/>
      </w:tblGrid>
      <w:tr>
        <w:tc>
          <w:tcPr>
            <w:tcW w:type="dxa" w:w="1584"/>
            <w:tcBorders>
              <w:bottom w:val="single" w:sz="5" w:color="222222"/>
            </w:tcBorders>
          </w:tcPr>
          <w:p>
            <w:pPr>
              <w:spacing w:after="100" w:before="100" w:line="260" w:lineRule="exact"/>
            </w:pPr>
            <w:r>
              <w:rPr>
                <w:b/>
                <w:sz w:val="19"/>
              </w:rPr>
              <w:t>우선순위</w:t>
            </w:r>
          </w:p>
        </w:tc>
        <w:tc>
          <w:tcPr>
            <w:tcW w:type="dxa" w:w="4752"/>
            <w:tcBorders>
              <w:bottom w:val="single" w:sz="5" w:color="222222"/>
            </w:tcBorders>
          </w:tcPr>
          <w:p>
            <w:pPr>
              <w:spacing w:after="100" w:before="100" w:line="260" w:lineRule="exact"/>
            </w:pPr>
            <w:r>
              <w:rPr>
                <w:b/>
                <w:sz w:val="19"/>
              </w:rPr>
              <w:t>실행</w:t>
            </w:r>
          </w:p>
        </w:tc>
        <w:tc>
          <w:tcPr>
            <w:tcW w:type="dxa" w:w="3600"/>
            <w:tcBorders>
              <w:bottom w:val="single" w:sz="5" w:color="222222"/>
            </w:tcBorders>
          </w:tcPr>
          <w:p>
            <w:pPr>
              <w:spacing w:after="100" w:before="100" w:line="260" w:lineRule="exact"/>
            </w:pPr>
            <w:r>
              <w:rPr>
                <w:b/>
                <w:sz w:val="19"/>
              </w:rPr>
              <w:t>완료 증거</w:t>
            </w:r>
          </w:p>
        </w:tc>
      </w:tr>
      <w:tr>
        <w:tc>
          <w:tcPr>
            <w:tcW w:type="dxa" w:w="1584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01 응대 누락</w:t>
            </w:r>
          </w:p>
        </w:tc>
        <w:tc>
          <w:tcPr>
            <w:tcW w:type="dxa" w:w="4752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실제 고객 질문과 시스템 알림을 분리한다. 미답변</w:t>
              <w:br/>
              <w:t>문의를 먼저 처리한다.</w:t>
            </w:r>
          </w:p>
        </w:tc>
        <w:tc>
          <w:tcPr>
            <w:tcW w:type="dxa" w:w="3600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고객 질문 시각·답변 시각·발송 확인 기록</w:t>
            </w:r>
          </w:p>
        </w:tc>
      </w:tr>
      <w:tr>
        <w:tc>
          <w:tcPr>
            <w:tcW w:type="dxa" w:w="1584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02 결과물 이해</w:t>
            </w:r>
          </w:p>
        </w:tc>
        <w:tc>
          <w:tcPr>
            <w:tcW w:type="dxa" w:w="4752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요청과 가장 가까운 샘플 1개에 포함 범위와 납품</w:t>
              <w:br/>
              <w:t>형식을 붙인다.</w:t>
            </w:r>
          </w:p>
        </w:tc>
        <w:tc>
          <w:tcPr>
            <w:tcW w:type="dxa" w:w="3600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열리는 샘플 링크와 검수 이력</w:t>
            </w:r>
          </w:p>
        </w:tc>
      </w:tr>
      <w:tr>
        <w:tc>
          <w:tcPr>
            <w:tcW w:type="dxa" w:w="1584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03 결제 전</w:t>
              <w:br/>
              <w:t>불확실성</w:t>
            </w:r>
          </w:p>
        </w:tc>
        <w:tc>
          <w:tcPr>
            <w:tcW w:type="dxa" w:w="4752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총액·마감·수정 범위를 한 번에 확인하고 결제 경로를</w:t>
              <w:br/>
              <w:t>안내한다.</w:t>
            </w:r>
          </w:p>
        </w:tc>
        <w:tc>
          <w:tcPr>
            <w:tcW w:type="dxa" w:w="3600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고객의 범위 동의와 결제 확인 기록</w:t>
            </w:r>
          </w:p>
        </w:tc>
      </w:tr>
    </w:tbl>
    <w:p>
      <w:pPr>
        <w:pStyle w:val="Heading2"/>
      </w:pPr>
      <w:r>
        <w:t>실행 전제와 중단 조건</w:t>
      </w:r>
    </w:p>
    <w:p>
      <w:pPr>
        <w:spacing w:line="294" w:lineRule="exact"/>
      </w:pPr>
      <w:r>
        <w:rPr>
          <w:b w:val="0"/>
          <w:sz w:val="21"/>
        </w:rPr>
        <w:t>샘플은 공개 권한이 있는 자체 제작물만 사용한다. 납기는 원자료·작업량·현재 제작 대기열을 확인한 후 약속한다.</w:t>
        <w:br/>
        <w:t>잘못된 금액, 누락된 질문, 깨진 링크가 발견되면 해당 자동 안내를 멈추고 수정한다. 이 문서 자체가 운영 설정을</w:t>
        <w:br/>
        <w:t>변경하지는 않는다.</w:t>
      </w:r>
    </w:p>
    <w:p>
      <w:r>
        <w:br w:type="page"/>
      </w:r>
    </w:p>
    <w:p>
      <w:pPr>
        <w:spacing w:line="252" w:lineRule="exact"/>
      </w:pPr>
      <w:r>
        <w:rPr>
          <w:b/>
          <w:sz w:val="18"/>
        </w:rPr>
        <w:t>01 / MEASUREMENT</w:t>
      </w:r>
    </w:p>
    <w:p>
      <w:pPr>
        <w:pStyle w:val="Title"/>
      </w:pPr>
      <w:r>
        <w:t>전환율의 분모부터 맞춘다</w:t>
      </w:r>
    </w:p>
    <w:p>
      <w:pPr>
        <w:spacing w:line="392" w:lineRule="exact"/>
      </w:pPr>
      <w:r>
        <w:rPr>
          <w:b/>
          <w:sz w:val="28"/>
        </w:rPr>
        <w:t>같은 견적 집단을 같은 기간 관찰해야 단계별 이탈을 비교할 수 있다.</w:t>
      </w:r>
    </w:p>
    <w:p>
      <w:pPr>
        <w:spacing w:line="266" w:lineRule="exact"/>
      </w:pPr>
      <w:r>
        <w:rPr>
          <w:b w:val="0"/>
          <w:sz w:val="19"/>
        </w:rPr>
        <w:t>아래는 계산 방법을 설명하기 위한 가상 사례다. 실제 swan 실적이나 업계 평균이 아니다. 단계별 순서를 모두 거쳤고 읽음</w:t>
        <w:br/>
        <w:t>기록도 빠짐없이 남았다고 가정한다.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1008"/>
        <w:gridCol w:w="3024"/>
        <w:gridCol w:w="2448"/>
      </w:tblGrid>
      <w:tr>
        <w:tc>
          <w:tcPr>
            <w:tcW w:type="dxa" w:w="3456"/>
            <w:tcBorders>
              <w:bottom w:val="single" w:sz="5" w:color="222222"/>
            </w:tcBorders>
          </w:tcPr>
          <w:p>
            <w:pPr>
              <w:spacing w:after="100" w:before="100" w:line="260" w:lineRule="exact"/>
            </w:pPr>
            <w:r>
              <w:rPr>
                <w:b/>
                <w:sz w:val="19"/>
              </w:rPr>
              <w:t>단계</w:t>
            </w:r>
          </w:p>
        </w:tc>
        <w:tc>
          <w:tcPr>
            <w:tcW w:type="dxa" w:w="1008"/>
            <w:tcBorders>
              <w:bottom w:val="single" w:sz="5" w:color="222222"/>
            </w:tcBorders>
          </w:tcPr>
          <w:p>
            <w:pPr>
              <w:spacing w:after="100" w:before="100" w:line="260" w:lineRule="exact"/>
            </w:pPr>
            <w:r>
              <w:rPr>
                <w:b/>
                <w:sz w:val="19"/>
              </w:rPr>
              <w:t>건수</w:t>
            </w:r>
          </w:p>
        </w:tc>
        <w:tc>
          <w:tcPr>
            <w:tcW w:type="dxa" w:w="3024"/>
            <w:tcBorders>
              <w:bottom w:val="single" w:sz="5" w:color="222222"/>
            </w:tcBorders>
          </w:tcPr>
          <w:p>
            <w:pPr>
              <w:spacing w:after="100" w:before="100" w:line="260" w:lineRule="exact"/>
            </w:pPr>
            <w:r>
              <w:rPr>
                <w:b/>
                <w:sz w:val="19"/>
              </w:rPr>
              <w:t>직전 단계 대비</w:t>
            </w:r>
          </w:p>
        </w:tc>
        <w:tc>
          <w:tcPr>
            <w:tcW w:type="dxa" w:w="2448"/>
            <w:tcBorders>
              <w:bottom w:val="single" w:sz="5" w:color="222222"/>
            </w:tcBorders>
          </w:tcPr>
          <w:p>
            <w:pPr>
              <w:spacing w:after="100" w:before="100" w:line="260" w:lineRule="exact"/>
            </w:pPr>
            <w:r>
              <w:rPr>
                <w:b/>
                <w:sz w:val="19"/>
              </w:rPr>
              <w:t>견적 전체 대비</w:t>
            </w:r>
          </w:p>
        </w:tc>
      </w:tr>
      <w:tr>
        <w:tc>
          <w:tcPr>
            <w:tcW w:type="dxa" w:w="3456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견적 발송 확인</w:t>
            </w:r>
          </w:p>
        </w:tc>
        <w:tc>
          <w:tcPr>
            <w:tcW w:type="dxa" w:w="1008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3024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48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100.0%</w:t>
            </w:r>
          </w:p>
        </w:tc>
      </w:tr>
      <w:tr>
        <w:tc>
          <w:tcPr>
            <w:tcW w:type="dxa" w:w="3456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읽음 관측</w:t>
            </w:r>
          </w:p>
        </w:tc>
        <w:tc>
          <w:tcPr>
            <w:tcW w:type="dxa" w:w="1008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3024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72 ÷ 120 = 60.0%</w:t>
            </w:r>
          </w:p>
        </w:tc>
        <w:tc>
          <w:tcPr>
            <w:tcW w:type="dxa" w:w="2448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60.0%</w:t>
            </w:r>
          </w:p>
        </w:tc>
      </w:tr>
      <w:tr>
        <w:tc>
          <w:tcPr>
            <w:tcW w:type="dxa" w:w="3456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실제 고객 문의</w:t>
            </w:r>
          </w:p>
        </w:tc>
        <w:tc>
          <w:tcPr>
            <w:tcW w:type="dxa" w:w="1008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3024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18 ÷ 72 = 25.0%</w:t>
            </w:r>
          </w:p>
        </w:tc>
        <w:tc>
          <w:tcPr>
            <w:tcW w:type="dxa" w:w="2448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15.0%</w:t>
            </w:r>
          </w:p>
        </w:tc>
      </w:tr>
      <w:tr>
        <w:tc>
          <w:tcPr>
            <w:tcW w:type="dxa" w:w="3456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작업 범위 동의</w:t>
            </w:r>
          </w:p>
        </w:tc>
        <w:tc>
          <w:tcPr>
            <w:tcW w:type="dxa" w:w="1008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024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12 ÷ 18 = 66.7%</w:t>
            </w:r>
          </w:p>
        </w:tc>
        <w:tc>
          <w:tcPr>
            <w:tcW w:type="dxa" w:w="2448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10.0%</w:t>
            </w:r>
          </w:p>
        </w:tc>
      </w:tr>
      <w:tr>
        <w:tc>
          <w:tcPr>
            <w:tcW w:type="dxa" w:w="3456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결제 확인</w:t>
            </w:r>
          </w:p>
        </w:tc>
        <w:tc>
          <w:tcPr>
            <w:tcW w:type="dxa" w:w="1008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024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6 ÷ 12 = 50.0%</w:t>
            </w:r>
          </w:p>
        </w:tc>
        <w:tc>
          <w:tcPr>
            <w:tcW w:type="dxa" w:w="2448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5.0%</w:t>
            </w:r>
          </w:p>
        </w:tc>
      </w:tr>
    </w:tbl>
    <w:p>
      <w:pPr>
        <w:pStyle w:val="Heading2"/>
      </w:pPr>
      <w:r>
        <w:t>이 수치로 말할 수 있는 것과 없는 것</w:t>
      </w:r>
    </w:p>
    <w:p>
      <w:pPr>
        <w:spacing w:line="294" w:lineRule="exact"/>
      </w:pPr>
      <w:r>
        <w:rPr>
          <w:b w:val="0"/>
          <w:sz w:val="21"/>
        </w:rPr>
        <w:t>가상 사례에서는 읽음 이후 문의 단계의 직전 단계 전환율이 가장 낮다. 그러나 그 사실만으로 샘플 부족이나 높은</w:t>
        <w:br/>
        <w:t>가격이 원인이라고 말할 수는 없다. 고객의 실제 질문, 응대 누락, 서비스 적합성을 함께 확인한 뒤 가설을 세운다.</w:t>
      </w:r>
    </w:p>
    <w:p>
      <w:pPr>
        <w:pStyle w:val="Heading2"/>
      </w:pPr>
      <w:r>
        <w:t>집계 규칙</w:t>
      </w:r>
    </w:p>
    <w:p>
      <w:pPr>
        <w:spacing w:line="294" w:lineRule="exact"/>
      </w:pPr>
      <w:r>
        <w:rPr>
          <w:b w:val="0"/>
          <w:sz w:val="21"/>
        </w:rPr>
        <w:t>한 고객·한 요청·첫 견적을 기본 단위로 삼고 중복 발송은 새 견적으로 세지 않는다. 결제는 클릭이나 결제 의향이</w:t>
        <w:br/>
        <w:t>아니라 결제 확인 기록으로 집계한다. 내부 테스트와 실패한 발송은 제외한다. [1]</w:t>
      </w:r>
    </w:p>
    <w:p>
      <w:pPr>
        <w:spacing w:line="294" w:lineRule="exact"/>
      </w:pPr>
      <w:r>
        <w:rPr>
          <w:b w:val="0"/>
          <w:sz w:val="21"/>
        </w:rPr>
        <w:t>실제 운영에서는 문의 없이 결제하거나 읽음 기록 없이 답장하는 경로도 있을 수 있다. 따라서 전체 견적 대비</w:t>
        <w:br/>
        <w:t>결제율을 주지표로 두고, 단계별 순차 전환은 보조지표로 본다. 읽음 미관측을 미열람으로 단정하지 않는다.</w:t>
      </w:r>
    </w:p>
    <w:p>
      <w:pPr>
        <w:pStyle w:val="Heading2"/>
      </w:pPr>
      <w:r>
        <w:t>관찰 기간과 비용</w:t>
      </w:r>
    </w:p>
    <w:p>
      <w:pPr>
        <w:spacing w:line="294" w:lineRule="exact"/>
      </w:pPr>
      <w:r>
        <w:rPr>
          <w:b w:val="0"/>
          <w:sz w:val="21"/>
        </w:rPr>
        <w:t>실험에서는 견적별 발송 후 7일을 동일하게 관찰하는 안을 사용한다. 7일 미경과 건은 미성숙 표본으로 따로</w:t>
        <w:br/>
        <w:t>표시하고 기간 이후 결제는 별도 추적한다. 7일은 본 샘플의 운영 제안이며 최적 기간이라는 근거는 없다.</w:t>
      </w:r>
    </w:p>
    <w:p>
      <w:pPr>
        <w:spacing w:line="280" w:lineRule="exact"/>
      </w:pPr>
      <w:r>
        <w:rPr>
          <w:b/>
          <w:sz w:val="20"/>
        </w:rPr>
        <w:t>건별 기여이익 = 환불 반영 결제액 − 플랫폼·결제 수수료 − API·외주비 − 직접 투입 인건비. 고정비와 세금까지 반영한</w:t>
        <w:br/>
        <w:t>순이익과 구분한다.</w:t>
      </w:r>
    </w:p>
    <w:p>
      <w:r>
        <w:br w:type="page"/>
      </w:r>
    </w:p>
    <w:p>
      <w:pPr>
        <w:spacing w:line="252" w:lineRule="exact"/>
      </w:pPr>
      <w:r>
        <w:rPr>
          <w:b/>
          <w:sz w:val="18"/>
        </w:rPr>
        <w:t>02 / RESPONSE DESIGN</w:t>
      </w:r>
    </w:p>
    <w:p>
      <w:pPr>
        <w:pStyle w:val="Title"/>
      </w:pPr>
      <w:r>
        <w:t>고객이 묻는 것부터 답한다</w:t>
      </w:r>
    </w:p>
    <w:p>
      <w:pPr>
        <w:spacing w:line="392" w:lineRule="exact"/>
      </w:pPr>
      <w:r>
        <w:rPr>
          <w:b/>
          <w:sz w:val="28"/>
        </w:rPr>
        <w:t>확인 질문을 늘리기 전에, 고객의 현재 결정에 필요한 답을 먼저 준다.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5040"/>
        <w:gridCol w:w="3024"/>
      </w:tblGrid>
      <w:tr>
        <w:tc>
          <w:tcPr>
            <w:tcW w:type="dxa" w:w="1872"/>
            <w:tcBorders>
              <w:bottom w:val="single" w:sz="5" w:color="222222"/>
            </w:tcBorders>
          </w:tcPr>
          <w:p>
            <w:pPr>
              <w:spacing w:after="100" w:before="100" w:line="260" w:lineRule="exact"/>
            </w:pPr>
            <w:r>
              <w:rPr>
                <w:b/>
                <w:sz w:val="19"/>
              </w:rPr>
              <w:t>상황</w:t>
            </w:r>
          </w:p>
        </w:tc>
        <w:tc>
          <w:tcPr>
            <w:tcW w:type="dxa" w:w="5040"/>
            <w:tcBorders>
              <w:bottom w:val="single" w:sz="5" w:color="222222"/>
            </w:tcBorders>
          </w:tcPr>
          <w:p>
            <w:pPr>
              <w:spacing w:after="100" w:before="100" w:line="260" w:lineRule="exact"/>
            </w:pPr>
            <w:r>
              <w:rPr>
                <w:b/>
                <w:sz w:val="19"/>
              </w:rPr>
              <w:t>응대 순서</w:t>
            </w:r>
          </w:p>
        </w:tc>
        <w:tc>
          <w:tcPr>
            <w:tcW w:type="dxa" w:w="3024"/>
            <w:tcBorders>
              <w:bottom w:val="single" w:sz="5" w:color="222222"/>
            </w:tcBorders>
          </w:tcPr>
          <w:p>
            <w:pPr>
              <w:spacing w:after="100" w:before="100" w:line="260" w:lineRule="exact"/>
            </w:pPr>
            <w:r>
              <w:rPr>
                <w:b/>
                <w:sz w:val="19"/>
              </w:rPr>
              <w:t>전송 전 확인</w:t>
            </w:r>
          </w:p>
        </w:tc>
      </w:tr>
      <w:tr>
        <w:tc>
          <w:tcPr>
            <w:tcW w:type="dxa" w:w="1872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언제 가능한가</w:t>
            </w:r>
          </w:p>
        </w:tc>
        <w:tc>
          <w:tcPr>
            <w:tcW w:type="dxa" w:w="5040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현재 가능한 일정 → 일정 산정 조건 → 꼭 필요한 자료</w:t>
              <w:br/>
              <w:t>요청</w:t>
            </w:r>
          </w:p>
        </w:tc>
        <w:tc>
          <w:tcPr>
            <w:tcW w:type="dxa" w:w="3024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제작 대기열·파일 분량·난이도</w:t>
            </w:r>
          </w:p>
        </w:tc>
      </w:tr>
      <w:tr>
        <w:tc>
          <w:tcPr>
            <w:tcW w:type="dxa" w:w="1872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작업 경험이 있는가</w:t>
            </w:r>
          </w:p>
        </w:tc>
        <w:tc>
          <w:tcPr>
            <w:tcW w:type="dxa" w:w="5040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확인된 경험만 설명 → 유사 자체 샘플 → 다른 점 명시</w:t>
            </w:r>
          </w:p>
        </w:tc>
        <w:tc>
          <w:tcPr>
            <w:tcW w:type="dxa" w:w="3024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허위 경력·타 고객 자료 여부</w:t>
            </w:r>
          </w:p>
        </w:tc>
      </w:tr>
      <w:tr>
        <w:tc>
          <w:tcPr>
            <w:tcW w:type="dxa" w:w="1872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얼마인가</w:t>
            </w:r>
          </w:p>
        </w:tc>
        <w:tc>
          <w:tcPr>
            <w:tcW w:type="dxa" w:w="5040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확인된 총액 → 포함·제외 범위 → 추가금 발생 조건</w:t>
            </w:r>
          </w:p>
        </w:tc>
        <w:tc>
          <w:tcPr>
            <w:tcW w:type="dxa" w:w="3024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서비스·분량·옵션 일치</w:t>
            </w:r>
          </w:p>
        </w:tc>
      </w:tr>
      <w:tr>
        <w:tc>
          <w:tcPr>
            <w:tcW w:type="dxa" w:w="1872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진행하고 싶다</w:t>
            </w:r>
          </w:p>
        </w:tc>
        <w:tc>
          <w:tcPr>
            <w:tcW w:type="dxa" w:w="5040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작업 조건 요약 → 동의 확인 → 플랫폼 결제 안내</w:t>
            </w:r>
          </w:p>
        </w:tc>
        <w:tc>
          <w:tcPr>
            <w:tcW w:type="dxa" w:w="3024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총액·마감·수정·납품 형식</w:t>
            </w:r>
          </w:p>
        </w:tc>
      </w:tr>
    </w:tbl>
    <w:p>
      <w:pPr>
        <w:pStyle w:val="Heading2"/>
      </w:pPr>
      <w:r>
        <w:t>실제 응대 형태의 예시</w:t>
      </w:r>
    </w:p>
    <w:p>
      <w:pPr>
        <w:spacing w:line="266" w:lineRule="exact"/>
      </w:pPr>
      <w:r>
        <w:rPr>
          <w:b w:val="0"/>
          <w:sz w:val="19"/>
        </w:rPr>
        <w:t>상황: 고객이 보고서를 발표 자료로 바꾸는 데 얼마나 걸리는지 문의. 원본은 아직 받지 않은 상태.</w:t>
      </w:r>
    </w:p>
    <w:p>
      <w:pPr>
        <w:spacing w:line="308" w:lineRule="exact"/>
      </w:pPr>
      <w:r>
        <w:rPr>
          <w:b/>
          <w:sz w:val="22"/>
        </w:rPr>
        <w:t>“원본 분량을 아직 못 봐서 완료 시각은 파일을 확인한 뒤 말씀드릴게요. 보고서와 필요한 슬라이드 수, 발표</w:t>
        <w:br/>
        <w:t>시간을 보내주시면 가능한 일정부터 먼저 확인하겠습니다. 아래는 같은 방식으로 정리한 자체 제작</w:t>
        <w:br/>
        <w:t>샘플입니다.”</w:t>
      </w:r>
    </w:p>
    <w:p>
      <w:pPr>
        <w:spacing w:line="266" w:lineRule="exact"/>
      </w:pPr>
      <w:r>
        <w:rPr>
          <w:b w:val="0"/>
          <w:sz w:val="19"/>
        </w:rPr>
        <w:t>위 문장은 미확인 상태의 예시다. 실제 가능 일정을 이미 확인했다면 그 일정을 첫 문장에 제시한다. 파일을 받았는데 다시</w:t>
        <w:br/>
        <w:t>요청하거나, 확인하지 않은 당일 납품을 약속하지 않는다.</w:t>
      </w:r>
    </w:p>
    <w:p>
      <w:pPr>
        <w:pStyle w:val="Heading2"/>
      </w:pPr>
      <w:r>
        <w:t>샘플이 설명해야 할 세 가지</w:t>
      </w:r>
    </w:p>
    <w:p>
      <w:pPr>
        <w:spacing w:line="294" w:lineRule="exact"/>
      </w:pPr>
      <w:r>
        <w:rPr>
          <w:b w:val="0"/>
          <w:sz w:val="21"/>
        </w:rPr>
        <w:t>입력: 어떤 원자료를 받는가. 변환: 정보의 순서·표현·시각 구조를 어떻게 바꾸는가. 결과: 고객이 어떤 파일을 받아</w:t>
        <w:br/>
        <w:t>어디에 쓸 수 있는가. 요청과 무관한 포트폴리오를 여러 개 보내지 않고 가장 가까운 한 사례부터 제시한다.</w:t>
      </w:r>
    </w:p>
    <w:p>
      <w:pPr>
        <w:pStyle w:val="Heading2"/>
      </w:pPr>
      <w:r>
        <w:t>결제와 납품을 구분한다</w:t>
      </w:r>
    </w:p>
    <w:p>
      <w:pPr>
        <w:spacing w:line="294" w:lineRule="exact"/>
      </w:pPr>
      <w:r>
        <w:rPr>
          <w:b w:val="0"/>
          <w:sz w:val="21"/>
        </w:rPr>
        <w:t>범위 합의 후 총액과 납기를 다시 확인하고 플랫폼의 정상 결제 경로를 안내한다. 결제 확인 전 최종 파일은</w:t>
        <w:br/>
        <w:t>전달하지 않는다. 납품은 내용 대조·파일 열림·시각 검수를 통과한 버전에 한한다. 샘플에는 swan · SAMPLE을,</w:t>
        <w:br/>
        <w:t>계약 납품본에는 합의된 표시만 적용한다.</w:t>
      </w:r>
    </w:p>
    <w:p>
      <w:r>
        <w:br w:type="page"/>
      </w:r>
    </w:p>
    <w:p>
      <w:pPr>
        <w:spacing w:line="252" w:lineRule="exact"/>
      </w:pPr>
      <w:r>
        <w:rPr>
          <w:b/>
          <w:sz w:val="18"/>
        </w:rPr>
        <w:t>03 / VALIDATION</w:t>
      </w:r>
    </w:p>
    <w:p>
      <w:pPr>
        <w:pStyle w:val="Title"/>
      </w:pPr>
      <w:r>
        <w:t>한 번에 하나만 바꿔 검증한다</w:t>
      </w:r>
    </w:p>
    <w:p>
      <w:pPr>
        <w:spacing w:line="392" w:lineRule="exact"/>
      </w:pPr>
      <w:r>
        <w:rPr>
          <w:b/>
          <w:sz w:val="28"/>
        </w:rPr>
        <w:t>검증 가설: 요청과 가까운 샘플을 견적과 함께 제공하면,</w:t>
        <w:br/>
        <w:t>결과물 이해가 높아져 결제 전환이 개선되는가?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c>
          <w:tcPr>
            <w:tcW w:type="dxa" w:w="1800"/>
            <w:tcBorders>
              <w:bottom w:val="single" w:sz="5" w:color="222222"/>
            </w:tcBorders>
          </w:tcPr>
          <w:p>
            <w:pPr>
              <w:spacing w:after="100" w:before="100" w:line="260" w:lineRule="exact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8136"/>
            <w:tcBorders>
              <w:bottom w:val="single" w:sz="5" w:color="222222"/>
            </w:tcBorders>
          </w:tcPr>
          <w:p>
            <w:pPr>
              <w:spacing w:after="100" w:before="100" w:line="260" w:lineRule="exact"/>
            </w:pPr>
            <w:r>
              <w:rPr>
                <w:b/>
                <w:sz w:val="19"/>
              </w:rPr>
              <w:t>실험 설계안</w:t>
            </w:r>
          </w:p>
        </w:tc>
      </w:tr>
      <w:tr>
        <w:tc>
          <w:tcPr>
            <w:tcW w:type="dxa" w:w="1800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배정</w:t>
            </w:r>
          </w:p>
        </w:tc>
        <w:tc>
          <w:tcPr>
            <w:tcW w:type="dxa" w:w="8136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동일 서비스 안에서 고객 단위로 A/B 무작위 배정. 같은 고객은 같은 군 유지.</w:t>
            </w:r>
          </w:p>
        </w:tc>
      </w:tr>
      <w:tr>
        <w:tc>
          <w:tcPr>
            <w:tcW w:type="dxa" w:w="1800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변경 변수</w:t>
            </w:r>
          </w:p>
        </w:tc>
        <w:tc>
          <w:tcPr>
            <w:tcW w:type="dxa" w:w="8136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A: 기존 견적 / B: 같은 견적 + 관련 자체 샘플 1개. 가격·범위·후속 연락 정책 동일.</w:t>
            </w:r>
          </w:p>
        </w:tc>
      </w:tr>
      <w:tr>
        <w:tc>
          <w:tcPr>
            <w:tcW w:type="dxa" w:w="1800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주지표</w:t>
            </w:r>
          </w:p>
        </w:tc>
        <w:tc>
          <w:tcPr>
            <w:tcW w:type="dxa" w:w="8136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발송 확인된 견적 중 7일 이내 결제 확인 비율. 환불·기여이익은 별도 추적.</w:t>
            </w:r>
          </w:p>
        </w:tc>
      </w:tr>
      <w:tr>
        <w:tc>
          <w:tcPr>
            <w:tcW w:type="dxa" w:w="1800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보조·안전 지표</w:t>
            </w:r>
          </w:p>
        </w:tc>
        <w:tc>
          <w:tcPr>
            <w:tcW w:type="dxa" w:w="8136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실제 답장률, 문의 후 응답 시간, 잘못된 안내, 수신 거부·불만.</w:t>
            </w:r>
          </w:p>
        </w:tc>
      </w:tr>
      <w:tr>
        <w:tc>
          <w:tcPr>
            <w:tcW w:type="dxa" w:w="1800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판단</w:t>
            </w:r>
          </w:p>
        </w:tc>
        <w:tc>
          <w:tcPr>
            <w:tcW w:type="dxa" w:w="8136"/>
            <w:tcBorders>
              <w:bottom w:val="single" w:sz="5" w:color="DDDDDD"/>
            </w:tcBorders>
          </w:tcPr>
          <w:p>
            <w:pPr>
              <w:spacing w:after="100" w:before="100" w:line="260" w:lineRule="exact"/>
            </w:pPr>
            <w:r>
              <w:rPr>
                <w:b w:val="0"/>
                <w:sz w:val="19"/>
              </w:rPr>
              <w:t>먼저 누락 없이 기록 가능한지 소규모 점검. 기준 전환율과 최소 의미 차이를 정한 뒤 표본수·종료</w:t>
              <w:br/>
              <w:t>기준을 사전 확정.</w:t>
            </w:r>
          </w:p>
        </w:tc>
      </w:tr>
    </w:tbl>
    <w:p>
      <w:pPr>
        <w:pStyle w:val="Heading2"/>
      </w:pPr>
      <w:r>
        <w:t>소수 주문으로 승자를 선언하지 않는다</w:t>
      </w:r>
    </w:p>
    <w:p>
      <w:pPr>
        <w:spacing w:line="294" w:lineRule="exact"/>
      </w:pPr>
      <w:r>
        <w:rPr>
          <w:b w:val="0"/>
          <w:sz w:val="21"/>
        </w:rPr>
        <w:t>견적 10건에서 결제 2건이 나왔다면 관측 비율은 20%다. 이를 재현 가능한 성공률이나 샘플 제공의 효과로</w:t>
        <w:br/>
        <w:t>단정하지 않는다. 실험 도중 수치가 좋아 보인다는 이유만으로 종료 시점을 바꾸지 않는다. 충분한 표본이 없으면</w:t>
        <w:br/>
        <w:t>운영상 관찰로 남긴다.</w:t>
      </w:r>
    </w:p>
    <w:p>
      <w:pPr>
        <w:pStyle w:val="Heading2"/>
      </w:pPr>
      <w:r>
        <w:t>책임과 실행 순서</w:t>
      </w:r>
    </w:p>
    <w:p>
      <w:pPr>
        <w:spacing w:line="294" w:lineRule="exact"/>
      </w:pPr>
      <w:r>
        <w:rPr>
          <w:b w:val="0"/>
          <w:sz w:val="21"/>
        </w:rPr>
        <w:t>운영 담당: 미답변·중복·실패 발송을 매일 점검. 제작 담당: 샘플과 실제 제공 범위의 일치 확인. 검수 담당: 최종</w:t>
        <w:br/>
        <w:t>렌더링과 링크·워터마크 확인. 운영 책임자: 주 1회 성숙 표본만 검토하고 다음 변경 1개를 결정. 소규모 조직은</w:t>
        <w:br/>
        <w:t>겸임할 수 있으나 확인 기록은 구분한다.</w:t>
      </w:r>
    </w:p>
    <w:p>
      <w:pPr>
        <w:pStyle w:val="Heading2"/>
      </w:pPr>
      <w:r>
        <w:t>근거와 적용 한계</w:t>
      </w:r>
    </w:p>
    <w:p>
      <w:pPr>
        <w:spacing w:line="238" w:lineRule="exact"/>
      </w:pPr>
      <w:r>
        <w:rPr>
          <w:b w:val="0"/>
          <w:sz w:val="17"/>
        </w:rPr>
        <w:t>[1] GOV.UK Service Manual, Measuring completion rate (2021-02-19 갱신). 완료/시작의 비율, 테스트 제외, 시작·종료 정의</w:t>
        <w:br/>
        <w:t>원칙을 참고했다. 정부 서비스의 기준을 민간 제작 상담에 맞게 응용했으며 정부의 전환율 목표를 인용한 것은 아니다.</w:t>
      </w:r>
    </w:p>
    <w:p>
      <w:pPr>
        <w:spacing w:line="224" w:lineRule="exact"/>
      </w:pPr>
      <w:r>
        <w:rPr>
          <w:b w:val="0"/>
          <w:sz w:val="16"/>
        </w:rPr>
        <w:t>https://www.gov.uk/service-manual/measuring-success/measuring-completion-rate</w:t>
      </w:r>
    </w:p>
    <w:p>
      <w:pPr>
        <w:spacing w:line="252" w:lineRule="exact"/>
      </w:pPr>
      <w:r>
        <w:rPr>
          <w:b w:val="0"/>
          <w:sz w:val="18"/>
        </w:rPr>
        <w:t>그 외의 기간·응대 절차·실험 설계는 본 샘플의 제안이다. 실제 고객 로그, 매출, 시장 평균을 검증한 보고서가 아니며, 적용 결과에</w:t>
        <w:br/>
        <w:t>따라 수정해야 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008" w:left="1152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swan  /  운영 전략 보고서  ·  자체 제작 샘플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5B5B5"/>
        <w:sz w:val="38"/>
      </w:rPr>
      <w:t>swan ·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exact" w:after="140"/>
    </w:pPr>
    <w:rPr>
      <w:rFonts w:ascii="Pretendard" w:hAnsi="Pretendard" w:eastAsia="Pretendard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567" w:lineRule="exact"/>
      <w:outlineLvl w:val="0"/>
    </w:pPr>
    <w:rPr>
      <w:rFonts w:ascii="Pretendard" w:hAnsi="Pretendard" w:eastAsia="Pretendard" w:cs="Pretendard"/>
      <w:b/>
      <w:bCs/>
      <w:color w:val="11111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351" w:lineRule="exact"/>
      <w:outlineLvl w:val="1"/>
    </w:pPr>
    <w:rPr>
      <w:rFonts w:ascii="Pretendard" w:hAnsi="Pretendard" w:eastAsia="Pretendard" w:cs="Pretendard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Pretendard" w:hAnsi="Pretendard" w:eastAsia="Pretendard" w:cs="Pretendar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Pretendard" w:hAnsi="Pretendard" w:eastAsia="Pretendard" w:cs="Pretendar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Pretendard" w:hAnsi="Pretendard" w:eastAsia="Pretendard" w:cs="Pretendar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Pretendard" w:hAnsi="Pretendard" w:eastAsia="Pretendard" w:cs="Pretendar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Pretendard" w:hAnsi="Pretendard" w:eastAsia="Pretendard" w:cs="Pretendar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retendard" w:hAnsi="Pretendard" w:eastAsia="Pretendard" w:cs="Pretendar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retendard" w:hAnsi="Pretendard" w:eastAsia="Pretendard" w:cs="Pretendar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retendard" w:hAnsi="Pretendard" w:eastAsia="Pretendard" w:cs="Pretendar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783" w:lineRule="exact" w:before="220"/>
      <w:contextualSpacing/>
    </w:pPr>
    <w:rPr>
      <w:rFonts w:ascii="Pretendard" w:hAnsi="Pretendard" w:eastAsia="Pretendard" w:cs="Pretendard"/>
      <w:b/>
      <w:color w:val="111111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retendard" w:hAnsi="Pretendard" w:eastAsia="Pretendard" w:cs="Pretendar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retendard" w:hAnsi="Pretendard" w:eastAsia="Pretendard" w:cs="Pretendar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retendard" w:hAnsi="Pretendard" w:eastAsia="Pretendard" w:cs="Pretendar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retendard" w:hAnsi="Pretendard" w:eastAsia="Pretendard" w:cs="Pretendar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retendard" w:hAnsi="Pretendard" w:eastAsia="Pretendard" w:cs="Pretendar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retendard" w:hAnsi="Pretendard" w:eastAsia="Pretendard" w:cs="Pretendar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고객 문의에서 결제까지 — 상담 전환 개선안</dc:title>
  <dc:subject/>
  <dc:creator>swan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