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42416266"/>
        <w:docPartObj>
          <w:docPartGallery w:val="Cover Pages"/>
          <w:docPartUnique/>
        </w:docPartObj>
      </w:sdtPr>
      <w:sdtContent>
        <w:p w14:paraId="2D3DACE7" w14:textId="5DA506BF" w:rsidR="00074D9C" w:rsidRDefault="00773786">
          <w:r>
            <w:rPr>
              <w:noProof/>
            </w:rPr>
            <mc:AlternateContent>
              <mc:Choice Requires="wpg">
                <w:drawing>
                  <wp:anchor distT="0" distB="0" distL="114300" distR="114300" simplePos="0" relativeHeight="251659264" behindDoc="0" locked="0" layoutInCell="1" allowOverlap="1" wp14:anchorId="65FEE7BA" wp14:editId="65AD98C9">
                    <wp:simplePos x="0" y="0"/>
                    <wp:positionH relativeFrom="page">
                      <wp:posOffset>2774315</wp:posOffset>
                    </wp:positionH>
                    <wp:positionV relativeFrom="page">
                      <wp:posOffset>0</wp:posOffset>
                    </wp:positionV>
                    <wp:extent cx="4771390" cy="10058400"/>
                    <wp:effectExtent l="0" t="0" r="0" b="0"/>
                    <wp:wrapNone/>
                    <wp:docPr id="453" name="Groupe 453"/>
                    <wp:cNvGraphicFramePr/>
                    <a:graphic xmlns:a="http://schemas.openxmlformats.org/drawingml/2006/main">
                      <a:graphicData uri="http://schemas.microsoft.com/office/word/2010/wordprocessingGroup">
                        <wpg:wgp>
                          <wpg:cNvGrpSpPr/>
                          <wpg:grpSpPr>
                            <a:xfrm>
                              <a:off x="0" y="0"/>
                              <a:ext cx="4771390" cy="10058400"/>
                              <a:chOff x="0" y="0"/>
                              <a:chExt cx="3113670" cy="10058400"/>
                            </a:xfrm>
                            <a:solidFill>
                              <a:srgbClr val="00003E"/>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88979"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grp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6-01-01T00:00:00Z">
                                      <w:dateFormat w:val="yyyy"/>
                                      <w:lid w:val="fr-FR"/>
                                      <w:storeMappedDataAs w:val="dateTime"/>
                                      <w:calendar w:val="gregorian"/>
                                    </w:date>
                                  </w:sdtPr>
                                  <w:sdtContent>
                                    <w:p w14:paraId="3B408BB1" w14:textId="2FBFB34F" w:rsidR="00074D9C" w:rsidRDefault="002F540F">
                                      <w:pPr>
                                        <w:pStyle w:val="Sansinterligne"/>
                                        <w:rPr>
                                          <w:color w:val="FFFFFF" w:themeColor="background1"/>
                                          <w:sz w:val="96"/>
                                          <w:szCs w:val="96"/>
                                        </w:rPr>
                                      </w:pPr>
                                      <w:r>
                                        <w:rPr>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grp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imes New Roman" w:hAnsi="Times New Roman" w:cs="Times New Roman"/>
                                      <w:b/>
                                      <w:bCs/>
                                      <w:color w:val="FFFFFF" w:themeColor="background1"/>
                                      <w:sz w:val="28"/>
                                      <w:szCs w:val="28"/>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334DC9D8" w14:textId="2FCEBCB9" w:rsidR="00074D9C" w:rsidRPr="002F540F" w:rsidRDefault="00074D9C">
                                      <w:pPr>
                                        <w:pStyle w:val="Sansinterligne"/>
                                        <w:spacing w:line="360" w:lineRule="auto"/>
                                        <w:rPr>
                                          <w:rFonts w:ascii="Times New Roman" w:hAnsi="Times New Roman" w:cs="Times New Roman"/>
                                          <w:b/>
                                          <w:bCs/>
                                          <w:color w:val="FFFFFF" w:themeColor="background1"/>
                                          <w:sz w:val="28"/>
                                          <w:szCs w:val="28"/>
                                        </w:rPr>
                                      </w:pPr>
                                      <w:r w:rsidRPr="002F540F">
                                        <w:rPr>
                                          <w:rFonts w:ascii="Times New Roman" w:hAnsi="Times New Roman" w:cs="Times New Roman"/>
                                          <w:b/>
                                          <w:bCs/>
                                          <w:color w:val="FFFFFF" w:themeColor="background1"/>
                                          <w:sz w:val="28"/>
                                          <w:szCs w:val="28"/>
                                        </w:rPr>
                                        <w:t>Osée Emmanuel BOUM BISSEMB</w:t>
                                      </w:r>
                                    </w:p>
                                  </w:sdtContent>
                                </w:sdt>
                                <w:sdt>
                                  <w:sdtPr>
                                    <w:rPr>
                                      <w:rFonts w:ascii="Times New Roman" w:hAnsi="Times New Roman" w:cs="Times New Roman"/>
                                      <w:b/>
                                      <w:bCs/>
                                      <w:color w:val="FFFFFF" w:themeColor="background1"/>
                                      <w:sz w:val="28"/>
                                      <w:szCs w:val="28"/>
                                    </w:rPr>
                                    <w:alias w:val="Société"/>
                                    <w:id w:val="1760174317"/>
                                    <w:dataBinding w:prefixMappings="xmlns:ns0='http://schemas.openxmlformats.org/officeDocument/2006/extended-properties'" w:xpath="/ns0:Properties[1]/ns0:Company[1]" w:storeItemID="{6668398D-A668-4E3E-A5EB-62B293D839F1}"/>
                                    <w:text/>
                                  </w:sdtPr>
                                  <w:sdtContent>
                                    <w:p w14:paraId="5C03403E" w14:textId="338403CC" w:rsidR="00074D9C" w:rsidRPr="002F540F" w:rsidRDefault="002F540F">
                                      <w:pPr>
                                        <w:pStyle w:val="Sansinterligne"/>
                                        <w:spacing w:line="360" w:lineRule="auto"/>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 xml:space="preserve">Data </w:t>
                                      </w:r>
                                      <w:proofErr w:type="spellStart"/>
                                      <w:r>
                                        <w:rPr>
                                          <w:rFonts w:ascii="Times New Roman" w:hAnsi="Times New Roman" w:cs="Times New Roman"/>
                                          <w:b/>
                                          <w:bCs/>
                                          <w:color w:val="FFFFFF" w:themeColor="background1"/>
                                          <w:sz w:val="28"/>
                                          <w:szCs w:val="28"/>
                                        </w:rPr>
                                        <w:t>Scientist</w:t>
                                      </w:r>
                                      <w:proofErr w:type="spellEnd"/>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5FEE7BA" id="Groupe 453" o:spid="_x0000_s1026" style="position:absolute;margin-left:218.45pt;margin-top:0;width:375.7pt;height:11in;z-index:251659264;mso-height-percent:1000;mso-position-horizontal-relative:page;mso-position-vertical-relative:page;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890;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6-01-01T00:00:00Z">
                                <w:dateFormat w:val="yyyy"/>
                                <w:lid w:val="fr-FR"/>
                                <w:storeMappedDataAs w:val="dateTime"/>
                                <w:calendar w:val="gregorian"/>
                              </w:date>
                            </w:sdtPr>
                            <w:sdtContent>
                              <w:p w14:paraId="3B408BB1" w14:textId="2FBFB34F" w:rsidR="00074D9C" w:rsidRDefault="002F540F">
                                <w:pPr>
                                  <w:pStyle w:val="Sansinterligne"/>
                                  <w:rPr>
                                    <w:color w:val="FFFFFF" w:themeColor="background1"/>
                                    <w:sz w:val="96"/>
                                    <w:szCs w:val="96"/>
                                  </w:rPr>
                                </w:pPr>
                                <w:r>
                                  <w:rPr>
                                    <w:color w:val="FFFFFF" w:themeColor="background1"/>
                                    <w:sz w:val="96"/>
                                    <w:szCs w:val="96"/>
                                  </w:rPr>
                                  <w:t>2026</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Times New Roman" w:hAnsi="Times New Roman" w:cs="Times New Roman"/>
                                <w:b/>
                                <w:bCs/>
                                <w:color w:val="FFFFFF" w:themeColor="background1"/>
                                <w:sz w:val="28"/>
                                <w:szCs w:val="28"/>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334DC9D8" w14:textId="2FCEBCB9" w:rsidR="00074D9C" w:rsidRPr="002F540F" w:rsidRDefault="00074D9C">
                                <w:pPr>
                                  <w:pStyle w:val="Sansinterligne"/>
                                  <w:spacing w:line="360" w:lineRule="auto"/>
                                  <w:rPr>
                                    <w:rFonts w:ascii="Times New Roman" w:hAnsi="Times New Roman" w:cs="Times New Roman"/>
                                    <w:b/>
                                    <w:bCs/>
                                    <w:color w:val="FFFFFF" w:themeColor="background1"/>
                                    <w:sz w:val="28"/>
                                    <w:szCs w:val="28"/>
                                  </w:rPr>
                                </w:pPr>
                                <w:r w:rsidRPr="002F540F">
                                  <w:rPr>
                                    <w:rFonts w:ascii="Times New Roman" w:hAnsi="Times New Roman" w:cs="Times New Roman"/>
                                    <w:b/>
                                    <w:bCs/>
                                    <w:color w:val="FFFFFF" w:themeColor="background1"/>
                                    <w:sz w:val="28"/>
                                    <w:szCs w:val="28"/>
                                  </w:rPr>
                                  <w:t>Osée Emmanuel BOUM BISSEMB</w:t>
                                </w:r>
                              </w:p>
                            </w:sdtContent>
                          </w:sdt>
                          <w:sdt>
                            <w:sdtPr>
                              <w:rPr>
                                <w:rFonts w:ascii="Times New Roman" w:hAnsi="Times New Roman" w:cs="Times New Roman"/>
                                <w:b/>
                                <w:bCs/>
                                <w:color w:val="FFFFFF" w:themeColor="background1"/>
                                <w:sz w:val="28"/>
                                <w:szCs w:val="28"/>
                              </w:rPr>
                              <w:alias w:val="Société"/>
                              <w:id w:val="1760174317"/>
                              <w:dataBinding w:prefixMappings="xmlns:ns0='http://schemas.openxmlformats.org/officeDocument/2006/extended-properties'" w:xpath="/ns0:Properties[1]/ns0:Company[1]" w:storeItemID="{6668398D-A668-4E3E-A5EB-62B293D839F1}"/>
                              <w:text/>
                            </w:sdtPr>
                            <w:sdtContent>
                              <w:p w14:paraId="5C03403E" w14:textId="338403CC" w:rsidR="00074D9C" w:rsidRPr="002F540F" w:rsidRDefault="002F540F">
                                <w:pPr>
                                  <w:pStyle w:val="Sansinterligne"/>
                                  <w:spacing w:line="360" w:lineRule="auto"/>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 xml:space="preserve">Data </w:t>
                                </w:r>
                                <w:proofErr w:type="spellStart"/>
                                <w:r>
                                  <w:rPr>
                                    <w:rFonts w:ascii="Times New Roman" w:hAnsi="Times New Roman" w:cs="Times New Roman"/>
                                    <w:b/>
                                    <w:bCs/>
                                    <w:color w:val="FFFFFF" w:themeColor="background1"/>
                                    <w:sz w:val="28"/>
                                    <w:szCs w:val="28"/>
                                  </w:rPr>
                                  <w:t>Scientist</w:t>
                                </w:r>
                                <w:proofErr w:type="spellEnd"/>
                              </w:p>
                            </w:sdtContent>
                          </w:sdt>
                        </w:txbxContent>
                      </v:textbox>
                    </v:rect>
                    <w10:wrap anchorx="page" anchory="page"/>
                  </v:group>
                </w:pict>
              </mc:Fallback>
            </mc:AlternateContent>
          </w:r>
          <w:r w:rsidR="00B57A77">
            <w:rPr>
              <w:noProof/>
            </w:rPr>
            <w:drawing>
              <wp:anchor distT="0" distB="0" distL="114300" distR="114300" simplePos="0" relativeHeight="251660288" behindDoc="0" locked="0" layoutInCell="0" allowOverlap="1" wp14:anchorId="6E9D3527" wp14:editId="1F00A907">
                <wp:simplePos x="0" y="0"/>
                <wp:positionH relativeFrom="page">
                  <wp:posOffset>0</wp:posOffset>
                </wp:positionH>
                <wp:positionV relativeFrom="page">
                  <wp:posOffset>0</wp:posOffset>
                </wp:positionV>
                <wp:extent cx="2781300" cy="1949450"/>
                <wp:effectExtent l="0" t="0" r="0" b="0"/>
                <wp:wrapNone/>
                <wp:docPr id="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3352" cy="1950888"/>
                        </a:xfrm>
                        <a:prstGeom prst="rect">
                          <a:avLst/>
                        </a:prstGeom>
                        <a:ln w="12700">
                          <a:noFill/>
                        </a:ln>
                      </pic:spPr>
                    </pic:pic>
                  </a:graphicData>
                </a:graphic>
                <wp14:sizeRelH relativeFrom="margin">
                  <wp14:pctWidth>0</wp14:pctWidth>
                </wp14:sizeRelH>
                <wp14:sizeRelV relativeFrom="margin">
                  <wp14:pctHeight>0</wp14:pctHeight>
                </wp14:sizeRelV>
              </wp:anchor>
            </w:drawing>
          </w:r>
        </w:p>
        <w:p w14:paraId="532AFD8F" w14:textId="58B2263A" w:rsidR="00074D9C" w:rsidRDefault="002F540F">
          <w:r>
            <w:rPr>
              <w:noProof/>
            </w:rPr>
            <mc:AlternateContent>
              <mc:Choice Requires="wps">
                <w:drawing>
                  <wp:anchor distT="0" distB="0" distL="114300" distR="114300" simplePos="0" relativeHeight="251661312" behindDoc="0" locked="0" layoutInCell="0" allowOverlap="1" wp14:anchorId="273C5194" wp14:editId="191A7464">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2066925"/>
                    <wp:effectExtent l="0" t="0" r="15875" b="2857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2066925"/>
                            </a:xfrm>
                            <a:prstGeom prst="rect">
                              <a:avLst/>
                            </a:prstGeom>
                            <a:solidFill>
                              <a:srgbClr val="FF9900"/>
                            </a:solidFill>
                            <a:ln w="19050">
                              <a:solidFill>
                                <a:srgbClr val="00003E"/>
                              </a:solidFill>
                              <a:miter lim="800000"/>
                              <a:headEnd/>
                              <a:tailEnd/>
                            </a:ln>
                          </wps:spPr>
                          <wps:txbx>
                            <w:txbxContent>
                              <w:sdt>
                                <w:sdtPr>
                                  <w:rPr>
                                    <w:rFonts w:ascii="Times New Roman" w:eastAsia="Times New Roman" w:hAnsi="Times New Roman" w:cs="Times New Roman"/>
                                    <w:b/>
                                    <w:bCs/>
                                    <w:color w:val="FFFFFF" w:themeColor="background1"/>
                                    <w:sz w:val="36"/>
                                    <w:szCs w:val="36"/>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22421ED4" w14:textId="512D664E" w:rsidR="00074D9C" w:rsidRPr="002F540F" w:rsidRDefault="002F540F" w:rsidP="002F540F">
                                    <w:pPr>
                                      <w:pStyle w:val="Sansinterligne"/>
                                      <w:jc w:val="center"/>
                                      <w:rPr>
                                        <w:color w:val="FFFFFF" w:themeColor="background1"/>
                                        <w:sz w:val="160"/>
                                        <w:szCs w:val="160"/>
                                      </w:rPr>
                                    </w:pPr>
                                    <w:r w:rsidRPr="002F540F">
                                      <w:rPr>
                                        <w:rFonts w:ascii="Times New Roman" w:eastAsia="Times New Roman" w:hAnsi="Times New Roman" w:cs="Times New Roman"/>
                                        <w:b/>
                                        <w:bCs/>
                                        <w:color w:val="FFFFFF" w:themeColor="background1"/>
                                        <w:sz w:val="36"/>
                                        <w:szCs w:val="36"/>
                                      </w:rPr>
                                      <w:t>RAPPORT D’INTELLIGENCE PRÉDICTIVE</w:t>
                                    </w:r>
                                    <w:r>
                                      <w:rPr>
                                        <w:rFonts w:ascii="Times New Roman" w:eastAsia="Times New Roman" w:hAnsi="Times New Roman" w:cs="Times New Roman"/>
                                        <w:b/>
                                        <w:bCs/>
                                        <w:color w:val="FFFFFF" w:themeColor="background1"/>
                                        <w:sz w:val="36"/>
                                        <w:szCs w:val="36"/>
                                      </w:rPr>
                                      <w:t xml:space="preserve"> : </w:t>
                                    </w:r>
                                    <w:r w:rsidRPr="002F540F">
                                      <w:rPr>
                                        <w:rFonts w:ascii="Times New Roman" w:eastAsia="Times New Roman" w:hAnsi="Times New Roman" w:cs="Times New Roman"/>
                                        <w:b/>
                                        <w:bCs/>
                                        <w:color w:val="FFFFFF" w:themeColor="background1"/>
                                        <w:sz w:val="36"/>
                                        <w:szCs w:val="36"/>
                                      </w:rPr>
                                      <w:t xml:space="preserve">Optimisation de la Rétention Client </w:t>
                                    </w:r>
                                  </w:p>
                                </w:sdtContent>
                              </w:sdt>
                            </w:txbxContent>
                          </wps:txbx>
                          <wps:bodyPr rot="0" vert="horz" wrap="square" lIns="182880" tIns="45720" rIns="182880" bIns="45720" anchor="ctr" anchorCtr="0" upright="1">
                            <a:noAutofit/>
                          </wps:bodyPr>
                        </wps:wsp>
                      </a:graphicData>
                    </a:graphic>
                    <wp14:sizeRelH relativeFrom="page">
                      <wp14:pctWidth>90000</wp14:pctWidth>
                    </wp14:sizeRelH>
                    <wp14:sizeRelV relativeFrom="page">
                      <wp14:pctHeight>0</wp14:pctHeight>
                    </wp14:sizeRelV>
                  </wp:anchor>
                </w:drawing>
              </mc:Choice>
              <mc:Fallback>
                <w:pict>
                  <v:rect w14:anchorId="273C5194" id="Rectangle 16" o:spid="_x0000_s1031" style="position:absolute;margin-left:0;margin-top:0;width:548.85pt;height:162.75pt;z-index:251661312;visibility:visible;mso-wrap-style:square;mso-width-percent:900;mso-height-percent:0;mso-top-percent:250;mso-wrap-distance-left:9pt;mso-wrap-distance-top:0;mso-wrap-distance-right:9pt;mso-wrap-distance-bottom:0;mso-position-horizontal:left;mso-position-horizontal-relative:page;mso-position-vertical-relative:page;mso-width-percent:900;mso-height-percent:0;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" o:allowincell="f" fillcolor="#f90" strokecolor="#00003e" strokeweight="1.5pt">
                    <v:textbox inset="14.4pt,,14.4pt">
                      <w:txbxContent>
                        <w:sdt>
                          <w:sdtPr>
                            <w:rPr>
                              <w:rFonts w:ascii="Times New Roman" w:eastAsia="Times New Roman" w:hAnsi="Times New Roman" w:cs="Times New Roman"/>
                              <w:b/>
                              <w:bCs/>
                              <w:color w:val="FFFFFF" w:themeColor="background1"/>
                              <w:sz w:val="36"/>
                              <w:szCs w:val="36"/>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22421ED4" w14:textId="512D664E" w:rsidR="00074D9C" w:rsidRPr="002F540F" w:rsidRDefault="002F540F" w:rsidP="002F540F">
                              <w:pPr>
                                <w:pStyle w:val="Sansinterligne"/>
                                <w:jc w:val="center"/>
                                <w:rPr>
                                  <w:color w:val="FFFFFF" w:themeColor="background1"/>
                                  <w:sz w:val="160"/>
                                  <w:szCs w:val="160"/>
                                </w:rPr>
                              </w:pPr>
                              <w:r w:rsidRPr="002F540F">
                                <w:rPr>
                                  <w:rFonts w:ascii="Times New Roman" w:eastAsia="Times New Roman" w:hAnsi="Times New Roman" w:cs="Times New Roman"/>
                                  <w:b/>
                                  <w:bCs/>
                                  <w:color w:val="FFFFFF" w:themeColor="background1"/>
                                  <w:sz w:val="36"/>
                                  <w:szCs w:val="36"/>
                                </w:rPr>
                                <w:t>RAPPORT D’INTELLIGENCE PRÉDICTIVE</w:t>
                              </w:r>
                              <w:r>
                                <w:rPr>
                                  <w:rFonts w:ascii="Times New Roman" w:eastAsia="Times New Roman" w:hAnsi="Times New Roman" w:cs="Times New Roman"/>
                                  <w:b/>
                                  <w:bCs/>
                                  <w:color w:val="FFFFFF" w:themeColor="background1"/>
                                  <w:sz w:val="36"/>
                                  <w:szCs w:val="36"/>
                                </w:rPr>
                                <w:t xml:space="preserve"> : </w:t>
                              </w:r>
                              <w:r w:rsidRPr="002F540F">
                                <w:rPr>
                                  <w:rFonts w:ascii="Times New Roman" w:eastAsia="Times New Roman" w:hAnsi="Times New Roman" w:cs="Times New Roman"/>
                                  <w:b/>
                                  <w:bCs/>
                                  <w:color w:val="FFFFFF" w:themeColor="background1"/>
                                  <w:sz w:val="36"/>
                                  <w:szCs w:val="36"/>
                                </w:rPr>
                                <w:t xml:space="preserve">Optimisation de la Rétention Client </w:t>
                              </w:r>
                            </w:p>
                          </w:sdtContent>
                        </w:sdt>
                      </w:txbxContent>
                    </v:textbox>
                    <w10:wrap anchorx="page" anchory="page"/>
                  </v:rect>
                </w:pict>
              </mc:Fallback>
            </mc:AlternateContent>
          </w:r>
          <w:r w:rsidR="00074D9C">
            <w:br w:type="page"/>
          </w:r>
        </w:p>
      </w:sdtContent>
    </w:sdt>
    <w:p w14:paraId="394582B0" w14:textId="77777777" w:rsidR="00074D9C" w:rsidRPr="00066808" w:rsidRDefault="00074D9C" w:rsidP="00066808">
      <w:pPr>
        <w:pStyle w:val="Titre1"/>
        <w:rPr>
          <w:rFonts w:ascii="Garamond" w:eastAsia="Times New Roman" w:hAnsi="Garamond"/>
          <w:b/>
          <w:bCs/>
          <w:sz w:val="36"/>
          <w:szCs w:val="36"/>
          <w:lang w:eastAsia="fr-FR"/>
        </w:rPr>
      </w:pPr>
      <w:r w:rsidRPr="00066808">
        <w:rPr>
          <w:rFonts w:ascii="Garamond" w:eastAsia="Times New Roman" w:hAnsi="Garamond"/>
          <w:b/>
          <w:bCs/>
          <w:sz w:val="36"/>
          <w:szCs w:val="36"/>
          <w:lang w:eastAsia="fr-FR"/>
        </w:rPr>
        <w:lastRenderedPageBreak/>
        <w:t>I. Introduction &amp; Contexte Projet</w:t>
      </w:r>
    </w:p>
    <w:p w14:paraId="3AB35DF9" w14:textId="77777777" w:rsidR="00074D9C" w:rsidRPr="00074D9C" w:rsidRDefault="00074D9C" w:rsidP="00074D9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sz w:val="24"/>
          <w:szCs w:val="24"/>
          <w:lang w:eastAsia="fr-FR"/>
        </w:rPr>
        <w:t xml:space="preserve">Sur les marchés de commodités saturés tels que les télécommunications, le coût d'acquisition d'un nouveau client dépasse de </w:t>
      </w:r>
      <w:r w:rsidRPr="00074D9C">
        <w:rPr>
          <w:rFonts w:ascii="Times New Roman" w:eastAsia="Times New Roman" w:hAnsi="Times New Roman" w:cs="Times New Roman"/>
          <w:b/>
          <w:bCs/>
          <w:sz w:val="24"/>
          <w:szCs w:val="24"/>
          <w:lang w:eastAsia="fr-FR"/>
        </w:rPr>
        <w:t>5 à 7 fois</w:t>
      </w:r>
      <w:r w:rsidRPr="00074D9C">
        <w:rPr>
          <w:rFonts w:ascii="Times New Roman" w:eastAsia="Times New Roman" w:hAnsi="Times New Roman" w:cs="Times New Roman"/>
          <w:sz w:val="24"/>
          <w:szCs w:val="24"/>
          <w:lang w:eastAsia="fr-FR"/>
        </w:rPr>
        <w:t xml:space="preserve"> le coût de rétention d'un client existant. L'érosion de la base clients (</w:t>
      </w:r>
      <w:proofErr w:type="spellStart"/>
      <w:r w:rsidRPr="00074D9C">
        <w:rPr>
          <w:rFonts w:ascii="Times New Roman" w:eastAsia="Times New Roman" w:hAnsi="Times New Roman" w:cs="Times New Roman"/>
          <w:i/>
          <w:iCs/>
          <w:sz w:val="24"/>
          <w:szCs w:val="24"/>
          <w:lang w:eastAsia="fr-FR"/>
        </w:rPr>
        <w:t>churn</w:t>
      </w:r>
      <w:proofErr w:type="spellEnd"/>
      <w:r w:rsidRPr="00074D9C">
        <w:rPr>
          <w:rFonts w:ascii="Times New Roman" w:eastAsia="Times New Roman" w:hAnsi="Times New Roman" w:cs="Times New Roman"/>
          <w:sz w:val="24"/>
          <w:szCs w:val="24"/>
          <w:lang w:eastAsia="fr-FR"/>
        </w:rPr>
        <w:t>) constitue un vecteur direct de destruction de valeur, impactant non seulement le chiffre d'affaires récurrent, mais dégradant également la marge opérationnelle brute de l'entreprise.</w:t>
      </w:r>
    </w:p>
    <w:p w14:paraId="0E28F09A" w14:textId="63ECB36E" w:rsidR="00074D9C" w:rsidRDefault="00074D9C" w:rsidP="00074D9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sz w:val="24"/>
          <w:szCs w:val="24"/>
          <w:lang w:eastAsia="fr-FR"/>
        </w:rPr>
        <w:t xml:space="preserve">Ce projet formalise le déploiement d'une solution d'intelligence artificielle de bout en bout. L'objectif est de substituer une approche de gestion client réactive par un protocole d'infrastructure </w:t>
      </w:r>
      <w:r w:rsidRPr="00074D9C">
        <w:rPr>
          <w:rFonts w:ascii="Times New Roman" w:eastAsia="Times New Roman" w:hAnsi="Times New Roman" w:cs="Times New Roman"/>
          <w:b/>
          <w:bCs/>
          <w:sz w:val="24"/>
          <w:szCs w:val="24"/>
          <w:lang w:eastAsia="fr-FR"/>
        </w:rPr>
        <w:t>anticipatif</w:t>
      </w:r>
      <w:r w:rsidRPr="00074D9C">
        <w:rPr>
          <w:rFonts w:ascii="Times New Roman" w:eastAsia="Times New Roman" w:hAnsi="Times New Roman" w:cs="Times New Roman"/>
          <w:sz w:val="24"/>
          <w:szCs w:val="24"/>
          <w:lang w:eastAsia="fr-FR"/>
        </w:rPr>
        <w:t>, capable d'isoler les signaux faibles de rupture contractuelle avant leur matérialisation effective.</w:t>
      </w:r>
    </w:p>
    <w:p w14:paraId="0AAC73CE" w14:textId="77777777" w:rsidR="00074D9C" w:rsidRDefault="00074D9C">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53A300F0" w14:textId="77777777" w:rsidR="00074D9C" w:rsidRPr="00074D9C" w:rsidRDefault="00074D9C" w:rsidP="00074D9C">
      <w:pPr>
        <w:spacing w:before="100" w:beforeAutospacing="1" w:after="100" w:afterAutospacing="1" w:line="360" w:lineRule="auto"/>
        <w:jc w:val="both"/>
        <w:outlineLvl w:val="2"/>
        <w:rPr>
          <w:rFonts w:ascii="Garamond" w:eastAsia="Times New Roman" w:hAnsi="Garamond" w:cstheme="majorBidi"/>
          <w:b/>
          <w:bCs/>
          <w:color w:val="2F5496" w:themeColor="accent1" w:themeShade="BF"/>
          <w:sz w:val="36"/>
          <w:szCs w:val="36"/>
          <w:lang w:eastAsia="fr-FR"/>
        </w:rPr>
      </w:pPr>
      <w:r w:rsidRPr="00074D9C">
        <w:rPr>
          <w:rFonts w:ascii="Garamond" w:eastAsia="Times New Roman" w:hAnsi="Garamond" w:cstheme="majorBidi"/>
          <w:b/>
          <w:bCs/>
          <w:color w:val="2F5496" w:themeColor="accent1" w:themeShade="BF"/>
          <w:sz w:val="36"/>
          <w:szCs w:val="36"/>
          <w:lang w:eastAsia="fr-FR"/>
        </w:rPr>
        <w:lastRenderedPageBreak/>
        <w:t>II. Problématique Métier</w:t>
      </w:r>
    </w:p>
    <w:p w14:paraId="2F67CB7C" w14:textId="77777777" w:rsidR="00074D9C" w:rsidRPr="00074D9C" w:rsidRDefault="00074D9C" w:rsidP="00074D9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sz w:val="24"/>
          <w:szCs w:val="24"/>
          <w:lang w:eastAsia="fr-FR"/>
        </w:rPr>
        <w:t>La problématique se décline autour de trois axes cardinaux :</w:t>
      </w:r>
    </w:p>
    <w:p w14:paraId="3BF614C9" w14:textId="77777777" w:rsidR="00074D9C" w:rsidRPr="00074D9C" w:rsidRDefault="00074D9C" w:rsidP="00074D9C">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Identification précoce :</w:t>
      </w:r>
      <w:r w:rsidRPr="00074D9C">
        <w:rPr>
          <w:rFonts w:ascii="Times New Roman" w:eastAsia="Times New Roman" w:hAnsi="Times New Roman" w:cs="Times New Roman"/>
          <w:sz w:val="24"/>
          <w:szCs w:val="24"/>
          <w:lang w:eastAsia="fr-FR"/>
        </w:rPr>
        <w:t xml:space="preserve"> Comment détecter les segments clients à haut risque d'attrition à partir de données comportementales et de facturation hétérogènes ?</w:t>
      </w:r>
    </w:p>
    <w:p w14:paraId="6A883A75" w14:textId="77777777" w:rsidR="00074D9C" w:rsidRPr="00074D9C" w:rsidRDefault="00074D9C" w:rsidP="00074D9C">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Explicabilité rigoureuse :</w:t>
      </w:r>
      <w:r w:rsidRPr="00074D9C">
        <w:rPr>
          <w:rFonts w:ascii="Times New Roman" w:eastAsia="Times New Roman" w:hAnsi="Times New Roman" w:cs="Times New Roman"/>
          <w:sz w:val="24"/>
          <w:szCs w:val="24"/>
          <w:lang w:eastAsia="fr-FR"/>
        </w:rPr>
        <w:t xml:space="preserve"> Quel facteur (infrastructure, type d'engagement, support technique) déclenche l'intention de départ, afin d'éviter l'effet « boîte noire » des algorithmes ?</w:t>
      </w:r>
    </w:p>
    <w:p w14:paraId="073799BC" w14:textId="418661DB" w:rsidR="00074D9C" w:rsidRDefault="00074D9C" w:rsidP="00074D9C">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Arbitrage budgétaire :</w:t>
      </w:r>
      <w:r w:rsidRPr="00074D9C">
        <w:rPr>
          <w:rFonts w:ascii="Times New Roman" w:eastAsia="Times New Roman" w:hAnsi="Times New Roman" w:cs="Times New Roman"/>
          <w:sz w:val="24"/>
          <w:szCs w:val="24"/>
          <w:lang w:eastAsia="fr-FR"/>
        </w:rPr>
        <w:t xml:space="preserve"> Comment maximiser le Retour sur Investissement (ROI) des campagnes de rétention en ciblant exclusivement les clients à forte valeur pour lesquels une action commerciale est mathématiquement justifiable ?</w:t>
      </w:r>
    </w:p>
    <w:p w14:paraId="7410BF43" w14:textId="460F86F0" w:rsidR="00074D9C" w:rsidRPr="00074D9C" w:rsidRDefault="00074D9C" w:rsidP="00074D9C">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7B11851B" w14:textId="77777777" w:rsidR="00074D9C" w:rsidRPr="00074D9C" w:rsidRDefault="00074D9C" w:rsidP="00074D9C">
      <w:pPr>
        <w:spacing w:before="100" w:beforeAutospacing="1" w:after="100" w:afterAutospacing="1" w:line="360" w:lineRule="auto"/>
        <w:jc w:val="both"/>
        <w:outlineLvl w:val="2"/>
        <w:rPr>
          <w:rFonts w:ascii="Garamond" w:eastAsia="Times New Roman" w:hAnsi="Garamond" w:cstheme="majorBidi"/>
          <w:b/>
          <w:bCs/>
          <w:color w:val="2F5496" w:themeColor="accent1" w:themeShade="BF"/>
          <w:sz w:val="36"/>
          <w:szCs w:val="36"/>
          <w:lang w:eastAsia="fr-FR"/>
        </w:rPr>
      </w:pPr>
      <w:r w:rsidRPr="00074D9C">
        <w:rPr>
          <w:rFonts w:ascii="Garamond" w:eastAsia="Times New Roman" w:hAnsi="Garamond" w:cstheme="majorBidi"/>
          <w:b/>
          <w:bCs/>
          <w:color w:val="2F5496" w:themeColor="accent1" w:themeShade="BF"/>
          <w:sz w:val="36"/>
          <w:szCs w:val="36"/>
          <w:lang w:eastAsia="fr-FR"/>
        </w:rPr>
        <w:lastRenderedPageBreak/>
        <w:t>III. Méthodologie Scientifique &amp; Flux de Données</w:t>
      </w:r>
    </w:p>
    <w:p w14:paraId="6A2C4568" w14:textId="77777777" w:rsidR="00074D9C" w:rsidRPr="00074D9C" w:rsidRDefault="00074D9C" w:rsidP="00074D9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sz w:val="24"/>
          <w:szCs w:val="24"/>
          <w:lang w:eastAsia="fr-FR"/>
        </w:rPr>
        <w:t>Afin de garantir la robustesse des résultats, le projet s'appuie sur une architecture hybride standardisée :</w:t>
      </w:r>
    </w:p>
    <w:p w14:paraId="3F6F9680" w14:textId="77777777" w:rsidR="00074D9C" w:rsidRPr="00074D9C" w:rsidRDefault="00074D9C" w:rsidP="00074D9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Ingestion &amp; Nettoyage (Python) :</w:t>
      </w:r>
      <w:r w:rsidRPr="00074D9C">
        <w:rPr>
          <w:rFonts w:ascii="Times New Roman" w:eastAsia="Times New Roman" w:hAnsi="Times New Roman" w:cs="Times New Roman"/>
          <w:sz w:val="24"/>
          <w:szCs w:val="24"/>
          <w:lang w:eastAsia="fr-FR"/>
        </w:rPr>
        <w:t xml:space="preserve"> Traitement des valeurs manquantes, encodage des structures catégorielles complexes, alignement des index et gestion native du déséquilibre de classes via des techniques de pondération statistique (</w:t>
      </w:r>
      <w:proofErr w:type="spellStart"/>
      <w:r w:rsidRPr="00074D9C">
        <w:rPr>
          <w:rFonts w:ascii="Times New Roman" w:eastAsia="Times New Roman" w:hAnsi="Times New Roman" w:cs="Times New Roman"/>
          <w:sz w:val="24"/>
          <w:szCs w:val="24"/>
          <w:lang w:eastAsia="fr-FR"/>
        </w:rPr>
        <w:t>scale_pos_weight</w:t>
      </w:r>
      <w:proofErr w:type="spellEnd"/>
      <w:r w:rsidRPr="00074D9C">
        <w:rPr>
          <w:rFonts w:ascii="Times New Roman" w:eastAsia="Times New Roman" w:hAnsi="Times New Roman" w:cs="Times New Roman"/>
          <w:sz w:val="24"/>
          <w:szCs w:val="24"/>
          <w:lang w:eastAsia="fr-FR"/>
        </w:rPr>
        <w:t>).</w:t>
      </w:r>
    </w:p>
    <w:p w14:paraId="36ED7FAC" w14:textId="77777777" w:rsidR="00074D9C" w:rsidRPr="00074D9C" w:rsidRDefault="00074D9C" w:rsidP="00074D9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Modélisation Championne (</w:t>
      </w:r>
      <w:proofErr w:type="spellStart"/>
      <w:r w:rsidRPr="00074D9C">
        <w:rPr>
          <w:rFonts w:ascii="Times New Roman" w:eastAsia="Times New Roman" w:hAnsi="Times New Roman" w:cs="Times New Roman"/>
          <w:b/>
          <w:bCs/>
          <w:sz w:val="24"/>
          <w:szCs w:val="24"/>
          <w:lang w:eastAsia="fr-FR"/>
        </w:rPr>
        <w:t>XGBoost</w:t>
      </w:r>
      <w:proofErr w:type="spellEnd"/>
      <w:r w:rsidRPr="00074D9C">
        <w:rPr>
          <w:rFonts w:ascii="Times New Roman" w:eastAsia="Times New Roman" w:hAnsi="Times New Roman" w:cs="Times New Roman"/>
          <w:b/>
          <w:bCs/>
          <w:sz w:val="24"/>
          <w:szCs w:val="24"/>
          <w:lang w:eastAsia="fr-FR"/>
        </w:rPr>
        <w:t xml:space="preserve"> Classifier) :</w:t>
      </w:r>
      <w:r w:rsidRPr="00074D9C">
        <w:rPr>
          <w:rFonts w:ascii="Times New Roman" w:eastAsia="Times New Roman" w:hAnsi="Times New Roman" w:cs="Times New Roman"/>
          <w:sz w:val="24"/>
          <w:szCs w:val="24"/>
          <w:lang w:eastAsia="fr-FR"/>
        </w:rPr>
        <w:t xml:space="preserve"> Choix d'un algorithme d'arbres de décision stimulés par gradient (</w:t>
      </w:r>
      <w:r w:rsidRPr="00074D9C">
        <w:rPr>
          <w:rFonts w:ascii="Times New Roman" w:eastAsia="Times New Roman" w:hAnsi="Times New Roman" w:cs="Times New Roman"/>
          <w:i/>
          <w:iCs/>
          <w:sz w:val="24"/>
          <w:szCs w:val="24"/>
          <w:lang w:eastAsia="fr-FR"/>
        </w:rPr>
        <w:t xml:space="preserve">Gradient </w:t>
      </w:r>
      <w:proofErr w:type="spellStart"/>
      <w:r w:rsidRPr="00074D9C">
        <w:rPr>
          <w:rFonts w:ascii="Times New Roman" w:eastAsia="Times New Roman" w:hAnsi="Times New Roman" w:cs="Times New Roman"/>
          <w:i/>
          <w:iCs/>
          <w:sz w:val="24"/>
          <w:szCs w:val="24"/>
          <w:lang w:eastAsia="fr-FR"/>
        </w:rPr>
        <w:t>Boosting</w:t>
      </w:r>
      <w:proofErr w:type="spellEnd"/>
      <w:r w:rsidRPr="00074D9C">
        <w:rPr>
          <w:rFonts w:ascii="Times New Roman" w:eastAsia="Times New Roman" w:hAnsi="Times New Roman" w:cs="Times New Roman"/>
          <w:sz w:val="24"/>
          <w:szCs w:val="24"/>
          <w:lang w:eastAsia="fr-FR"/>
        </w:rPr>
        <w:t>), optimisé pour capturer les interactions non linéaires entre les variables de consommation.</w:t>
      </w:r>
    </w:p>
    <w:p w14:paraId="5047B4C9" w14:textId="77777777" w:rsidR="00074D9C" w:rsidRPr="00074D9C" w:rsidRDefault="00074D9C" w:rsidP="00074D9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Explicabilité Actuarielle (SHAP Framework) :</w:t>
      </w:r>
      <w:r w:rsidRPr="00074D9C">
        <w:rPr>
          <w:rFonts w:ascii="Times New Roman" w:eastAsia="Times New Roman" w:hAnsi="Times New Roman" w:cs="Times New Roman"/>
          <w:sz w:val="24"/>
          <w:szCs w:val="24"/>
          <w:lang w:eastAsia="fr-FR"/>
        </w:rPr>
        <w:t xml:space="preserve"> Recours aux valeurs de Shapley issues de la théorie des jeux pour distribuer équitablement la contribution de chaque descripteur sur le score de risque individuel.</w:t>
      </w:r>
    </w:p>
    <w:p w14:paraId="69EF71E9" w14:textId="670B84A7" w:rsidR="00074D9C" w:rsidRDefault="00074D9C" w:rsidP="00074D9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 xml:space="preserve">Restitution Managériale (R </w:t>
      </w:r>
      <w:proofErr w:type="spellStart"/>
      <w:r w:rsidRPr="00074D9C">
        <w:rPr>
          <w:rFonts w:ascii="Times New Roman" w:eastAsia="Times New Roman" w:hAnsi="Times New Roman" w:cs="Times New Roman"/>
          <w:b/>
          <w:bCs/>
          <w:sz w:val="24"/>
          <w:szCs w:val="24"/>
          <w:lang w:eastAsia="fr-FR"/>
        </w:rPr>
        <w:t>Shiny</w:t>
      </w:r>
      <w:proofErr w:type="spellEnd"/>
      <w:r w:rsidRPr="00074D9C">
        <w:rPr>
          <w:rFonts w:ascii="Times New Roman" w:eastAsia="Times New Roman" w:hAnsi="Times New Roman" w:cs="Times New Roman"/>
          <w:b/>
          <w:bCs/>
          <w:sz w:val="24"/>
          <w:szCs w:val="24"/>
          <w:lang w:eastAsia="fr-FR"/>
        </w:rPr>
        <w:t xml:space="preserve"> UI) :</w:t>
      </w:r>
      <w:r w:rsidRPr="00074D9C">
        <w:rPr>
          <w:rFonts w:ascii="Times New Roman" w:eastAsia="Times New Roman" w:hAnsi="Times New Roman" w:cs="Times New Roman"/>
          <w:sz w:val="24"/>
          <w:szCs w:val="24"/>
          <w:lang w:eastAsia="fr-FR"/>
        </w:rPr>
        <w:t xml:space="preserve"> Traduction des vecteurs de probabilités Python en un tableau de bord exécutif et dynamique interactif.</w:t>
      </w:r>
    </w:p>
    <w:p w14:paraId="3FECD5A2" w14:textId="77777777" w:rsidR="00074D9C" w:rsidRDefault="00074D9C">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21F1F141" w14:textId="77777777" w:rsidR="00074D9C" w:rsidRPr="00074D9C" w:rsidRDefault="00074D9C" w:rsidP="00074D9C">
      <w:pPr>
        <w:spacing w:before="100" w:beforeAutospacing="1" w:after="100" w:afterAutospacing="1" w:line="360" w:lineRule="auto"/>
        <w:jc w:val="both"/>
        <w:outlineLvl w:val="2"/>
        <w:rPr>
          <w:rFonts w:ascii="Garamond" w:eastAsia="Times New Roman" w:hAnsi="Garamond" w:cstheme="majorBidi"/>
          <w:b/>
          <w:bCs/>
          <w:color w:val="2F5496" w:themeColor="accent1" w:themeShade="BF"/>
          <w:sz w:val="36"/>
          <w:szCs w:val="36"/>
          <w:lang w:eastAsia="fr-FR"/>
        </w:rPr>
      </w:pPr>
      <w:r w:rsidRPr="00074D9C">
        <w:rPr>
          <w:rFonts w:ascii="Garamond" w:eastAsia="Times New Roman" w:hAnsi="Garamond" w:cstheme="majorBidi"/>
          <w:b/>
          <w:bCs/>
          <w:color w:val="2F5496" w:themeColor="accent1" w:themeShade="BF"/>
          <w:sz w:val="36"/>
          <w:szCs w:val="36"/>
          <w:lang w:eastAsia="fr-FR"/>
        </w:rPr>
        <w:lastRenderedPageBreak/>
        <w:t>IV. Résultats Clés &amp; Performances du Modèle</w:t>
      </w:r>
    </w:p>
    <w:p w14:paraId="59C11CE2" w14:textId="77777777" w:rsidR="00074D9C" w:rsidRPr="00074D9C" w:rsidRDefault="00074D9C" w:rsidP="00074D9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sz w:val="24"/>
          <w:szCs w:val="24"/>
          <w:lang w:eastAsia="fr-FR"/>
        </w:rPr>
        <w:t>L'évaluation du modèle sur le jeu de données de test indépendant démontre des capacités de généralisation hautement compétitives :</w:t>
      </w:r>
    </w:p>
    <w:p w14:paraId="607DF4DF" w14:textId="77777777" w:rsidR="00074D9C" w:rsidRPr="00074D9C" w:rsidRDefault="00074D9C" w:rsidP="00074D9C">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Pouvoir Discriminant (AUC - ROC) :</w:t>
      </w:r>
      <w:r w:rsidRPr="00074D9C">
        <w:rPr>
          <w:rFonts w:ascii="Times New Roman" w:eastAsia="Times New Roman" w:hAnsi="Times New Roman" w:cs="Times New Roman"/>
          <w:sz w:val="24"/>
          <w:szCs w:val="24"/>
          <w:lang w:eastAsia="fr-FR"/>
        </w:rPr>
        <w:t xml:space="preserve"> Le modèle atteint une performance globale de premier plan, matérialisant une excellente capacité à séparer la clientèle stable de la clientèle volatile.</w:t>
      </w:r>
    </w:p>
    <w:p w14:paraId="5B2808FE" w14:textId="77777777" w:rsidR="00074D9C" w:rsidRPr="00074D9C" w:rsidRDefault="00074D9C" w:rsidP="00074D9C">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Matrice de Confusion Épurée :</w:t>
      </w:r>
      <w:r w:rsidRPr="00074D9C">
        <w:rPr>
          <w:rFonts w:ascii="Times New Roman" w:eastAsia="Times New Roman" w:hAnsi="Times New Roman" w:cs="Times New Roman"/>
          <w:sz w:val="24"/>
          <w:szCs w:val="24"/>
          <w:lang w:eastAsia="fr-FR"/>
        </w:rPr>
        <w:t xml:space="preserve"> Le taux de détection (</w:t>
      </w:r>
      <w:proofErr w:type="spellStart"/>
      <w:r w:rsidRPr="00074D9C">
        <w:rPr>
          <w:rFonts w:ascii="Times New Roman" w:eastAsia="Times New Roman" w:hAnsi="Times New Roman" w:cs="Times New Roman"/>
          <w:i/>
          <w:iCs/>
          <w:sz w:val="24"/>
          <w:szCs w:val="24"/>
          <w:lang w:eastAsia="fr-FR"/>
        </w:rPr>
        <w:t>Recall</w:t>
      </w:r>
      <w:proofErr w:type="spellEnd"/>
      <w:r w:rsidRPr="00074D9C">
        <w:rPr>
          <w:rFonts w:ascii="Times New Roman" w:eastAsia="Times New Roman" w:hAnsi="Times New Roman" w:cs="Times New Roman"/>
          <w:sz w:val="24"/>
          <w:szCs w:val="24"/>
          <w:lang w:eastAsia="fr-FR"/>
        </w:rPr>
        <w:t xml:space="preserve">) a été volontairement privilégié pour capturer plus de </w:t>
      </w:r>
      <w:r w:rsidRPr="00074D9C">
        <w:rPr>
          <w:rFonts w:ascii="Times New Roman" w:eastAsia="Times New Roman" w:hAnsi="Times New Roman" w:cs="Times New Roman"/>
          <w:b/>
          <w:bCs/>
          <w:sz w:val="24"/>
          <w:szCs w:val="24"/>
          <w:lang w:eastAsia="fr-FR"/>
        </w:rPr>
        <w:t xml:space="preserve">80% du </w:t>
      </w:r>
      <w:proofErr w:type="spellStart"/>
      <w:r w:rsidRPr="00074D9C">
        <w:rPr>
          <w:rFonts w:ascii="Times New Roman" w:eastAsia="Times New Roman" w:hAnsi="Times New Roman" w:cs="Times New Roman"/>
          <w:b/>
          <w:bCs/>
          <w:sz w:val="24"/>
          <w:szCs w:val="24"/>
          <w:lang w:eastAsia="fr-FR"/>
        </w:rPr>
        <w:t>churn</w:t>
      </w:r>
      <w:proofErr w:type="spellEnd"/>
      <w:r w:rsidRPr="00074D9C">
        <w:rPr>
          <w:rFonts w:ascii="Times New Roman" w:eastAsia="Times New Roman" w:hAnsi="Times New Roman" w:cs="Times New Roman"/>
          <w:b/>
          <w:bCs/>
          <w:sz w:val="24"/>
          <w:szCs w:val="24"/>
          <w:lang w:eastAsia="fr-FR"/>
        </w:rPr>
        <w:t xml:space="preserve"> réel</w:t>
      </w:r>
      <w:r w:rsidRPr="00074D9C">
        <w:rPr>
          <w:rFonts w:ascii="Times New Roman" w:eastAsia="Times New Roman" w:hAnsi="Times New Roman" w:cs="Times New Roman"/>
          <w:sz w:val="24"/>
          <w:szCs w:val="24"/>
          <w:lang w:eastAsia="fr-FR"/>
        </w:rPr>
        <w:t>, minimisant le risque opérationnel de passer à côté d'une résiliation imminente.</w:t>
      </w:r>
    </w:p>
    <w:p w14:paraId="29EDED63" w14:textId="77777777" w:rsidR="00074D9C" w:rsidRPr="00074D9C" w:rsidRDefault="00074D9C" w:rsidP="00074D9C">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 xml:space="preserve">Top 3 des Facteurs Clés d'Attrition (SHAP </w:t>
      </w:r>
      <w:proofErr w:type="spellStart"/>
      <w:r w:rsidRPr="00074D9C">
        <w:rPr>
          <w:rFonts w:ascii="Times New Roman" w:eastAsia="Times New Roman" w:hAnsi="Times New Roman" w:cs="Times New Roman"/>
          <w:b/>
          <w:bCs/>
          <w:sz w:val="24"/>
          <w:szCs w:val="24"/>
          <w:lang w:eastAsia="fr-FR"/>
        </w:rPr>
        <w:t>Analysis</w:t>
      </w:r>
      <w:proofErr w:type="spellEnd"/>
      <w:r w:rsidRPr="00074D9C">
        <w:rPr>
          <w:rFonts w:ascii="Times New Roman" w:eastAsia="Times New Roman" w:hAnsi="Times New Roman" w:cs="Times New Roman"/>
          <w:b/>
          <w:bCs/>
          <w:sz w:val="24"/>
          <w:szCs w:val="24"/>
          <w:lang w:eastAsia="fr-FR"/>
        </w:rPr>
        <w:t>) :</w:t>
      </w:r>
    </w:p>
    <w:p w14:paraId="27B8C522" w14:textId="77777777" w:rsidR="00074D9C" w:rsidRPr="00074D9C" w:rsidRDefault="00074D9C" w:rsidP="00074D9C">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i/>
          <w:iCs/>
          <w:sz w:val="24"/>
          <w:szCs w:val="24"/>
          <w:lang w:eastAsia="fr-FR"/>
        </w:rPr>
        <w:t>Type de contrat :</w:t>
      </w:r>
      <w:r w:rsidRPr="00074D9C">
        <w:rPr>
          <w:rFonts w:ascii="Times New Roman" w:eastAsia="Times New Roman" w:hAnsi="Times New Roman" w:cs="Times New Roman"/>
          <w:sz w:val="24"/>
          <w:szCs w:val="24"/>
          <w:lang w:eastAsia="fr-FR"/>
        </w:rPr>
        <w:t xml:space="preserve"> Les engagements au mois (</w:t>
      </w:r>
      <w:proofErr w:type="spellStart"/>
      <w:r w:rsidRPr="00074D9C">
        <w:rPr>
          <w:rFonts w:ascii="Times New Roman" w:eastAsia="Times New Roman" w:hAnsi="Times New Roman" w:cs="Times New Roman"/>
          <w:i/>
          <w:iCs/>
          <w:sz w:val="24"/>
          <w:szCs w:val="24"/>
          <w:lang w:eastAsia="fr-FR"/>
        </w:rPr>
        <w:t>Month</w:t>
      </w:r>
      <w:proofErr w:type="spellEnd"/>
      <w:r w:rsidRPr="00074D9C">
        <w:rPr>
          <w:rFonts w:ascii="Times New Roman" w:eastAsia="Times New Roman" w:hAnsi="Times New Roman" w:cs="Times New Roman"/>
          <w:i/>
          <w:iCs/>
          <w:sz w:val="24"/>
          <w:szCs w:val="24"/>
          <w:lang w:eastAsia="fr-FR"/>
        </w:rPr>
        <w:t>-to-</w:t>
      </w:r>
      <w:proofErr w:type="spellStart"/>
      <w:r w:rsidRPr="00074D9C">
        <w:rPr>
          <w:rFonts w:ascii="Times New Roman" w:eastAsia="Times New Roman" w:hAnsi="Times New Roman" w:cs="Times New Roman"/>
          <w:i/>
          <w:iCs/>
          <w:sz w:val="24"/>
          <w:szCs w:val="24"/>
          <w:lang w:eastAsia="fr-FR"/>
        </w:rPr>
        <w:t>month</w:t>
      </w:r>
      <w:proofErr w:type="spellEnd"/>
      <w:r w:rsidRPr="00074D9C">
        <w:rPr>
          <w:rFonts w:ascii="Times New Roman" w:eastAsia="Times New Roman" w:hAnsi="Times New Roman" w:cs="Times New Roman"/>
          <w:sz w:val="24"/>
          <w:szCs w:val="24"/>
          <w:lang w:eastAsia="fr-FR"/>
        </w:rPr>
        <w:t>) sur-contribuent massivement au risque.</w:t>
      </w:r>
    </w:p>
    <w:p w14:paraId="766F7ED7" w14:textId="77777777" w:rsidR="00074D9C" w:rsidRPr="00074D9C" w:rsidRDefault="00074D9C" w:rsidP="00074D9C">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i/>
          <w:iCs/>
          <w:sz w:val="24"/>
          <w:szCs w:val="24"/>
          <w:lang w:eastAsia="fr-FR"/>
        </w:rPr>
        <w:t>Technologie Internet :</w:t>
      </w:r>
      <w:r w:rsidRPr="00074D9C">
        <w:rPr>
          <w:rFonts w:ascii="Times New Roman" w:eastAsia="Times New Roman" w:hAnsi="Times New Roman" w:cs="Times New Roman"/>
          <w:sz w:val="24"/>
          <w:szCs w:val="24"/>
          <w:lang w:eastAsia="fr-FR"/>
        </w:rPr>
        <w:t xml:space="preserve"> La transition vers la Fibre Optique montre un niveau d'insatisfaction relative élevé (frais de déploiement ou sensibilité aux coupures).</w:t>
      </w:r>
    </w:p>
    <w:p w14:paraId="2E6207FA" w14:textId="0C71A52F" w:rsidR="00074D9C" w:rsidRDefault="00074D9C" w:rsidP="00074D9C">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i/>
          <w:iCs/>
          <w:sz w:val="24"/>
          <w:szCs w:val="24"/>
          <w:lang w:eastAsia="fr-FR"/>
        </w:rPr>
        <w:t>Absence de Support Technique :</w:t>
      </w:r>
      <w:r w:rsidRPr="00074D9C">
        <w:rPr>
          <w:rFonts w:ascii="Times New Roman" w:eastAsia="Times New Roman" w:hAnsi="Times New Roman" w:cs="Times New Roman"/>
          <w:sz w:val="24"/>
          <w:szCs w:val="24"/>
          <w:lang w:eastAsia="fr-FR"/>
        </w:rPr>
        <w:t xml:space="preserve"> Les profils sans option de support client affichent une fragilité immédiate dès le premier incident.</w:t>
      </w:r>
    </w:p>
    <w:p w14:paraId="6CC9954D" w14:textId="2808F4D3" w:rsidR="00074D9C" w:rsidRPr="00074D9C" w:rsidRDefault="00074D9C" w:rsidP="00074D9C">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01D8BDB1" w14:textId="77777777" w:rsidR="00074D9C" w:rsidRPr="00074D9C" w:rsidRDefault="00074D9C" w:rsidP="00074D9C">
      <w:pPr>
        <w:spacing w:before="100" w:beforeAutospacing="1" w:after="100" w:afterAutospacing="1" w:line="360" w:lineRule="auto"/>
        <w:jc w:val="both"/>
        <w:outlineLvl w:val="2"/>
        <w:rPr>
          <w:rFonts w:ascii="Garamond" w:eastAsia="Times New Roman" w:hAnsi="Garamond" w:cstheme="majorBidi"/>
          <w:b/>
          <w:bCs/>
          <w:color w:val="2F5496" w:themeColor="accent1" w:themeShade="BF"/>
          <w:sz w:val="36"/>
          <w:szCs w:val="36"/>
          <w:lang w:eastAsia="fr-FR"/>
        </w:rPr>
      </w:pPr>
      <w:r w:rsidRPr="00074D9C">
        <w:rPr>
          <w:rFonts w:ascii="Garamond" w:eastAsia="Times New Roman" w:hAnsi="Garamond" w:cstheme="majorBidi"/>
          <w:b/>
          <w:bCs/>
          <w:color w:val="2F5496" w:themeColor="accent1" w:themeShade="BF"/>
          <w:sz w:val="36"/>
          <w:szCs w:val="36"/>
          <w:lang w:eastAsia="fr-FR"/>
        </w:rPr>
        <w:lastRenderedPageBreak/>
        <w:t>V. Recommandations Stratégiques pour le Marketing</w:t>
      </w:r>
    </w:p>
    <w:p w14:paraId="72F1E7CB" w14:textId="77777777" w:rsidR="00074D9C" w:rsidRPr="00074D9C" w:rsidRDefault="00074D9C" w:rsidP="00074D9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sz w:val="24"/>
          <w:szCs w:val="24"/>
          <w:lang w:eastAsia="fr-FR"/>
        </w:rPr>
        <w:t>L'analyse prédictive permet de recommander trois leviers d'action immédiats pour la direction Marketing :</w:t>
      </w:r>
    </w:p>
    <w:p w14:paraId="4556554D" w14:textId="77777777" w:rsidR="00074D9C" w:rsidRPr="00074D9C" w:rsidRDefault="00074D9C" w:rsidP="00074D9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Plan de Migration Contractuelle Systématique :</w:t>
      </w:r>
      <w:r w:rsidRPr="00074D9C">
        <w:rPr>
          <w:rFonts w:ascii="Times New Roman" w:eastAsia="Times New Roman" w:hAnsi="Times New Roman" w:cs="Times New Roman"/>
          <w:sz w:val="24"/>
          <w:szCs w:val="24"/>
          <w:lang w:eastAsia="fr-FR"/>
        </w:rPr>
        <w:t xml:space="preserve"> Mettre en place une campagne proactive d'incitation à l'engagement annuel pour les clients actuellement sous le régime "</w:t>
      </w:r>
      <w:proofErr w:type="spellStart"/>
      <w:r w:rsidRPr="00074D9C">
        <w:rPr>
          <w:rFonts w:ascii="Times New Roman" w:eastAsia="Times New Roman" w:hAnsi="Times New Roman" w:cs="Times New Roman"/>
          <w:sz w:val="24"/>
          <w:szCs w:val="24"/>
          <w:lang w:eastAsia="fr-FR"/>
        </w:rPr>
        <w:t>Month</w:t>
      </w:r>
      <w:proofErr w:type="spellEnd"/>
      <w:r w:rsidRPr="00074D9C">
        <w:rPr>
          <w:rFonts w:ascii="Times New Roman" w:eastAsia="Times New Roman" w:hAnsi="Times New Roman" w:cs="Times New Roman"/>
          <w:sz w:val="24"/>
          <w:szCs w:val="24"/>
          <w:lang w:eastAsia="fr-FR"/>
        </w:rPr>
        <w:t>-to-</w:t>
      </w:r>
      <w:proofErr w:type="spellStart"/>
      <w:r w:rsidRPr="00074D9C">
        <w:rPr>
          <w:rFonts w:ascii="Times New Roman" w:eastAsia="Times New Roman" w:hAnsi="Times New Roman" w:cs="Times New Roman"/>
          <w:sz w:val="24"/>
          <w:szCs w:val="24"/>
          <w:lang w:eastAsia="fr-FR"/>
        </w:rPr>
        <w:t>month</w:t>
      </w:r>
      <w:proofErr w:type="spellEnd"/>
      <w:r w:rsidRPr="00074D9C">
        <w:rPr>
          <w:rFonts w:ascii="Times New Roman" w:eastAsia="Times New Roman" w:hAnsi="Times New Roman" w:cs="Times New Roman"/>
          <w:sz w:val="24"/>
          <w:szCs w:val="24"/>
          <w:lang w:eastAsia="fr-FR"/>
        </w:rPr>
        <w:t>", en proposant un bonus de fidélité compensé par la stabilisation de l'ARPU.</w:t>
      </w:r>
    </w:p>
    <w:p w14:paraId="1C1353CD" w14:textId="77777777" w:rsidR="00074D9C" w:rsidRPr="00074D9C" w:rsidRDefault="00074D9C" w:rsidP="00074D9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Pack de Rétention "Tech-Support" Offert :</w:t>
      </w:r>
      <w:r w:rsidRPr="00074D9C">
        <w:rPr>
          <w:rFonts w:ascii="Times New Roman" w:eastAsia="Times New Roman" w:hAnsi="Times New Roman" w:cs="Times New Roman"/>
          <w:sz w:val="24"/>
          <w:szCs w:val="24"/>
          <w:lang w:eastAsia="fr-FR"/>
        </w:rPr>
        <w:t xml:space="preserve"> Inclure gratuitement l'option de support technique pendant 3 mois pour tout client identifié par le modèle dans le </w:t>
      </w:r>
      <w:r w:rsidRPr="00074D9C">
        <w:rPr>
          <w:rFonts w:ascii="Times New Roman" w:eastAsia="Times New Roman" w:hAnsi="Times New Roman" w:cs="Times New Roman"/>
          <w:i/>
          <w:iCs/>
          <w:sz w:val="24"/>
          <w:szCs w:val="24"/>
          <w:lang w:eastAsia="fr-FR"/>
        </w:rPr>
        <w:t>Segment Critique</w:t>
      </w:r>
      <w:r w:rsidRPr="00074D9C">
        <w:rPr>
          <w:rFonts w:ascii="Times New Roman" w:eastAsia="Times New Roman" w:hAnsi="Times New Roman" w:cs="Times New Roman"/>
          <w:sz w:val="24"/>
          <w:szCs w:val="24"/>
          <w:lang w:eastAsia="fr-FR"/>
        </w:rPr>
        <w:t xml:space="preserve"> utilisant une connexion fibre.</w:t>
      </w:r>
    </w:p>
    <w:p w14:paraId="2C82975F" w14:textId="77777777" w:rsidR="00074D9C" w:rsidRPr="00074D9C" w:rsidRDefault="00074D9C" w:rsidP="00074D9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74D9C">
        <w:rPr>
          <w:rFonts w:ascii="Times New Roman" w:eastAsia="Times New Roman" w:hAnsi="Times New Roman" w:cs="Times New Roman"/>
          <w:b/>
          <w:bCs/>
          <w:sz w:val="24"/>
          <w:szCs w:val="24"/>
          <w:lang w:eastAsia="fr-FR"/>
        </w:rPr>
        <w:t>Optimisation Actuarielle du Budget :</w:t>
      </w:r>
      <w:r w:rsidRPr="00074D9C">
        <w:rPr>
          <w:rFonts w:ascii="Times New Roman" w:eastAsia="Times New Roman" w:hAnsi="Times New Roman" w:cs="Times New Roman"/>
          <w:sz w:val="24"/>
          <w:szCs w:val="24"/>
          <w:lang w:eastAsia="fr-FR"/>
        </w:rPr>
        <w:t xml:space="preserve"> Interdire l'attribution aveugle de remises commerciales. Segmenter l'effort budgétaire en utilisant le module de simulation financière du tableau de bord afin d'allouer les enveloppes de rétention uniquement aux clients dont le score de risque est compris entre 0.55 et 0.85 et présentant une valeur vie client élevée.</w:t>
      </w:r>
    </w:p>
    <w:p w14:paraId="5349BB2E" w14:textId="77777777" w:rsidR="00EF1EB4" w:rsidRPr="00074D9C" w:rsidRDefault="00EF1EB4" w:rsidP="00074D9C">
      <w:pPr>
        <w:spacing w:line="360" w:lineRule="auto"/>
        <w:jc w:val="both"/>
        <w:rPr>
          <w:rFonts w:ascii="Times New Roman" w:hAnsi="Times New Roman" w:cs="Times New Roman"/>
          <w:sz w:val="24"/>
          <w:szCs w:val="24"/>
        </w:rPr>
      </w:pPr>
    </w:p>
    <w:sectPr w:rsidR="00EF1EB4" w:rsidRPr="00074D9C" w:rsidSect="00074D9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D468E"/>
    <w:multiLevelType w:val="multilevel"/>
    <w:tmpl w:val="EAC2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815B68"/>
    <w:multiLevelType w:val="multilevel"/>
    <w:tmpl w:val="DC0C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DC6905"/>
    <w:multiLevelType w:val="multilevel"/>
    <w:tmpl w:val="52E69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D71D01"/>
    <w:multiLevelType w:val="multilevel"/>
    <w:tmpl w:val="B02E6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9C"/>
    <w:rsid w:val="00066808"/>
    <w:rsid w:val="00074D9C"/>
    <w:rsid w:val="002F540F"/>
    <w:rsid w:val="00773786"/>
    <w:rsid w:val="00B57A77"/>
    <w:rsid w:val="00EF1E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99693"/>
  <w15:chartTrackingRefBased/>
  <w15:docId w15:val="{98C5ECEA-711A-4113-8A65-0F44C3AE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68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074D9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074D9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74D9C"/>
    <w:rPr>
      <w:rFonts w:eastAsiaTheme="minorEastAsia"/>
      <w:lang w:eastAsia="fr-FR"/>
    </w:rPr>
  </w:style>
  <w:style w:type="character" w:customStyle="1" w:styleId="Titre3Car">
    <w:name w:val="Titre 3 Car"/>
    <w:basedOn w:val="Policepardfaut"/>
    <w:link w:val="Titre3"/>
    <w:uiPriority w:val="9"/>
    <w:rsid w:val="00074D9C"/>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74D9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074D9C"/>
    <w:rPr>
      <w:rFonts w:ascii="Courier New" w:eastAsia="Times New Roman" w:hAnsi="Courier New" w:cs="Courier New"/>
      <w:sz w:val="20"/>
      <w:szCs w:val="20"/>
    </w:rPr>
  </w:style>
  <w:style w:type="character" w:customStyle="1" w:styleId="Titre1Car">
    <w:name w:val="Titre 1 Car"/>
    <w:basedOn w:val="Policepardfaut"/>
    <w:link w:val="Titre1"/>
    <w:uiPriority w:val="9"/>
    <w:rsid w:val="0006680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9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675</Words>
  <Characters>3718</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Data Scientist</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D’INTELLIGENCE PRÉDICTIVE : Optimisation de la Rétention Client</dc:title>
  <dc:subject/>
  <dc:creator>Osée Emmanuel BOUM BISSEMB</dc:creator>
  <cp:keywords/>
  <dc:description/>
  <cp:lastModifiedBy>Osée Emmanuel BOUM BISSEMB</cp:lastModifiedBy>
  <cp:revision>1</cp:revision>
  <dcterms:created xsi:type="dcterms:W3CDTF">2026-05-24T21:09:00Z</dcterms:created>
  <dcterms:modified xsi:type="dcterms:W3CDTF">2026-05-24T22:04:00Z</dcterms:modified>
</cp:coreProperties>
</file>