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0"/>
        <w:jc w:val="center"/>
      </w:pPr>
      <w:r>
        <w:rPr>
          <w:rFonts w:ascii="Calibri" w:hAnsi="Calibri" w:eastAsia="Calibri"/>
          <w:b/>
          <w:i w:val="0"/>
          <w:caps w:val="0"/>
          <w:color w:val="122B4F"/>
          <w:sz w:val="44"/>
        </w:rPr>
        <w:t>ADVANTA AFRICA LTD</w:t>
      </w:r>
    </w:p>
    <w:p>
      <w:pPr>
        <w:spacing w:after="40"/>
        <w:jc w:val="center"/>
      </w:pPr>
      <w:r>
        <w:rPr>
          <w:rFonts w:ascii="Calibri" w:hAnsi="Calibri" w:eastAsia="Calibri"/>
          <w:b w:val="0"/>
          <w:i/>
          <w:caps w:val="0"/>
          <w:color w:val="0E6B7A"/>
          <w:sz w:val="24"/>
        </w:rPr>
        <w:t>Smarter, Faster Messaging</w:t>
      </w:r>
    </w:p>
    <w:p>
      <w:pPr>
        <w:spacing w:after="200"/>
        <w:jc w:val="center"/>
      </w:pPr>
      <w:r>
        <w:rPr>
          <w:rFonts w:ascii="Calibri" w:hAnsi="Calibri" w:eastAsia="Calibri"/>
          <w:b w:val="0"/>
          <w:i w:val="0"/>
          <w:caps w:val="0"/>
          <w:color w:val="4B5563"/>
          <w:sz w:val="18"/>
        </w:rPr>
        <w:t>Bulk SMS  ·  Short Codes  ·  SMS APIs  ·  USSD  ·  WhatsApp APIs  ·  VRBT</w:t>
      </w:r>
    </w:p>
    <w:tbl>
      <w:tblPr>
        <w:tblLayout w:type="fixed"/>
        <w:tblLook w:firstColumn="1" w:firstRow="1" w:lastColumn="0" w:lastRow="0" w:noHBand="0" w:noVBand="1" w:val="04A0"/>
        <w:tblW w:w="6120000" w:type="dxa"/>
      </w:tblPr>
      <w:tblGrid>
        <w:gridCol w:w="6120000"/>
      </w:tblGrid>
      <w:tr>
        <w:trPr>
          <w:trHeight w:val="68"/>
        </w:trPr>
        <w:tc>
          <w:tcPr>
            <w:tcW w:w="6120000" w:type="dxa"/>
            <w:shd w:fill="B88A2E" w:val="clear"/>
            <w:tcBorders>
              <w:top w:val="single" w:sz="0" w:space="0" w:color="B88A2E"/>
              <w:left w:val="single" w:sz="0" w:space="0" w:color="B88A2E"/>
              <w:bottom w:val="single" w:sz="0" w:space="0" w:color="B88A2E"/>
              <w:right w:val="single" w:sz="0" w:space="0" w:color="B88A2E"/>
            </w:tcBorders>
          </w:tcPr>
          <w:p>
            <w:pPr>
              <w:spacing w:after="0"/>
            </w:pPr>
          </w:p>
        </w:tc>
      </w:tr>
    </w:tbl>
    <w:p>
      <w:pPr>
        <w:spacing w:before="320" w:after="80"/>
        <w:jc w:val="center"/>
      </w:pPr>
      <w:r>
        <w:rPr>
          <w:rFonts w:ascii="Calibri" w:hAnsi="Calibri" w:eastAsia="Calibri"/>
          <w:b/>
          <w:i w:val="0"/>
          <w:caps/>
          <w:color w:val="B88A2E"/>
          <w:sz w:val="22"/>
        </w:rPr>
        <w:t>HUAWEI SUPPLIER AUDIT EVIDENCE PACK</w:t>
      </w:r>
    </w:p>
    <w:p>
      <w:pPr>
        <w:spacing w:after="120"/>
        <w:jc w:val="center"/>
      </w:pPr>
      <w:r>
        <w:rPr>
          <w:rFonts w:ascii="Calibri" w:hAnsi="Calibri" w:eastAsia="Calibri"/>
          <w:b/>
          <w:i w:val="0"/>
          <w:caps w:val="0"/>
          <w:color w:val="122B4F"/>
          <w:sz w:val="40"/>
        </w:rPr>
        <w:t>Personal Data Retention and Deletion</w:t>
      </w:r>
    </w:p>
    <w:p>
      <w:pPr>
        <w:spacing w:after="280"/>
        <w:jc w:val="center"/>
      </w:pPr>
      <w:r>
        <w:rPr>
          <w:rFonts w:ascii="Calibri" w:hAnsi="Calibri" w:eastAsia="Calibri"/>
          <w:b w:val="0"/>
          <w:i/>
          <w:caps w:val="0"/>
          <w:color w:val="0E6B7A"/>
          <w:sz w:val="24"/>
        </w:rPr>
        <w:t>Expiry mechanism, contractual alignment, and deletion records</w:t>
      </w:r>
    </w:p>
    <w:tbl>
      <w:tblPr>
        <w:tblLayout w:type="fixed"/>
        <w:tblLook w:firstColumn="1" w:firstRow="1" w:lastColumn="0" w:lastRow="0" w:noHBand="0" w:noVBand="1" w:val="04A0"/>
        <w:tblW w:w="6120000" w:type="dxa"/>
      </w:tblPr>
      <w:tblGrid>
        <w:gridCol w:w="6120000"/>
      </w:tblGrid>
      <w:tr>
        <w:tc>
          <w:tcPr>
            <w:tcW w:w="6120000" w:type="dxa"/>
            <w:shd w:fill="122B4F" w:val="clear"/>
            <w:tcBorders>
              <w:top w:val="single" w:sz="0" w:space="0" w:color="122B4F"/>
              <w:left w:val="single" w:sz="0" w:space="0" w:color="122B4F"/>
              <w:bottom w:val="single" w:sz="0" w:space="0" w:color="122B4F"/>
              <w:right w:val="single" w:sz="0" w:space="0" w:color="122B4F"/>
            </w:tcBorders>
            <w:tcMar>
              <w:top w:w="90" w:type="dxa"/>
              <w:left w:w="140" w:type="dxa"/>
              <w:bottom w:w="90" w:type="dxa"/>
              <w:right w:w="140" w:type="dxa"/>
            </w:tcMar>
          </w:tcPr>
          <w:p>
            <w:pPr>
              <w:jc w:val="center"/>
            </w:pPr>
            <w:r>
              <w:rPr>
                <w:rFonts w:ascii="Calibri" w:hAnsi="Calibri" w:eastAsia="Calibri"/>
                <w:b/>
                <w:i w:val="0"/>
                <w:caps w:val="0"/>
                <w:color w:val="FFFFFF"/>
                <w:sz w:val="22"/>
              </w:rPr>
              <w:t>PROJECT:  Video Ring Back Tune (VRBT) Service</w:t>
            </w:r>
          </w:p>
        </w:tc>
      </w:tr>
    </w:tbl>
    <w:p>
      <w:pPr>
        <w:spacing w:before="320" w:after="160"/>
      </w:pPr>
    </w:p>
    <w:tbl>
      <w:tblPr>
        <w:jc w:val="center"/>
        <w:tblLayout w:type="fixed"/>
        <w:tblLook w:firstColumn="1" w:firstRow="1" w:lastColumn="0" w:lastRow="0" w:noHBand="0" w:noVBand="1" w:val="04A0"/>
        <w:tblW w:w="6120000" w:type="dxa"/>
      </w:tblPr>
      <w:tblGrid>
        <w:gridCol w:w="1980000"/>
        <w:gridCol w:w="4140000"/>
      </w:tblGrid>
      <w:tr>
        <w:trPr>
          <w:cantSplit/>
        </w:trPr>
        <w:tc>
          <w:tcPr>
            <w:tcW w:w="1980000" w:type="dxa"/>
            <w:shd w:fill="122B4F"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Document Number</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AA-VRBT-PP-4.1.2</w:t>
            </w:r>
          </w:p>
        </w:tc>
      </w:tr>
      <w:tr>
        <w:trPr>
          <w:cantSplit/>
        </w:trPr>
        <w:tc>
          <w:tcPr>
            <w:tcW w:w="1980000" w:type="dxa"/>
            <w:shd w:fill="0E6B7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Questionnaire Reference</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Privacy Protection — No. 4.1.2  ·  Business Management</w:t>
            </w:r>
          </w:p>
        </w:tc>
      </w:tr>
      <w:tr>
        <w:trPr>
          <w:cantSplit/>
        </w:trPr>
        <w:tc>
          <w:tcPr>
            <w:tcW w:w="1980000" w:type="dxa"/>
            <w:shd w:fill="122B4F"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Evidence Addresses</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A mechanism for deletion of personal data upon expiration has been established. Personal data is deleted upon expiration in accordance with the contract or business requirements.</w:t>
            </w:r>
          </w:p>
        </w:tc>
      </w:tr>
      <w:tr>
        <w:trPr>
          <w:cantSplit/>
        </w:trPr>
        <w:tc>
          <w:tcPr>
            <w:tcW w:w="1980000" w:type="dxa"/>
            <w:shd w:fill="0E6B7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Document Version</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1.0  |  Issued for Audit</w:t>
            </w:r>
          </w:p>
        </w:tc>
      </w:tr>
      <w:tr>
        <w:trPr>
          <w:cantSplit/>
        </w:trPr>
        <w:tc>
          <w:tcPr>
            <w:tcW w:w="1980000" w:type="dxa"/>
            <w:shd w:fill="122B4F"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Document Date</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17 August 2026</w:t>
            </w:r>
          </w:p>
        </w:tc>
      </w:tr>
      <w:tr>
        <w:trPr>
          <w:cantSplit/>
        </w:trPr>
        <w:tc>
          <w:tcPr>
            <w:tcW w:w="1980000" w:type="dxa"/>
            <w:shd w:fill="0E6B7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Effective Date</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01 August 2026</w:t>
            </w:r>
          </w:p>
        </w:tc>
      </w:tr>
      <w:tr>
        <w:trPr>
          <w:cantSplit/>
        </w:trPr>
        <w:tc>
          <w:tcPr>
            <w:tcW w:w="1980000" w:type="dxa"/>
            <w:shd w:fill="122B4F"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Next Review Date</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31 July 2027</w:t>
            </w:r>
          </w:p>
        </w:tc>
      </w:tr>
      <w:tr>
        <w:trPr>
          <w:cantSplit/>
        </w:trPr>
        <w:tc>
          <w:tcPr>
            <w:tcW w:w="1980000" w:type="dxa"/>
            <w:shd w:fill="0E6B7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Classification</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Confidential — Restricted to Advanta Africa, Huawei TQC/CEG and authorised auditors</w:t>
            </w:r>
          </w:p>
        </w:tc>
      </w:tr>
      <w:tr>
        <w:trPr>
          <w:cantSplit/>
        </w:trPr>
        <w:tc>
          <w:tcPr>
            <w:tcW w:w="1980000" w:type="dxa"/>
            <w:shd w:fill="122B4F"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Prepared For</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Huawei Technologies  ·  Reviewer: TQC / CEG  ·  Method: Document Verification</w:t>
            </w:r>
          </w:p>
        </w:tc>
      </w:tr>
      <w:tr>
        <w:trPr>
          <w:cantSplit/>
        </w:trPr>
        <w:tc>
          <w:tcPr>
            <w:tcW w:w="1980000" w:type="dxa"/>
            <w:shd w:fill="0E6B7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Prepared By</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Quality Management Office, Advanta Africa Ltd</w:t>
            </w:r>
          </w:p>
        </w:tc>
      </w:tr>
      <w:tr>
        <w:trPr>
          <w:cantSplit/>
        </w:trPr>
        <w:tc>
          <w:tcPr>
            <w:tcW w:w="1980000" w:type="dxa"/>
            <w:shd w:fill="122B4F"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Approved By</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Lawrence Muriuki, Chief Executive Officer and Founder</w:t>
            </w:r>
          </w:p>
        </w:tc>
      </w:tr>
      <w:tr>
        <w:trPr>
          <w:cantSplit/>
        </w:trPr>
        <w:tc>
          <w:tcPr>
            <w:tcW w:w="1980000" w:type="dxa"/>
            <w:shd w:fill="0E6B7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Owner</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Quality Management Responsible Person (QMRP)</w:t>
            </w:r>
          </w:p>
        </w:tc>
      </w:tr>
      <w:tr>
        <w:trPr>
          <w:cantSplit/>
        </w:trPr>
        <w:tc>
          <w:tcPr>
            <w:tcW w:w="1980000" w:type="dxa"/>
            <w:shd w:fill="122B4F"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Related Contract</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Huawei content / VAS cooperation for DIY Audio, Video, Game and E-book scenarios, as applied to VRBT</w:t>
            </w:r>
          </w:p>
        </w:tc>
      </w:tr>
    </w:tbl>
    <w:p>
      <w:pPr>
        <w:spacing w:before="360"/>
        <w:jc w:val="center"/>
      </w:pPr>
      <w:r>
        <w:rPr>
          <w:rFonts w:ascii="Calibri" w:hAnsi="Calibri" w:eastAsia="Calibri"/>
          <w:b w:val="0"/>
          <w:i w:val="0"/>
          <w:caps w:val="0"/>
          <w:color w:val="4B5563"/>
          <w:sz w:val="18"/>
        </w:rPr>
        <w:t>Western Heights, 6th Floor, Karuna Road, Westlands, Nairobi, Kenya</w:t>
      </w:r>
    </w:p>
    <w:p>
      <w:pPr>
        <w:spacing w:after="0"/>
        <w:jc w:val="center"/>
      </w:pPr>
      <w:r>
        <w:rPr>
          <w:rFonts w:ascii="Calibri" w:hAnsi="Calibri" w:eastAsia="Calibri"/>
          <w:b w:val="0"/>
          <w:i w:val="0"/>
          <w:caps w:val="0"/>
          <w:color w:val="4B5563"/>
          <w:sz w:val="18"/>
        </w:rPr>
        <w:t>P.O. Box 1035-00200, City Square, Nairobi  ·  Tel: +254 111 139 000  ·  www.advantasms.com | www.advanta.africa</w:t>
      </w:r>
    </w:p>
    <w:p>
      <w:r>
        <w:br w:type="page"/>
      </w:r>
    </w:p>
    <w:p>
      <w:pPr>
        <w:keepNext/>
        <w:spacing w:before="280" w:after="120"/>
        <w:pBdr>
          <w:bottom w:val="single" w:sz="10" w:space="4" w:color="B88A2E"/>
        </w:pBdr>
      </w:pPr>
      <w:r>
        <w:rPr>
          <w:rFonts w:ascii="Calibri" w:hAnsi="Calibri" w:eastAsia="Calibri"/>
          <w:b/>
          <w:i w:val="0"/>
          <w:caps w:val="0"/>
          <w:color w:val="122B4F"/>
          <w:sz w:val="28"/>
        </w:rPr>
        <w:t>Document Control and Revision History</w:t>
      </w:r>
    </w:p>
    <w:tbl>
      <w:tblPr>
        <w:jc w:val="center"/>
        <w:tblLayout w:type="fixed"/>
        <w:tblLook w:firstColumn="1" w:firstRow="1" w:lastColumn="0" w:lastRow="0" w:noHBand="0" w:noVBand="1" w:val="04A0"/>
        <w:tblW w:w="6120000" w:type="dxa"/>
      </w:tblPr>
      <w:tblGrid>
        <w:gridCol w:w="792000"/>
        <w:gridCol w:w="1080000"/>
        <w:gridCol w:w="1800000"/>
        <w:gridCol w:w="2448000"/>
      </w:tblGrid>
      <w:tr>
        <w:trPr>
          <w:cantSplit/>
        </w:trPr>
        <w:tc>
          <w:tcPr>
            <w:tcW w:w="792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Version</w:t>
            </w:r>
          </w:p>
        </w:tc>
        <w:tc>
          <w:tcPr>
            <w:tcW w:w="1080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Date</w:t>
            </w:r>
          </w:p>
        </w:tc>
        <w:tc>
          <w:tcPr>
            <w:tcW w:w="1800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Author / Authority</w:t>
            </w:r>
          </w:p>
        </w:tc>
        <w:tc>
          <w:tcPr>
            <w:tcW w:w="2448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Description</w:t>
            </w:r>
          </w:p>
        </w:tc>
      </w:tr>
      <w:tr>
        <w:trPr>
          <w:cantSplit/>
        </w:trPr>
        <w:tc>
          <w:tcPr>
            <w:tcW w:w="792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0.1</w:t>
            </w:r>
          </w:p>
        </w:tc>
        <w:tc>
          <w:tcPr>
            <w:tcW w:w="108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15 Jul 2026</w:t>
            </w:r>
          </w:p>
        </w:tc>
        <w:tc>
          <w:tcPr>
            <w:tcW w:w="180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Quality Office</w:t>
            </w:r>
          </w:p>
        </w:tc>
        <w:tc>
          <w:tcPr>
            <w:tcW w:w="244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Draft framework for VRBT Huawei evidence pack</w:t>
            </w:r>
          </w:p>
        </w:tc>
      </w:tr>
      <w:tr>
        <w:trPr>
          <w:cantSplit/>
        </w:trPr>
        <w:tc>
          <w:tcPr>
            <w:tcW w:w="792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0.9</w:t>
            </w:r>
          </w:p>
        </w:tc>
        <w:tc>
          <w:tcPr>
            <w:tcW w:w="108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05 Aug 2026</w:t>
            </w:r>
          </w:p>
        </w:tc>
        <w:tc>
          <w:tcPr>
            <w:tcW w:w="180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QMRP / DPO / Content Compliance</w:t>
            </w:r>
          </w:p>
        </w:tc>
        <w:tc>
          <w:tcPr>
            <w:tcW w:w="2448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Internal review against questionnaire key review points</w:t>
            </w:r>
          </w:p>
        </w:tc>
      </w:tr>
      <w:tr>
        <w:trPr>
          <w:cantSplit/>
        </w:trPr>
        <w:tc>
          <w:tcPr>
            <w:tcW w:w="792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1.0</w:t>
            </w:r>
          </w:p>
        </w:tc>
        <w:tc>
          <w:tcPr>
            <w:tcW w:w="108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17 Aug 2026</w:t>
            </w:r>
          </w:p>
        </w:tc>
        <w:tc>
          <w:tcPr>
            <w:tcW w:w="180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CEO</w:t>
            </w:r>
          </w:p>
        </w:tc>
        <w:tc>
          <w:tcPr>
            <w:tcW w:w="244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Issued for Huawei TQC/CEG document verification</w:t>
            </w:r>
          </w:p>
        </w:tc>
      </w:tr>
    </w:tbl>
    <w:p>
      <w:pPr>
        <w:spacing w:after="160"/>
      </w:pPr>
    </w:p>
    <w:p>
      <w:pPr>
        <w:keepNext/>
        <w:spacing w:before="280" w:after="120"/>
        <w:pBdr>
          <w:bottom w:val="single" w:sz="10" w:space="4" w:color="B88A2E"/>
        </w:pBdr>
      </w:pPr>
      <w:r>
        <w:rPr>
          <w:rFonts w:ascii="Calibri" w:hAnsi="Calibri" w:eastAsia="Calibri"/>
          <w:b/>
          <w:i w:val="0"/>
          <w:caps w:val="0"/>
          <w:color w:val="122B4F"/>
          <w:sz w:val="28"/>
        </w:rPr>
        <w:t>1. Purpose</w:t>
      </w:r>
    </w:p>
    <w:p>
      <w:pPr>
        <w:spacing w:after="160" w:before="0"/>
        <w:jc w:val="both"/>
      </w:pPr>
      <w:r>
        <w:rPr>
          <w:rFonts w:ascii="Calibri" w:hAnsi="Calibri" w:eastAsia="Calibri"/>
          <w:b w:val="0"/>
          <w:i w:val="0"/>
          <w:caps w:val="0"/>
          <w:color w:val="1F2937"/>
          <w:sz w:val="22"/>
        </w:rPr>
        <w:t>This management document establishes the retention schedule for VRBT personal data, the automated and manual deletion mechanism, verification, and the deletion-record log that Huawei reviewers and employee interviews can inspect. It implements Kenya Data Protection Act s. 25(e) (not keeping data longer than necessary), Huawei contractual deletion requirements, and Operator instructions.</w:t>
      </w:r>
    </w:p>
    <w:p>
      <w:pPr>
        <w:keepNext/>
        <w:spacing w:before="280" w:after="120"/>
        <w:pBdr>
          <w:bottom w:val="single" w:sz="10" w:space="4" w:color="B88A2E"/>
        </w:pBdr>
      </w:pPr>
      <w:r>
        <w:rPr>
          <w:rFonts w:ascii="Calibri" w:hAnsi="Calibri" w:eastAsia="Calibri"/>
          <w:b/>
          <w:i w:val="0"/>
          <w:caps w:val="0"/>
          <w:color w:val="122B4F"/>
          <w:sz w:val="28"/>
        </w:rPr>
        <w:t>2. Principles</w:t>
      </w:r>
    </w:p>
    <w:p>
      <w:pPr>
        <w:spacing w:after="60" w:before="0"/>
        <w:ind w:left="567" w:hanging="227"/>
      </w:pPr>
      <w:r>
        <w:rPr>
          <w:rFonts w:ascii="Calibri" w:hAnsi="Calibri" w:eastAsia="Calibri"/>
          <w:b w:val="0"/>
          <w:i w:val="0"/>
          <w:caps w:val="0"/>
          <w:color w:val="1F2937"/>
          <w:sz w:val="22"/>
        </w:rPr>
        <w:t>•  Default to the shortest period that still meets service, dispute, tax, communications-law and contract needs.</w:t>
      </w:r>
    </w:p>
    <w:p>
      <w:pPr>
        <w:spacing w:after="60" w:before="0"/>
        <w:ind w:left="567" w:hanging="227"/>
      </w:pPr>
      <w:r>
        <w:rPr>
          <w:rFonts w:ascii="Calibri" w:hAnsi="Calibri" w:eastAsia="Calibri"/>
          <w:b w:val="0"/>
          <w:i w:val="0"/>
          <w:caps w:val="0"/>
          <w:color w:val="1F2937"/>
          <w:sz w:val="22"/>
        </w:rPr>
        <w:t>•  Expiry is computed per record, not per database.</w:t>
      </w:r>
    </w:p>
    <w:p>
      <w:pPr>
        <w:spacing w:after="60" w:before="0"/>
        <w:ind w:left="567" w:hanging="227"/>
      </w:pPr>
      <w:r>
        <w:rPr>
          <w:rFonts w:ascii="Calibri" w:hAnsi="Calibri" w:eastAsia="Calibri"/>
          <w:b w:val="0"/>
          <w:i w:val="0"/>
          <w:caps w:val="0"/>
          <w:color w:val="1F2937"/>
          <w:sz w:val="22"/>
        </w:rPr>
        <w:t>•  Deletion means irreversible destruction of personal identifiers or irreversible anonymisation that cannot be re-identified by Advanta.</w:t>
      </w:r>
    </w:p>
    <w:p>
      <w:pPr>
        <w:spacing w:after="60" w:before="0"/>
        <w:ind w:left="567" w:hanging="227"/>
      </w:pPr>
      <w:r>
        <w:rPr>
          <w:rFonts w:ascii="Calibri" w:hAnsi="Calibri" w:eastAsia="Calibri"/>
          <w:b w:val="0"/>
          <w:i w:val="0"/>
          <w:caps w:val="0"/>
          <w:color w:val="1F2937"/>
          <w:sz w:val="22"/>
        </w:rPr>
        <w:t>•  Backups roll off according to the backup TTL; expired data is not restored into production except for a documented legal hold.</w:t>
      </w:r>
    </w:p>
    <w:p>
      <w:pPr>
        <w:spacing w:after="60" w:before="0"/>
        <w:ind w:left="567" w:hanging="227"/>
      </w:pPr>
      <w:r>
        <w:rPr>
          <w:rFonts w:ascii="Calibri" w:hAnsi="Calibri" w:eastAsia="Calibri"/>
          <w:b w:val="0"/>
          <w:i w:val="0"/>
          <w:caps w:val="0"/>
          <w:color w:val="1F2937"/>
          <w:sz w:val="22"/>
        </w:rPr>
        <w:t>•  Huawei-related personal data is not retained in unstructured stores (mail, chat, laptops) beyond the schedule; staff procedures in AA-VRBT-PP-4.2.1 apply.</w:t>
      </w:r>
    </w:p>
    <w:p>
      <w:pPr>
        <w:spacing w:after="60" w:before="0"/>
        <w:ind w:left="567" w:hanging="227"/>
      </w:pPr>
      <w:r>
        <w:rPr>
          <w:rFonts w:ascii="Calibri" w:hAnsi="Calibri" w:eastAsia="Calibri"/>
          <w:b w:val="0"/>
          <w:i w:val="0"/>
          <w:caps w:val="0"/>
          <w:color w:val="1F2937"/>
          <w:sz w:val="22"/>
        </w:rPr>
        <w:t>•  Legal hold (litigation, regulator, Huawei audit exception in writing) suspends deletion of named records until released by the DPO.</w:t>
      </w:r>
    </w:p>
    <w:p>
      <w:pPr>
        <w:keepNext/>
        <w:spacing w:before="280" w:after="120"/>
        <w:pBdr>
          <w:bottom w:val="single" w:sz="10" w:space="4" w:color="B88A2E"/>
        </w:pBdr>
      </w:pPr>
      <w:r>
        <w:rPr>
          <w:rFonts w:ascii="Calibri" w:hAnsi="Calibri" w:eastAsia="Calibri"/>
          <w:b/>
          <w:i w:val="0"/>
          <w:caps w:val="0"/>
          <w:color w:val="122B4F"/>
          <w:sz w:val="28"/>
        </w:rPr>
        <w:t>3. Retention schedule (VRBT)</w:t>
      </w:r>
    </w:p>
    <w:tbl>
      <w:tblPr>
        <w:jc w:val="center"/>
        <w:tblLayout w:type="fixed"/>
        <w:tblLook w:firstColumn="1" w:firstRow="1" w:lastColumn="0" w:lastRow="0" w:noHBand="0" w:noVBand="1" w:val="04A0"/>
        <w:tblW w:w="6119999" w:type="dxa"/>
      </w:tblPr>
      <w:tblGrid>
        <w:gridCol w:w="1584000"/>
        <w:gridCol w:w="1296000"/>
        <w:gridCol w:w="1584000"/>
        <w:gridCol w:w="1655999"/>
      </w:tblGrid>
      <w:tr>
        <w:trPr>
          <w:cantSplit/>
        </w:trPr>
        <w:tc>
          <w:tcPr>
            <w:tcW w:w="1584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Record class</w:t>
            </w:r>
          </w:p>
        </w:tc>
        <w:tc>
          <w:tcPr>
            <w:tcW w:w="1296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Retention</w:t>
            </w:r>
          </w:p>
        </w:tc>
        <w:tc>
          <w:tcPr>
            <w:tcW w:w="1584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Trigger for expiry</w:t>
            </w:r>
          </w:p>
        </w:tc>
        <w:tc>
          <w:tcPr>
            <w:tcW w:w="1655999"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Deletion method</w:t>
            </w:r>
          </w:p>
        </w:tc>
      </w:tr>
      <w:tr>
        <w:trPr>
          <w:cantSplit/>
        </w:trPr>
        <w:tc>
          <w:tcPr>
            <w:tcW w:w="1584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USSD session logs (raw signalling)</w:t>
            </w:r>
          </w:p>
        </w:tc>
        <w:tc>
          <w:tcPr>
            <w:tcW w:w="1296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90 days</w:t>
            </w:r>
          </w:p>
        </w:tc>
        <w:tc>
          <w:tcPr>
            <w:tcW w:w="1584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Session end + 90 days</w:t>
            </w:r>
          </w:p>
        </w:tc>
        <w:tc>
          <w:tcPr>
            <w:tcW w:w="1655999"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Automated job; overwrite</w:t>
            </w:r>
          </w:p>
        </w:tc>
      </w:tr>
      <w:tr>
        <w:trPr>
          <w:cantSplit/>
        </w:trPr>
        <w:tc>
          <w:tcPr>
            <w:tcW w:w="1584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Consent ACCEPT/CANCEL logs</w:t>
            </w:r>
          </w:p>
        </w:tc>
        <w:tc>
          <w:tcPr>
            <w:tcW w:w="1296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Duration of subscription + 24 months (dispute / CA billing evidence)</w:t>
            </w:r>
          </w:p>
        </w:tc>
        <w:tc>
          <w:tcPr>
            <w:tcW w:w="1584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Unsubscribe or last activity + 24 months</w:t>
            </w:r>
          </w:p>
        </w:tc>
        <w:tc>
          <w:tcPr>
            <w:tcW w:w="1655999"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Automated job; cryptographic erase of identifiers</w:t>
            </w:r>
          </w:p>
        </w:tc>
      </w:tr>
      <w:tr>
        <w:trPr>
          <w:cantSplit/>
        </w:trPr>
        <w:tc>
          <w:tcPr>
            <w:tcW w:w="1584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Active subscription profile (MSISDN token, content ID, status)</w:t>
            </w:r>
          </w:p>
        </w:tc>
        <w:tc>
          <w:tcPr>
            <w:tcW w:w="1296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Life of subscription</w:t>
            </w:r>
          </w:p>
        </w:tc>
        <w:tc>
          <w:tcPr>
            <w:tcW w:w="1584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Successful unsubscribe or Operator cease instruction</w:t>
            </w:r>
          </w:p>
        </w:tc>
        <w:tc>
          <w:tcPr>
            <w:tcW w:w="1655999"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Delete from production within 24 hours; billing CDR per row below</w:t>
            </w:r>
          </w:p>
        </w:tc>
      </w:tr>
      <w:tr>
        <w:trPr>
          <w:cantSplit/>
        </w:trPr>
        <w:tc>
          <w:tcPr>
            <w:tcW w:w="1584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Charging / truncated CDR needed for Operator reconciliation</w:t>
            </w:r>
          </w:p>
        </w:tc>
        <w:tc>
          <w:tcPr>
            <w:tcW w:w="1296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13 months</w:t>
            </w:r>
          </w:p>
        </w:tc>
        <w:tc>
          <w:tcPr>
            <w:tcW w:w="1584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Event date + 13 months</w:t>
            </w:r>
          </w:p>
        </w:tc>
        <w:tc>
          <w:tcPr>
            <w:tcW w:w="1655999"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Automated job</w:t>
            </w:r>
          </w:p>
        </w:tc>
      </w:tr>
      <w:tr>
        <w:trPr>
          <w:cantSplit/>
        </w:trPr>
        <w:tc>
          <w:tcPr>
            <w:tcW w:w="1584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Complaint tickets containing MSISDN</w:t>
            </w:r>
          </w:p>
        </w:tc>
        <w:tc>
          <w:tcPr>
            <w:tcW w:w="1296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3 years</w:t>
            </w:r>
          </w:p>
        </w:tc>
        <w:tc>
          <w:tcPr>
            <w:tcW w:w="1584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Ticket close + 3 years</w:t>
            </w:r>
          </w:p>
        </w:tc>
        <w:tc>
          <w:tcPr>
            <w:tcW w:w="1655999"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Quarterly supervised delete</w:t>
            </w:r>
          </w:p>
        </w:tc>
      </w:tr>
      <w:tr>
        <w:trPr>
          <w:cantSplit/>
        </w:trPr>
        <w:tc>
          <w:tcPr>
            <w:tcW w:w="1584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Major-incident files</w:t>
            </w:r>
          </w:p>
        </w:tc>
        <w:tc>
          <w:tcPr>
            <w:tcW w:w="1296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6 years</w:t>
            </w:r>
          </w:p>
        </w:tc>
        <w:tc>
          <w:tcPr>
            <w:tcW w:w="1584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Incident close + 6 years</w:t>
            </w:r>
          </w:p>
        </w:tc>
        <w:tc>
          <w:tcPr>
            <w:tcW w:w="1655999"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Supervised; DPO + QMRP</w:t>
            </w:r>
          </w:p>
        </w:tc>
      </w:tr>
      <w:tr>
        <w:trPr>
          <w:cantSplit/>
        </w:trPr>
        <w:tc>
          <w:tcPr>
            <w:tcW w:w="1584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Content-partner contracts and KYC</w:t>
            </w:r>
          </w:p>
        </w:tc>
        <w:tc>
          <w:tcPr>
            <w:tcW w:w="1296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Term + 6 years</w:t>
            </w:r>
          </w:p>
        </w:tc>
        <w:tc>
          <w:tcPr>
            <w:tcW w:w="1584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Contract end + 6 years</w:t>
            </w:r>
          </w:p>
        </w:tc>
        <w:tc>
          <w:tcPr>
            <w:tcW w:w="1655999"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Supervised</w:t>
            </w:r>
          </w:p>
        </w:tc>
      </w:tr>
      <w:tr>
        <w:trPr>
          <w:cantSplit/>
        </w:trPr>
        <w:tc>
          <w:tcPr>
            <w:tcW w:w="1584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Employee access logs to VRBT PII</w:t>
            </w:r>
          </w:p>
        </w:tc>
        <w:tc>
          <w:tcPr>
            <w:tcW w:w="1296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18 months</w:t>
            </w:r>
          </w:p>
        </w:tc>
        <w:tc>
          <w:tcPr>
            <w:tcW w:w="1584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Log date + 18 months</w:t>
            </w:r>
          </w:p>
        </w:tc>
        <w:tc>
          <w:tcPr>
            <w:tcW w:w="1655999"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Automated</w:t>
            </w:r>
          </w:p>
        </w:tc>
      </w:tr>
      <w:tr>
        <w:trPr>
          <w:cantSplit/>
        </w:trPr>
        <w:tc>
          <w:tcPr>
            <w:tcW w:w="1584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Huawei audit evidence containing personal data</w:t>
            </w:r>
          </w:p>
        </w:tc>
        <w:tc>
          <w:tcPr>
            <w:tcW w:w="1296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6 years after cooperation ends, or as contract requires</w:t>
            </w:r>
          </w:p>
        </w:tc>
        <w:tc>
          <w:tcPr>
            <w:tcW w:w="1584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Contractual end date</w:t>
            </w:r>
          </w:p>
        </w:tc>
        <w:tc>
          <w:tcPr>
            <w:tcW w:w="1655999"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Supervised</w:t>
            </w:r>
          </w:p>
        </w:tc>
      </w:tr>
      <w:tr>
        <w:trPr>
          <w:cantSplit/>
        </w:trPr>
        <w:tc>
          <w:tcPr>
            <w:tcW w:w="1584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Marketing suppression / STOP list</w:t>
            </w:r>
          </w:p>
        </w:tc>
        <w:tc>
          <w:tcPr>
            <w:tcW w:w="1296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Until the person is known deceased or 7 years after last contact, whichever is needed to honour STOP</w:t>
            </w:r>
          </w:p>
        </w:tc>
        <w:tc>
          <w:tcPr>
            <w:tcW w:w="1584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DPO review annually</w:t>
            </w:r>
          </w:p>
        </w:tc>
        <w:tc>
          <w:tcPr>
            <w:tcW w:w="1655999"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Do not delete if deletion would cause unwanted marketing</w:t>
            </w:r>
          </w:p>
        </w:tc>
      </w:tr>
      <w:tr>
        <w:trPr>
          <w:cantSplit/>
        </w:trPr>
        <w:tc>
          <w:tcPr>
            <w:tcW w:w="1584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Backups of the above</w:t>
            </w:r>
          </w:p>
        </w:tc>
        <w:tc>
          <w:tcPr>
            <w:tcW w:w="1296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Not longer than production TTL + 35 days</w:t>
            </w:r>
          </w:p>
        </w:tc>
        <w:tc>
          <w:tcPr>
            <w:tcW w:w="1584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Backup expiry</w:t>
            </w:r>
          </w:p>
        </w:tc>
        <w:tc>
          <w:tcPr>
            <w:tcW w:w="1655999"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Media rotation / cloud object TTL</w:t>
            </w:r>
          </w:p>
        </w:tc>
      </w:tr>
    </w:tbl>
    <w:p>
      <w:pPr>
        <w:spacing w:after="160"/>
      </w:pPr>
    </w:p>
    <w:tbl>
      <w:tblPr>
        <w:tblLayout w:type="fixed"/>
        <w:tblLook w:firstColumn="1" w:firstRow="1" w:lastColumn="0" w:lastRow="0" w:noHBand="0" w:noVBand="1" w:val="04A0"/>
        <w:tblW w:w="6120000" w:type="dxa"/>
      </w:tblPr>
      <w:tblGrid>
        <w:gridCol w:w="6120000"/>
      </w:tblGrid>
      <w:tr>
        <w:tc>
          <w:tcPr>
            <w:tcW w:w="6120000" w:type="dxa"/>
            <w:shd w:fill="E8F2F4" w:val="clear"/>
            <w:tcBorders>
              <w:top w:val="single" w:sz="8" w:space="0" w:color="0E6B7A"/>
              <w:left w:val="single" w:sz="8" w:space="0" w:color="0E6B7A"/>
              <w:bottom w:val="single" w:sz="8" w:space="0" w:color="0E6B7A"/>
              <w:right w:val="single" w:sz="8" w:space="0" w:color="0E6B7A"/>
            </w:tcBorders>
            <w:tcMar>
              <w:top w:w="100" w:type="dxa"/>
              <w:left w:w="140" w:type="dxa"/>
              <w:bottom w:w="100" w:type="dxa"/>
              <w:right w:w="140" w:type="dxa"/>
            </w:tcMar>
          </w:tcPr>
          <w:p>
            <w:pPr>
              <w:spacing w:after="80"/>
            </w:pPr>
            <w:r>
              <w:rPr>
                <w:rFonts w:ascii="Calibri" w:hAnsi="Calibri" w:eastAsia="Calibri"/>
                <w:b/>
                <w:i w:val="0"/>
                <w:caps w:val="0"/>
                <w:color w:val="0E6B7A"/>
                <w:sz w:val="18"/>
              </w:rPr>
              <w:t>CONTRACT OVERRIDE</w:t>
            </w:r>
          </w:p>
          <w:p>
            <w:pPr>
              <w:spacing w:after="0"/>
              <w:jc w:val="both"/>
            </w:pPr>
            <w:r>
              <w:rPr>
                <w:rFonts w:ascii="Calibri" w:hAnsi="Calibri" w:eastAsia="Calibri"/>
                <w:b w:val="0"/>
                <w:i w:val="0"/>
                <w:caps w:val="0"/>
                <w:color w:val="1F2937"/>
                <w:sz w:val="20"/>
              </w:rPr>
              <w:t>If the Huawei or Operator contract requires a shorter period, the shorter period wins. If Kenya law requires a longer period (for example a tax record), the legal period wins and the DPO records the conflict in the ROPA. Advanta does not keep VRBT personal data “just in case” beyond this schedule.</w:t>
            </w:r>
          </w:p>
        </w:tc>
      </w:tr>
    </w:tbl>
    <w:p>
      <w:pPr>
        <w:spacing w:after="160"/>
      </w:pPr>
    </w:p>
    <w:p>
      <w:pPr>
        <w:keepNext/>
        <w:spacing w:before="280" w:after="120"/>
        <w:pBdr>
          <w:bottom w:val="single" w:sz="10" w:space="4" w:color="B88A2E"/>
        </w:pBdr>
      </w:pPr>
      <w:r>
        <w:rPr>
          <w:rFonts w:ascii="Calibri" w:hAnsi="Calibri" w:eastAsia="Calibri"/>
          <w:b/>
          <w:i w:val="0"/>
          <w:caps w:val="0"/>
          <w:color w:val="122B4F"/>
          <w:sz w:val="28"/>
        </w:rPr>
        <w:t>4. Deletion mechanism</w:t>
      </w:r>
    </w:p>
    <w:p>
      <w:pPr>
        <w:keepNext/>
        <w:spacing w:before="200" w:after="120"/>
      </w:pPr>
      <w:r>
        <w:rPr>
          <w:rFonts w:ascii="Calibri" w:hAnsi="Calibri" w:eastAsia="Calibri"/>
          <w:b/>
          <w:i w:val="0"/>
          <w:caps w:val="0"/>
          <w:color w:val="0E6B7A"/>
          <w:sz w:val="24"/>
        </w:rPr>
        <w:t>4.1 Automated expiry</w:t>
      </w:r>
    </w:p>
    <w:p>
      <w:pPr>
        <w:spacing w:after="80"/>
        <w:ind w:left="567" w:hanging="283"/>
      </w:pPr>
      <w:r>
        <w:rPr>
          <w:rFonts w:ascii="Calibri" w:hAnsi="Calibri" w:eastAsia="Calibri"/>
          <w:b w:val="0"/>
          <w:i w:val="0"/>
          <w:caps w:val="0"/>
          <w:color w:val="1F2937"/>
          <w:sz w:val="22"/>
        </w:rPr>
        <w:t>1.  Each personal-data store has a retention_class and expires_at column (or equivalent object TTL) populated at write time from this schedule.</w:t>
      </w:r>
    </w:p>
    <w:p>
      <w:pPr>
        <w:spacing w:after="80"/>
        <w:ind w:left="567" w:hanging="283"/>
      </w:pPr>
      <w:r>
        <w:rPr>
          <w:rFonts w:ascii="Calibri" w:hAnsi="Calibri" w:eastAsia="Calibri"/>
          <w:b w:val="0"/>
          <w:i w:val="0"/>
          <w:caps w:val="0"/>
          <w:color w:val="1F2937"/>
          <w:sz w:val="22"/>
        </w:rPr>
        <w:t>2.  A daily job (01:30 EAT) selects records where expires_at &lt; now and legal_hold = false.</w:t>
      </w:r>
    </w:p>
    <w:p>
      <w:pPr>
        <w:spacing w:after="80"/>
        <w:ind w:left="567" w:hanging="283"/>
      </w:pPr>
      <w:r>
        <w:rPr>
          <w:rFonts w:ascii="Calibri" w:hAnsi="Calibri" w:eastAsia="Calibri"/>
          <w:b w:val="0"/>
          <w:i w:val="0"/>
          <w:caps w:val="0"/>
          <w:color w:val="1F2937"/>
          <w:sz w:val="22"/>
        </w:rPr>
        <w:t>3.  The job deletes or anonymises in accordance with the method column, then writes a success/fail line to the deletion log (Section 6).</w:t>
      </w:r>
    </w:p>
    <w:p>
      <w:pPr>
        <w:spacing w:after="80"/>
        <w:ind w:left="567" w:hanging="283"/>
      </w:pPr>
      <w:r>
        <w:rPr>
          <w:rFonts w:ascii="Calibri" w:hAnsi="Calibri" w:eastAsia="Calibri"/>
          <w:b w:val="0"/>
          <w:i w:val="0"/>
          <w:caps w:val="0"/>
          <w:color w:val="1F2937"/>
          <w:sz w:val="22"/>
        </w:rPr>
        <w:t>4.  Failures page the DPO and Privacy Operations. Repeat failure for more than 24 hours is a Sev 2 quality/privacy incident.</w:t>
      </w:r>
    </w:p>
    <w:p>
      <w:pPr>
        <w:spacing w:after="80"/>
        <w:ind w:left="567" w:hanging="283"/>
      </w:pPr>
      <w:r>
        <w:rPr>
          <w:rFonts w:ascii="Calibri" w:hAnsi="Calibri" w:eastAsia="Calibri"/>
          <w:b w:val="0"/>
          <w:i w:val="0"/>
          <w:caps w:val="0"/>
          <w:color w:val="1F2937"/>
          <w:sz w:val="22"/>
        </w:rPr>
        <w:t>5.  Change RFC-2026-033 enabled the 13-month CDR job (see AA-VRBT-QM-2.4.2).</w:t>
      </w:r>
    </w:p>
    <w:p>
      <w:pPr>
        <w:keepNext/>
        <w:spacing w:before="200" w:after="120"/>
      </w:pPr>
      <w:r>
        <w:rPr>
          <w:rFonts w:ascii="Calibri" w:hAnsi="Calibri" w:eastAsia="Calibri"/>
          <w:b/>
          <w:i w:val="0"/>
          <w:caps w:val="0"/>
          <w:color w:val="0E6B7A"/>
          <w:sz w:val="24"/>
        </w:rPr>
        <w:t>4.2 Unsubscription and right to erasure</w:t>
      </w:r>
    </w:p>
    <w:p>
      <w:pPr>
        <w:spacing w:after="160" w:before="0"/>
        <w:jc w:val="both"/>
      </w:pPr>
      <w:r>
        <w:rPr>
          <w:rFonts w:ascii="Calibri" w:hAnsi="Calibri" w:eastAsia="Calibri"/>
          <w:b w:val="0"/>
          <w:i w:val="0"/>
          <w:caps w:val="0"/>
          <w:color w:val="1F2937"/>
          <w:sz w:val="22"/>
        </w:rPr>
        <w:t>When a subscriber unsubscribes, the active profile is deleted from production within twenty-four (24) hours. Consent and CDR records continue only until their own expiry, unless a valid erasure request requires earlier deletion and no overriding legal duty applies. Erasure requests are handled as DSARs (30 days or shorter if the Operator instructs).</w:t>
      </w:r>
    </w:p>
    <w:p>
      <w:pPr>
        <w:keepNext/>
        <w:spacing w:before="200" w:after="120"/>
      </w:pPr>
      <w:r>
        <w:rPr>
          <w:rFonts w:ascii="Calibri" w:hAnsi="Calibri" w:eastAsia="Calibri"/>
          <w:b/>
          <w:i w:val="0"/>
          <w:caps w:val="0"/>
          <w:color w:val="0E6B7A"/>
          <w:sz w:val="24"/>
        </w:rPr>
        <w:t>4.3 Media and unstructured data</w:t>
      </w:r>
    </w:p>
    <w:p>
      <w:pPr>
        <w:spacing w:after="60" w:before="0"/>
        <w:ind w:left="567" w:hanging="227"/>
      </w:pPr>
      <w:r>
        <w:rPr>
          <w:rFonts w:ascii="Calibri" w:hAnsi="Calibri" w:eastAsia="Calibri"/>
          <w:b w:val="0"/>
          <w:i w:val="0"/>
          <w:caps w:val="0"/>
          <w:color w:val="1F2937"/>
          <w:sz w:val="22"/>
        </w:rPr>
        <w:t>•  Exports to CSV/Excel require DPO approval and an expires_at; the file is tracked.</w:t>
      </w:r>
    </w:p>
    <w:p>
      <w:pPr>
        <w:spacing w:after="60" w:before="0"/>
        <w:ind w:left="567" w:hanging="227"/>
      </w:pPr>
      <w:r>
        <w:rPr>
          <w:rFonts w:ascii="Calibri" w:hAnsi="Calibri" w:eastAsia="Calibri"/>
          <w:b w:val="0"/>
          <w:i w:val="0"/>
          <w:caps w:val="0"/>
          <w:color w:val="1F2937"/>
          <w:sz w:val="22"/>
        </w:rPr>
        <w:t>•  Email containing subscriber MSISDNs must use tickets, not personal mailboxes, and is covered by the ticket retention row.</w:t>
      </w:r>
    </w:p>
    <w:p>
      <w:pPr>
        <w:spacing w:after="60" w:before="0"/>
        <w:ind w:left="567" w:hanging="227"/>
      </w:pPr>
      <w:r>
        <w:rPr>
          <w:rFonts w:ascii="Calibri" w:hAnsi="Calibri" w:eastAsia="Calibri"/>
          <w:b w:val="0"/>
          <w:i w:val="0"/>
          <w:caps w:val="0"/>
          <w:color w:val="1F2937"/>
          <w:sz w:val="22"/>
        </w:rPr>
        <w:t>•  Laptops: full-disk encryption; leavers’ accounts collected within 24 hours (AA-VRBT-PP-4.2.1).</w:t>
      </w:r>
    </w:p>
    <w:p>
      <w:pPr>
        <w:keepNext/>
        <w:spacing w:before="280" w:after="120"/>
        <w:pBdr>
          <w:bottom w:val="single" w:sz="10" w:space="4" w:color="B88A2E"/>
        </w:pBdr>
      </w:pPr>
      <w:r>
        <w:rPr>
          <w:rFonts w:ascii="Calibri" w:hAnsi="Calibri" w:eastAsia="Calibri"/>
          <w:b/>
          <w:i w:val="0"/>
          <w:caps w:val="0"/>
          <w:color w:val="122B4F"/>
          <w:sz w:val="28"/>
        </w:rPr>
        <w:t>5. Verification and interviews</w:t>
      </w:r>
    </w:p>
    <w:p>
      <w:pPr>
        <w:spacing w:after="160" w:before="0"/>
        <w:jc w:val="both"/>
      </w:pPr>
      <w:r>
        <w:rPr>
          <w:rFonts w:ascii="Calibri" w:hAnsi="Calibri" w:eastAsia="Calibri"/>
          <w:b w:val="0"/>
          <w:i w:val="0"/>
          <w:caps w:val="0"/>
          <w:color w:val="1F2937"/>
          <w:sz w:val="22"/>
        </w:rPr>
        <w:t>Huawei may inspect the deletion-job scheduler, a sample of expires_at values, and the log. Employees in Privacy Operations can explain the daily job, the legal-hold flag, and what they do on failure. Mystery deletion tests (insert a dummy record with expires_at yesterday) are run monthly; results are in the log.</w:t>
      </w:r>
    </w:p>
    <w:p>
      <w:pPr>
        <w:keepNext/>
        <w:spacing w:before="280" w:after="120"/>
        <w:pBdr>
          <w:bottom w:val="single" w:sz="10" w:space="4" w:color="B88A2E"/>
        </w:pBdr>
      </w:pPr>
      <w:r>
        <w:rPr>
          <w:rFonts w:ascii="Calibri" w:hAnsi="Calibri" w:eastAsia="Calibri"/>
          <w:b/>
          <w:i w:val="0"/>
          <w:caps w:val="0"/>
          <w:color w:val="122B4F"/>
          <w:sz w:val="28"/>
        </w:rPr>
        <w:t>6. Deletion records</w:t>
      </w:r>
    </w:p>
    <w:p>
      <w:pPr>
        <w:keepNext/>
        <w:spacing w:before="200" w:after="120"/>
      </w:pPr>
      <w:r>
        <w:rPr>
          <w:rFonts w:ascii="Calibri" w:hAnsi="Calibri" w:eastAsia="Calibri"/>
          <w:b/>
          <w:i w:val="0"/>
          <w:caps w:val="0"/>
          <w:color w:val="0E6B7A"/>
          <w:sz w:val="24"/>
        </w:rPr>
        <w:t>6.1 Log fields</w:t>
      </w:r>
    </w:p>
    <w:p>
      <w:pPr>
        <w:spacing w:after="160" w:before="0"/>
        <w:jc w:val="both"/>
      </w:pPr>
      <w:r>
        <w:rPr>
          <w:rFonts w:ascii="Calibri" w:hAnsi="Calibri" w:eastAsia="Calibri"/>
          <w:b w:val="0"/>
          <w:i w:val="0"/>
          <w:caps w:val="0"/>
          <w:color w:val="1F2937"/>
          <w:sz w:val="22"/>
        </w:rPr>
        <w:t>job_id, run_time_eat, store, retention_class, records_selected, records_deleted, records_held, records_failed, operator, checksum.</w:t>
      </w:r>
    </w:p>
    <w:p>
      <w:pPr>
        <w:keepNext/>
        <w:spacing w:before="200" w:after="120"/>
      </w:pPr>
      <w:r>
        <w:rPr>
          <w:rFonts w:ascii="Calibri" w:hAnsi="Calibri" w:eastAsia="Calibri"/>
          <w:b/>
          <w:i w:val="0"/>
          <w:caps w:val="0"/>
          <w:color w:val="0E6B7A"/>
          <w:sz w:val="24"/>
        </w:rPr>
        <w:t>6.2 Extract (specimen)</w:t>
      </w:r>
    </w:p>
    <w:tbl>
      <w:tblPr>
        <w:jc w:val="center"/>
        <w:tblLayout w:type="fixed"/>
        <w:tblLook w:firstColumn="1" w:firstRow="1" w:lastColumn="0" w:lastRow="0" w:noHBand="0" w:noVBand="1" w:val="04A0"/>
        <w:tblW w:w="6119999" w:type="dxa"/>
      </w:tblPr>
      <w:tblGrid>
        <w:gridCol w:w="1152000"/>
        <w:gridCol w:w="936000"/>
        <w:gridCol w:w="936000"/>
        <w:gridCol w:w="792000"/>
        <w:gridCol w:w="576000"/>
        <w:gridCol w:w="576000"/>
        <w:gridCol w:w="503999"/>
        <w:gridCol w:w="648000"/>
      </w:tblGrid>
      <w:tr>
        <w:trPr>
          <w:cantSplit/>
        </w:trPr>
        <w:tc>
          <w:tcPr>
            <w:tcW w:w="1152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job_id</w:t>
            </w:r>
          </w:p>
        </w:tc>
        <w:tc>
          <w:tcPr>
            <w:tcW w:w="936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run_time</w:t>
            </w:r>
          </w:p>
        </w:tc>
        <w:tc>
          <w:tcPr>
            <w:tcW w:w="936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store</w:t>
            </w:r>
          </w:p>
        </w:tc>
        <w:tc>
          <w:tcPr>
            <w:tcW w:w="792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class</w:t>
            </w:r>
          </w:p>
        </w:tc>
        <w:tc>
          <w:tcPr>
            <w:tcW w:w="576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selected</w:t>
            </w:r>
          </w:p>
        </w:tc>
        <w:tc>
          <w:tcPr>
            <w:tcW w:w="576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deleted</w:t>
            </w:r>
          </w:p>
        </w:tc>
        <w:tc>
          <w:tcPr>
            <w:tcW w:w="503999"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held</w:t>
            </w:r>
          </w:p>
        </w:tc>
        <w:tc>
          <w:tcPr>
            <w:tcW w:w="648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failed</w:t>
            </w:r>
          </w:p>
        </w:tc>
      </w:tr>
      <w:tr>
        <w:trPr>
          <w:cantSplit/>
        </w:trPr>
        <w:tc>
          <w:tcPr>
            <w:tcW w:w="1152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DEL-2026-08-12-A</w:t>
            </w:r>
          </w:p>
        </w:tc>
        <w:tc>
          <w:tcPr>
            <w:tcW w:w="936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2026-08-12 01:30</w:t>
            </w:r>
          </w:p>
        </w:tc>
        <w:tc>
          <w:tcPr>
            <w:tcW w:w="936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ussd_session</w:t>
            </w:r>
          </w:p>
        </w:tc>
        <w:tc>
          <w:tcPr>
            <w:tcW w:w="792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90d</w:t>
            </w:r>
          </w:p>
        </w:tc>
        <w:tc>
          <w:tcPr>
            <w:tcW w:w="576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1,204</w:t>
            </w:r>
          </w:p>
        </w:tc>
        <w:tc>
          <w:tcPr>
            <w:tcW w:w="576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1,204</w:t>
            </w:r>
          </w:p>
        </w:tc>
        <w:tc>
          <w:tcPr>
            <w:tcW w:w="503999"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0</w:t>
            </w:r>
          </w:p>
        </w:tc>
        <w:tc>
          <w:tcPr>
            <w:tcW w:w="64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0</w:t>
            </w:r>
          </w:p>
        </w:tc>
      </w:tr>
      <w:tr>
        <w:trPr>
          <w:cantSplit/>
        </w:trPr>
        <w:tc>
          <w:tcPr>
            <w:tcW w:w="1152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DEL-2026-08-12-B</w:t>
            </w:r>
          </w:p>
        </w:tc>
        <w:tc>
          <w:tcPr>
            <w:tcW w:w="936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2026-08-12 01:35</w:t>
            </w:r>
          </w:p>
        </w:tc>
        <w:tc>
          <w:tcPr>
            <w:tcW w:w="936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cdr_trunc</w:t>
            </w:r>
          </w:p>
        </w:tc>
        <w:tc>
          <w:tcPr>
            <w:tcW w:w="792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13m</w:t>
            </w:r>
          </w:p>
        </w:tc>
        <w:tc>
          <w:tcPr>
            <w:tcW w:w="576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0</w:t>
            </w:r>
          </w:p>
        </w:tc>
        <w:tc>
          <w:tcPr>
            <w:tcW w:w="576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0</w:t>
            </w:r>
          </w:p>
        </w:tc>
        <w:tc>
          <w:tcPr>
            <w:tcW w:w="503999"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0</w:t>
            </w:r>
          </w:p>
        </w:tc>
        <w:tc>
          <w:tcPr>
            <w:tcW w:w="648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0</w:t>
            </w:r>
          </w:p>
        </w:tc>
      </w:tr>
      <w:tr>
        <w:trPr>
          <w:cantSplit/>
        </w:trPr>
        <w:tc>
          <w:tcPr>
            <w:tcW w:w="1152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DEL-2026-08-12-C</w:t>
            </w:r>
          </w:p>
        </w:tc>
        <w:tc>
          <w:tcPr>
            <w:tcW w:w="936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2026-08-12 01:40</w:t>
            </w:r>
          </w:p>
        </w:tc>
        <w:tc>
          <w:tcPr>
            <w:tcW w:w="936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consent_log</w:t>
            </w:r>
          </w:p>
        </w:tc>
        <w:tc>
          <w:tcPr>
            <w:tcW w:w="792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sub+24m</w:t>
            </w:r>
          </w:p>
        </w:tc>
        <w:tc>
          <w:tcPr>
            <w:tcW w:w="576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0</w:t>
            </w:r>
          </w:p>
        </w:tc>
        <w:tc>
          <w:tcPr>
            <w:tcW w:w="576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0</w:t>
            </w:r>
          </w:p>
        </w:tc>
        <w:tc>
          <w:tcPr>
            <w:tcW w:w="503999"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0</w:t>
            </w:r>
          </w:p>
        </w:tc>
        <w:tc>
          <w:tcPr>
            <w:tcW w:w="64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0</w:t>
            </w:r>
          </w:p>
        </w:tc>
      </w:tr>
      <w:tr>
        <w:trPr>
          <w:cantSplit/>
        </w:trPr>
        <w:tc>
          <w:tcPr>
            <w:tcW w:w="1152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DEL-2026-08-01-M</w:t>
            </w:r>
          </w:p>
        </w:tc>
        <w:tc>
          <w:tcPr>
            <w:tcW w:w="936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2026-08-01 11:00</w:t>
            </w:r>
          </w:p>
        </w:tc>
        <w:tc>
          <w:tcPr>
            <w:tcW w:w="936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mystery_dummy</w:t>
            </w:r>
          </w:p>
        </w:tc>
        <w:tc>
          <w:tcPr>
            <w:tcW w:w="792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test</w:t>
            </w:r>
          </w:p>
        </w:tc>
        <w:tc>
          <w:tcPr>
            <w:tcW w:w="576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1</w:t>
            </w:r>
          </w:p>
        </w:tc>
        <w:tc>
          <w:tcPr>
            <w:tcW w:w="576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1</w:t>
            </w:r>
          </w:p>
        </w:tc>
        <w:tc>
          <w:tcPr>
            <w:tcW w:w="503999"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0</w:t>
            </w:r>
          </w:p>
        </w:tc>
        <w:tc>
          <w:tcPr>
            <w:tcW w:w="648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0</w:t>
            </w:r>
          </w:p>
        </w:tc>
      </w:tr>
    </w:tbl>
    <w:p>
      <w:pPr>
        <w:spacing w:after="160"/>
      </w:pPr>
    </w:p>
    <w:p>
      <w:pPr>
        <w:keepNext/>
        <w:spacing w:before="200" w:after="120"/>
      </w:pPr>
      <w:r>
        <w:rPr>
          <w:rFonts w:ascii="Calibri" w:hAnsi="Calibri" w:eastAsia="Calibri"/>
          <w:b/>
          <w:i w:val="0"/>
          <w:caps w:val="0"/>
          <w:color w:val="0E6B7A"/>
          <w:sz w:val="24"/>
        </w:rPr>
        <w:t>6.3 Certificate of destruction (supervised classes)</w:t>
      </w:r>
    </w:p>
    <w:p>
      <w:pPr>
        <w:spacing w:after="160" w:before="0"/>
        <w:jc w:val="both"/>
      </w:pPr>
      <w:r>
        <w:rPr>
          <w:rFonts w:ascii="Calibri" w:hAnsi="Calibri" w:eastAsia="Calibri"/>
          <w:b w:val="0"/>
          <w:i w:val="0"/>
          <w:caps w:val="0"/>
          <w:color w:val="1F2937"/>
          <w:sz w:val="22"/>
        </w:rPr>
        <w:t>For partner KYC and major-incident files, the DPO issues a certificate stating the record class, period, method (shred / crypto-erase / certified cloud delete), witnesses, and date. Certificates are retained six (6) years. None have yet fallen due for VRBT partner KYC (contracts still in term).</w:t>
      </w:r>
    </w:p>
    <w:p>
      <w:pPr>
        <w:keepNext/>
        <w:spacing w:before="280" w:after="120"/>
        <w:pBdr>
          <w:bottom w:val="single" w:sz="10" w:space="4" w:color="B88A2E"/>
        </w:pBdr>
      </w:pPr>
      <w:r>
        <w:rPr>
          <w:rFonts w:ascii="Calibri" w:hAnsi="Calibri" w:eastAsia="Calibri"/>
          <w:b/>
          <w:i w:val="0"/>
          <w:caps w:val="0"/>
          <w:color w:val="122B4F"/>
          <w:sz w:val="28"/>
        </w:rPr>
        <w:t>Document Approval</w:t>
      </w:r>
    </w:p>
    <w:p>
      <w:pPr>
        <w:spacing w:after="160" w:before="0"/>
        <w:jc w:val="both"/>
      </w:pPr>
      <w:r>
        <w:rPr>
          <w:rFonts w:ascii="Calibri" w:hAnsi="Calibri" w:eastAsia="Calibri"/>
          <w:b w:val="0"/>
          <w:i w:val="0"/>
          <w:caps w:val="0"/>
          <w:color w:val="1F2937"/>
          <w:sz w:val="22"/>
        </w:rPr>
        <w:t>This document is issued under the authority of Advanta Africa Ltd for the VRBT programme. Wet-ink or authorised electronic signatures below confirm that the content is accurate, that the described controls are in operation, and that the document may be presented to Huawei TQC/CEG.</w:t>
      </w:r>
    </w:p>
    <w:tbl>
      <w:tblPr>
        <w:tblLayout w:type="fixed"/>
        <w:tblLook w:firstColumn="1" w:firstRow="1" w:lastColumn="0" w:lastRow="0" w:noHBand="0" w:noVBand="1" w:val="04A0"/>
        <w:tblW w:w="6123600" w:type="dxa"/>
      </w:tblPr>
      <w:tblGrid>
        <w:gridCol w:w="2041200"/>
        <w:gridCol w:w="2041200"/>
        <w:gridCol w:w="2041200"/>
      </w:tblGrid>
      <w:tr>
        <w:tc>
          <w:tcPr>
            <w:tcW w:w="2041200" w:type="dxa"/>
            <w:tcBorders>
              <w:top w:val="single" w:sz="8" w:space="0" w:color="C5CDD3"/>
              <w:left w:val="single" w:sz="8" w:space="0" w:color="C5CDD3"/>
              <w:bottom w:val="single" w:sz="8" w:space="0" w:color="C5CDD3"/>
              <w:right w:val="single" w:sz="8" w:space="0" w:color="C5CDD3"/>
            </w:tcBorders>
            <w:tcMar>
              <w:top w:w="120" w:type="dxa"/>
              <w:left w:w="120" w:type="dxa"/>
              <w:bottom w:w="120" w:type="dxa"/>
              <w:right w:w="120" w:type="dxa"/>
            </w:tcMar>
            <w:shd w:fill="FFFFFF" w:val="clear"/>
          </w:tcPr>
          <w:p>
            <w:r>
              <w:rPr>
                <w:rFonts w:ascii="Calibri" w:hAnsi="Calibri" w:eastAsia="Calibri"/>
                <w:b/>
                <w:i w:val="0"/>
                <w:caps w:val="0"/>
                <w:color w:val="0E6B7A"/>
                <w:sz w:val="16"/>
              </w:rPr>
              <w:t>PREPARED BY</w:t>
            </w:r>
          </w:p>
          <w:p>
            <w:pPr>
              <w:spacing w:before="440"/>
            </w:pPr>
            <w:r>
              <w:rPr>
                <w:rFonts w:ascii="Calibri" w:hAnsi="Calibri" w:eastAsia="Calibri"/>
                <w:b w:val="0"/>
                <w:i w:val="0"/>
                <w:caps w:val="0"/>
                <w:color w:val="1F2937"/>
                <w:sz w:val="18"/>
              </w:rPr>
              <w:t>Signature: ____________________</w:t>
            </w:r>
          </w:p>
          <w:p>
            <w:r>
              <w:rPr>
                <w:rFonts w:ascii="Calibri" w:hAnsi="Calibri" w:eastAsia="Calibri"/>
                <w:b w:val="0"/>
                <w:i w:val="0"/>
                <w:caps w:val="0"/>
                <w:color w:val="1F2937"/>
                <w:sz w:val="18"/>
              </w:rPr>
              <w:t>Name: Data Protection Officer</w:t>
            </w:r>
          </w:p>
          <w:p>
            <w:r>
              <w:rPr>
                <w:rFonts w:ascii="Calibri" w:hAnsi="Calibri" w:eastAsia="Calibri"/>
                <w:b w:val="0"/>
                <w:i w:val="0"/>
                <w:caps w:val="0"/>
                <w:color w:val="1F2937"/>
                <w:sz w:val="18"/>
              </w:rPr>
              <w:t>Date: 17 August 2026</w:t>
            </w:r>
          </w:p>
        </w:tc>
        <w:tc>
          <w:tcPr>
            <w:tcW w:w="2041200" w:type="dxa"/>
            <w:tcBorders>
              <w:top w:val="single" w:sz="8" w:space="0" w:color="C5CDD3"/>
              <w:left w:val="single" w:sz="8" w:space="0" w:color="C5CDD3"/>
              <w:bottom w:val="single" w:sz="8" w:space="0" w:color="C5CDD3"/>
              <w:right w:val="single" w:sz="8" w:space="0" w:color="C5CDD3"/>
            </w:tcBorders>
            <w:tcMar>
              <w:top w:w="120" w:type="dxa"/>
              <w:left w:w="120" w:type="dxa"/>
              <w:bottom w:w="120" w:type="dxa"/>
              <w:right w:w="120" w:type="dxa"/>
            </w:tcMar>
            <w:shd w:fill="FFFFFF" w:val="clear"/>
          </w:tcPr>
          <w:p>
            <w:r>
              <w:rPr>
                <w:rFonts w:ascii="Calibri" w:hAnsi="Calibri" w:eastAsia="Calibri"/>
                <w:b/>
                <w:i w:val="0"/>
                <w:caps w:val="0"/>
                <w:color w:val="0E6B7A"/>
                <w:sz w:val="16"/>
              </w:rPr>
              <w:t>REVIEWED BY</w:t>
            </w:r>
          </w:p>
          <w:p>
            <w:pPr>
              <w:spacing w:before="440"/>
            </w:pPr>
            <w:r>
              <w:rPr>
                <w:rFonts w:ascii="Calibri" w:hAnsi="Calibri" w:eastAsia="Calibri"/>
                <w:b w:val="0"/>
                <w:i w:val="0"/>
                <w:caps w:val="0"/>
                <w:color w:val="1F2937"/>
                <w:sz w:val="18"/>
              </w:rPr>
              <w:t>Signature: ____________________</w:t>
            </w:r>
          </w:p>
          <w:p>
            <w:r>
              <w:rPr>
                <w:rFonts w:ascii="Calibri" w:hAnsi="Calibri" w:eastAsia="Calibri"/>
                <w:b w:val="0"/>
                <w:i w:val="0"/>
                <w:caps w:val="0"/>
                <w:color w:val="1F2937"/>
                <w:sz w:val="18"/>
              </w:rPr>
              <w:t>Name: Quality Management Responsible Person</w:t>
            </w:r>
          </w:p>
          <w:p>
            <w:r>
              <w:rPr>
                <w:rFonts w:ascii="Calibri" w:hAnsi="Calibri" w:eastAsia="Calibri"/>
                <w:b w:val="0"/>
                <w:i w:val="0"/>
                <w:caps w:val="0"/>
                <w:color w:val="1F2937"/>
                <w:sz w:val="18"/>
              </w:rPr>
              <w:t>Date: 17 August 2026</w:t>
            </w:r>
          </w:p>
        </w:tc>
        <w:tc>
          <w:tcPr>
            <w:tcW w:w="2041200" w:type="dxa"/>
            <w:tcBorders>
              <w:top w:val="single" w:sz="8" w:space="0" w:color="C5CDD3"/>
              <w:left w:val="single" w:sz="8" w:space="0" w:color="C5CDD3"/>
              <w:bottom w:val="single" w:sz="8" w:space="0" w:color="C5CDD3"/>
              <w:right w:val="single" w:sz="8" w:space="0" w:color="C5CDD3"/>
            </w:tcBorders>
            <w:tcMar>
              <w:top w:w="120" w:type="dxa"/>
              <w:left w:w="120" w:type="dxa"/>
              <w:bottom w:w="120" w:type="dxa"/>
              <w:right w:w="120" w:type="dxa"/>
            </w:tcMar>
            <w:shd w:fill="FFFFFF" w:val="clear"/>
          </w:tcPr>
          <w:p>
            <w:r>
              <w:rPr>
                <w:rFonts w:ascii="Calibri" w:hAnsi="Calibri" w:eastAsia="Calibri"/>
                <w:b/>
                <w:i w:val="0"/>
                <w:caps w:val="0"/>
                <w:color w:val="0E6B7A"/>
                <w:sz w:val="16"/>
              </w:rPr>
              <w:t>APPROVED BY</w:t>
            </w:r>
          </w:p>
          <w:p>
            <w:pPr>
              <w:spacing w:before="440"/>
            </w:pPr>
            <w:r>
              <w:rPr>
                <w:rFonts w:ascii="Calibri" w:hAnsi="Calibri" w:eastAsia="Calibri"/>
                <w:b w:val="0"/>
                <w:i w:val="0"/>
                <w:caps w:val="0"/>
                <w:color w:val="1F2937"/>
                <w:sz w:val="18"/>
              </w:rPr>
              <w:t>Signature: ____________________</w:t>
            </w:r>
          </w:p>
          <w:p>
            <w:r>
              <w:rPr>
                <w:rFonts w:ascii="Calibri" w:hAnsi="Calibri" w:eastAsia="Calibri"/>
                <w:b w:val="0"/>
                <w:i w:val="0"/>
                <w:caps w:val="0"/>
                <w:color w:val="1F2937"/>
                <w:sz w:val="18"/>
              </w:rPr>
              <w:t>Name: Lawrence Muriuki, Chief Executive Officer and Founder</w:t>
            </w:r>
          </w:p>
          <w:p>
            <w:r>
              <w:rPr>
                <w:rFonts w:ascii="Calibri" w:hAnsi="Calibri" w:eastAsia="Calibri"/>
                <w:b w:val="0"/>
                <w:i w:val="0"/>
                <w:caps w:val="0"/>
                <w:color w:val="1F2937"/>
                <w:sz w:val="18"/>
              </w:rPr>
              <w:t>Date: 17 August 2026</w:t>
            </w:r>
          </w:p>
        </w:tc>
      </w:tr>
    </w:tbl>
    <w:p>
      <w:pPr>
        <w:spacing w:after="160"/>
      </w:pPr>
    </w:p>
    <w:p>
      <w:pPr>
        <w:keepNext/>
        <w:spacing w:before="200" w:after="120"/>
      </w:pPr>
      <w:r>
        <w:rPr>
          <w:rFonts w:ascii="Calibri" w:hAnsi="Calibri" w:eastAsia="Calibri"/>
          <w:b/>
          <w:i w:val="0"/>
          <w:caps w:val="0"/>
          <w:color w:val="0E6B7A"/>
          <w:sz w:val="24"/>
        </w:rPr>
        <w:t>Distribution List</w:t>
      </w:r>
    </w:p>
    <w:tbl>
      <w:tblPr>
        <w:jc w:val="center"/>
        <w:tblLayout w:type="fixed"/>
        <w:tblLook w:firstColumn="1" w:firstRow="1" w:lastColumn="0" w:lastRow="0" w:noHBand="0" w:noVBand="1" w:val="04A0"/>
        <w:tblW w:w="6120000" w:type="dxa"/>
      </w:tblPr>
      <w:tblGrid>
        <w:gridCol w:w="792000"/>
        <w:gridCol w:w="2700000"/>
        <w:gridCol w:w="2628000"/>
      </w:tblGrid>
      <w:tr>
        <w:trPr>
          <w:cantSplit/>
        </w:trPr>
        <w:tc>
          <w:tcPr>
            <w:tcW w:w="792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Copy</w:t>
            </w:r>
          </w:p>
        </w:tc>
        <w:tc>
          <w:tcPr>
            <w:tcW w:w="2700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Recipient</w:t>
            </w:r>
          </w:p>
        </w:tc>
        <w:tc>
          <w:tcPr>
            <w:tcW w:w="2628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Purpose</w:t>
            </w:r>
          </w:p>
        </w:tc>
      </w:tr>
      <w:tr>
        <w:trPr>
          <w:cantSplit/>
        </w:trPr>
        <w:tc>
          <w:tcPr>
            <w:tcW w:w="792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Master</w:t>
            </w:r>
          </w:p>
        </w:tc>
        <w:tc>
          <w:tcPr>
            <w:tcW w:w="270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Quality Management Office (controlled repository)</w:t>
            </w:r>
          </w:p>
        </w:tc>
        <w:tc>
          <w:tcPr>
            <w:tcW w:w="262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Document of record</w:t>
            </w:r>
          </w:p>
        </w:tc>
      </w:tr>
      <w:tr>
        <w:trPr>
          <w:cantSplit/>
        </w:trPr>
        <w:tc>
          <w:tcPr>
            <w:tcW w:w="792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1</w:t>
            </w:r>
          </w:p>
        </w:tc>
        <w:tc>
          <w:tcPr>
            <w:tcW w:w="270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Huawei TQC / CEG auditor</w:t>
            </w:r>
          </w:p>
        </w:tc>
        <w:tc>
          <w:tcPr>
            <w:tcW w:w="2628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Supplier document verification</w:t>
            </w:r>
          </w:p>
        </w:tc>
      </w:tr>
      <w:tr>
        <w:trPr>
          <w:cantSplit/>
        </w:trPr>
        <w:tc>
          <w:tcPr>
            <w:tcW w:w="792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2</w:t>
            </w:r>
          </w:p>
        </w:tc>
        <w:tc>
          <w:tcPr>
            <w:tcW w:w="270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Advanta Africa CEO / Management</w:t>
            </w:r>
          </w:p>
        </w:tc>
        <w:tc>
          <w:tcPr>
            <w:tcW w:w="262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Accountability and sponsorship</w:t>
            </w:r>
          </w:p>
        </w:tc>
      </w:tr>
      <w:tr>
        <w:trPr>
          <w:cantSplit/>
        </w:trPr>
        <w:tc>
          <w:tcPr>
            <w:tcW w:w="792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3</w:t>
            </w:r>
          </w:p>
        </w:tc>
        <w:tc>
          <w:tcPr>
            <w:tcW w:w="270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Data Protection Officer</w:t>
            </w:r>
          </w:p>
        </w:tc>
        <w:tc>
          <w:tcPr>
            <w:tcW w:w="2628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Privacy and cross-border controls</w:t>
            </w:r>
          </w:p>
        </w:tc>
      </w:tr>
      <w:tr>
        <w:trPr>
          <w:cantSplit/>
        </w:trPr>
        <w:tc>
          <w:tcPr>
            <w:tcW w:w="792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4</w:t>
            </w:r>
          </w:p>
        </w:tc>
        <w:tc>
          <w:tcPr>
            <w:tcW w:w="270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Content Compliance Officer</w:t>
            </w:r>
          </w:p>
        </w:tc>
        <w:tc>
          <w:tcPr>
            <w:tcW w:w="262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Content, IP, ethics and go-live review</w:t>
            </w:r>
          </w:p>
        </w:tc>
      </w:tr>
      <w:tr>
        <w:trPr>
          <w:cantSplit/>
        </w:trPr>
        <w:tc>
          <w:tcPr>
            <w:tcW w:w="792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5</w:t>
            </w:r>
          </w:p>
        </w:tc>
        <w:tc>
          <w:tcPr>
            <w:tcW w:w="270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VRBT Product and Operations</w:t>
            </w:r>
          </w:p>
        </w:tc>
        <w:tc>
          <w:tcPr>
            <w:tcW w:w="2628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Day-to-day implementation</w:t>
            </w:r>
          </w:p>
        </w:tc>
      </w:tr>
    </w:tbl>
    <w:p>
      <w:pPr>
        <w:spacing w:after="160"/>
      </w:pPr>
    </w:p>
    <w:sectPr w:rsidR="00FC693F" w:rsidRPr="0006063C" w:rsidSect="00034616">
      <w:headerReference w:type="default" r:id="rId9"/>
      <w:footerReference w:type="default" r:id="rId10"/>
      <w:pgSz w:w="11906" w:h="16838"/>
      <w:pgMar w:top="1361" w:right="1134" w:bottom="1247"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left"/>
      <w:pBdr>
        <w:bottom w:val="single" w:sz="12" w:space="4" w:color="122B4F"/>
      </w:pBdr>
    </w:pPr>
    <w:r>
      <w:rPr>
        <w:rFonts w:ascii="Calibri" w:hAnsi="Calibri" w:eastAsia="Calibri"/>
        <w:b w:val="0"/>
        <w:i w:val="0"/>
        <w:caps w:val="0"/>
        <w:color w:val="4B5563"/>
        <w:sz w:val="16"/>
      </w:rPr>
      <w:t xml:space="preserve">CONFIDENTIAL  ·  Huawei Supplier Audit Evidence  ·  PP 4.1.2  ·  </w:t>
    </w:r>
    <w:r>
      <w:rPr>
        <w:rFonts w:ascii="Calibri" w:hAnsi="Calibri" w:eastAsia="Calibri"/>
        <w:b w:val="0"/>
        <w:i w:val="0"/>
        <w:caps w:val="0"/>
        <w:color w:val="4B5563"/>
        <w:sz w:val="16"/>
      </w:rPr>
      <w:t xml:space="preserve">Page </w:t>
    </w:r>
    <w:r>
      <w:rPr>
        <w:rFonts w:ascii="Calibri" w:hAnsi="Calibri" w:eastAsia="Calibri"/>
        <w:b w:val="0"/>
        <w:i w:val="0"/>
        <w:caps w:val="0"/>
        <w:color w:val="4B5563"/>
        <w:sz w:val="16"/>
      </w:rPr>
      <w:fldChar w:fldCharType="begin"/>
      <w:instrText xml:space="preserve"> PAGE </w:instrText>
      <w:fldChar w:fldCharType="end"/>
    </w:r>
    <w:r>
      <w:rPr>
        <w:rFonts w:ascii="Calibri" w:hAnsi="Calibri" w:eastAsia="Calibri"/>
        <w:b w:val="0"/>
        <w:i w:val="0"/>
        <w:caps w:val="0"/>
        <w:color w:val="4B5563"/>
        <w:sz w:val="16"/>
      </w:rPr>
      <w:t xml:space="preserve"> of </w:t>
    </w:r>
    <w:r>
      <w:rPr>
        <w:rFonts w:ascii="Calibri" w:hAnsi="Calibri" w:eastAsia="Calibri"/>
        <w:b w:val="0"/>
        <w:i w:val="0"/>
        <w:caps w:val="0"/>
        <w:color w:val="4B5563"/>
        <w:sz w:val="16"/>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18" w:space="4" w:color="B88A2E"/>
      </w:pBdr>
    </w:pPr>
    <w:r>
      <w:rPr>
        <w:rFonts w:ascii="Calibri" w:hAnsi="Calibri" w:eastAsia="Calibri"/>
        <w:b/>
        <w:i w:val="0"/>
        <w:caps w:val="0"/>
        <w:color w:val="122B4F"/>
        <w:sz w:val="18"/>
      </w:rPr>
      <w:t>ADVANTA AFRICA LTD</w:t>
    </w:r>
    <w:r>
      <w:rPr>
        <w:rFonts w:ascii="Calibri" w:hAnsi="Calibri" w:eastAsia="Calibri"/>
        <w:b w:val="0"/>
        <w:i/>
        <w:caps w:val="0"/>
        <w:color w:val="4B5563"/>
        <w:sz w:val="16"/>
      </w:rPr>
      <w:t xml:space="preserve">  |  Smarter, Faster Messaging  |  </w:t>
    </w:r>
    <w:r>
      <w:rPr>
        <w:rFonts w:ascii="Calibri" w:hAnsi="Calibri" w:eastAsia="Calibri"/>
        <w:b/>
        <w:i w:val="0"/>
        <w:caps w:val="0"/>
        <w:color w:val="0E6B7A"/>
        <w:sz w:val="16"/>
      </w:rPr>
      <w:t>AA-VRBT-PP-4.1.2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276" w:lineRule="auto"/>
    </w:pPr>
    <w:rPr>
      <w:rFonts w:ascii="Calibri" w:hAnsi="Calibri" w:eastAsia="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