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 w:after="0"/>
        <w:jc w:val="center"/>
      </w:pPr>
      <w:r>
        <w:rPr>
          <w:rFonts w:ascii="Calibri" w:hAnsi="Calibri" w:eastAsia="Calibri"/>
          <w:b/>
          <w:i w:val="0"/>
          <w:caps w:val="0"/>
          <w:color w:val="122B4F"/>
          <w:sz w:val="44"/>
        </w:rPr>
        <w:t>ADVANTA AFRICA LTD</w:t>
      </w:r>
    </w:p>
    <w:p>
      <w:pPr>
        <w:spacing w:after="40"/>
        <w:jc w:val="center"/>
      </w:pPr>
      <w:r>
        <w:rPr>
          <w:rFonts w:ascii="Calibri" w:hAnsi="Calibri" w:eastAsia="Calibri"/>
          <w:b w:val="0"/>
          <w:i/>
          <w:caps w:val="0"/>
          <w:color w:val="0E6B7A"/>
          <w:sz w:val="24"/>
        </w:rPr>
        <w:t>Smarter, Faster Messaging</w:t>
      </w:r>
    </w:p>
    <w:p>
      <w:pPr>
        <w:spacing w:after="200"/>
        <w:jc w:val="center"/>
      </w:pPr>
      <w:r>
        <w:rPr>
          <w:rFonts w:ascii="Calibri" w:hAnsi="Calibri" w:eastAsia="Calibri"/>
          <w:b w:val="0"/>
          <w:i w:val="0"/>
          <w:caps w:val="0"/>
          <w:color w:val="4B5563"/>
          <w:sz w:val="18"/>
        </w:rPr>
        <w:t>Bulk SMS  ·  Short Codes  ·  SMS APIs  ·  USSD  ·  WhatsApp APIs  ·  VRBT</w:t>
      </w:r>
    </w:p>
    <w:tbl>
      <w:tblPr>
        <w:tblLayout w:type="fixed"/>
        <w:tblLook w:firstColumn="1" w:firstRow="1" w:lastColumn="0" w:lastRow="0" w:noHBand="0" w:noVBand="1" w:val="04A0"/>
        <w:tblW w:w="6120000" w:type="dxa"/>
      </w:tblPr>
      <w:tblGrid>
        <w:gridCol w:w="6120000"/>
      </w:tblGrid>
      <w:tr>
        <w:trPr>
          <w:trHeight w:val="68"/>
        </w:trPr>
        <w:tc>
          <w:tcPr>
            <w:tcW w:w="6120000" w:type="dxa"/>
            <w:shd w:fill="B88A2E" w:val="clear"/>
            <w:tcBorders>
              <w:top w:val="single" w:sz="0" w:space="0" w:color="B88A2E"/>
              <w:left w:val="single" w:sz="0" w:space="0" w:color="B88A2E"/>
              <w:bottom w:val="single" w:sz="0" w:space="0" w:color="B88A2E"/>
              <w:right w:val="single" w:sz="0" w:space="0" w:color="B88A2E"/>
            </w:tcBorders>
          </w:tcPr>
          <w:p>
            <w:pPr>
              <w:spacing w:after="0"/>
            </w:pPr>
          </w:p>
        </w:tc>
      </w:tr>
    </w:tbl>
    <w:p>
      <w:pPr>
        <w:spacing w:before="320" w:after="80"/>
        <w:jc w:val="center"/>
      </w:pPr>
      <w:r>
        <w:rPr>
          <w:rFonts w:ascii="Calibri" w:hAnsi="Calibri" w:eastAsia="Calibri"/>
          <w:b/>
          <w:i w:val="0"/>
          <w:caps/>
          <w:color w:val="B88A2E"/>
          <w:sz w:val="22"/>
        </w:rPr>
        <w:t>HUAWEI SUPPLIER AUDIT EVIDENCE PACK</w:t>
      </w:r>
    </w:p>
    <w:p>
      <w:pPr>
        <w:spacing w:after="120"/>
        <w:jc w:val="center"/>
      </w:pPr>
      <w:r>
        <w:rPr>
          <w:rFonts w:ascii="Calibri" w:hAnsi="Calibri" w:eastAsia="Calibri"/>
          <w:b/>
          <w:i w:val="0"/>
          <w:caps w:val="0"/>
          <w:color w:val="122B4F"/>
          <w:sz w:val="40"/>
        </w:rPr>
        <w:t>Personnel Privacy Controls and Disciplinary Mechanism</w:t>
      </w:r>
    </w:p>
    <w:p>
      <w:pPr>
        <w:spacing w:after="280"/>
        <w:jc w:val="center"/>
      </w:pPr>
      <w:r>
        <w:rPr>
          <w:rFonts w:ascii="Calibri" w:hAnsi="Calibri" w:eastAsia="Calibri"/>
          <w:b w:val="0"/>
          <w:i/>
          <w:caps w:val="0"/>
          <w:color w:val="0E6B7A"/>
          <w:sz w:val="24"/>
        </w:rPr>
        <w:t>Control process and penalties against illegal collection, resale, copying, transfer, disclosure, abuse or over-retention</w:t>
      </w:r>
    </w:p>
    <w:tbl>
      <w:tblPr>
        <w:tblLayout w:type="fixed"/>
        <w:tblLook w:firstColumn="1" w:firstRow="1" w:lastColumn="0" w:lastRow="0" w:noHBand="0" w:noVBand="1" w:val="04A0"/>
        <w:tblW w:w="6120000" w:type="dxa"/>
      </w:tblPr>
      <w:tblGrid>
        <w:gridCol w:w="6120000"/>
      </w:tblGrid>
      <w:tr>
        <w:tc>
          <w:tcPr>
            <w:tcW w:w="6120000" w:type="dxa"/>
            <w:shd w:fill="122B4F" w:val="clear"/>
            <w:tcBorders>
              <w:top w:val="single" w:sz="0" w:space="0" w:color="122B4F"/>
              <w:left w:val="single" w:sz="0" w:space="0" w:color="122B4F"/>
              <w:bottom w:val="single" w:sz="0" w:space="0" w:color="122B4F"/>
              <w:right w:val="single" w:sz="0" w:space="0" w:color="122B4F"/>
            </w:tcBorders>
            <w:tcMar>
              <w:top w:w="90" w:type="dxa"/>
              <w:left w:w="140" w:type="dxa"/>
              <w:bottom w:w="90" w:type="dxa"/>
              <w:right w:w="140" w:type="dxa"/>
            </w:tcMar>
          </w:tcPr>
          <w:p>
            <w:pPr>
              <w:jc w:val="center"/>
            </w:pPr>
            <w:r>
              <w:rPr>
                <w:rFonts w:ascii="Calibri" w:hAnsi="Calibri" w:eastAsia="Calibri"/>
                <w:b/>
                <w:i w:val="0"/>
                <w:caps w:val="0"/>
                <w:color w:val="FFFFFF"/>
                <w:sz w:val="22"/>
              </w:rPr>
              <w:t>PROJECT:  Video Ring Back Tune (VRBT) Service</w:t>
            </w:r>
          </w:p>
        </w:tc>
      </w:tr>
    </w:tbl>
    <w:p>
      <w:pPr>
        <w:spacing w:before="320" w:after="160"/>
      </w:pPr>
    </w:p>
    <w:tbl>
      <w:tblPr>
        <w:jc w:val="center"/>
        <w:tblLayout w:type="fixed"/>
        <w:tblLook w:firstColumn="1" w:firstRow="1" w:lastColumn="0" w:lastRow="0" w:noHBand="0" w:noVBand="1" w:val="04A0"/>
        <w:tblW w:w="6120000" w:type="dxa"/>
      </w:tblPr>
      <w:tblGrid>
        <w:gridCol w:w="1980000"/>
        <w:gridCol w:w="4140000"/>
      </w:tblGrid>
      <w:tr>
        <w:trPr>
          <w:cantSplit/>
        </w:trPr>
        <w:tc>
          <w:tcPr>
            <w:tcW w:w="1980000" w:type="dxa"/>
            <w:shd w:fill="122B4F" w:val="clear"/>
            <w:tcBorders>
              <w:top w:val="single" w:sz="4" w:space="0" w:color="FFFFFF"/>
              <w:left w:val="single" w:sz="4" w:space="0" w:color="FFFFFF"/>
              <w:bottom w:val="single" w:sz="4" w:space="0" w:color="FFFFFF"/>
              <w:right w:val="single" w:sz="4" w:space="0" w:color="FFFFFF"/>
            </w:tcBorders>
            <w:tcMar>
              <w:top w:w="70" w:type="dxa"/>
              <w:left w:w="120" w:type="dxa"/>
              <w:bottom w:w="70" w:type="dxa"/>
              <w:right w:w="120" w:type="dxa"/>
            </w:tcMar>
            <w:vAlign w:val="center"/>
          </w:tcPr>
          <w:p>
            <w:r>
              <w:rPr>
                <w:rFonts w:ascii="Calibri" w:hAnsi="Calibri" w:eastAsia="Calibri"/>
                <w:b/>
                <w:i w:val="0"/>
                <w:caps w:val="0"/>
                <w:color w:val="FFFFFF"/>
                <w:sz w:val="20"/>
              </w:rPr>
              <w:t>Document Number</w:t>
            </w:r>
          </w:p>
        </w:tc>
        <w:tc>
          <w:tcPr>
            <w:tcW w:w="4140000" w:type="dxa"/>
            <w:shd w:fill="F7F9FA" w:val="clear"/>
            <w:tcBorders>
              <w:top w:val="single" w:sz="4" w:space="0" w:color="FFFFFF"/>
              <w:left w:val="single" w:sz="4" w:space="0" w:color="FFFFFF"/>
              <w:bottom w:val="single" w:sz="4" w:space="0" w:color="FFFFFF"/>
              <w:right w:val="single" w:sz="4" w:space="0" w:color="FFFFFF"/>
            </w:tcBorders>
            <w:tcMar>
              <w:top w:w="70" w:type="dxa"/>
              <w:left w:w="120" w:type="dxa"/>
              <w:bottom w:w="70" w:type="dxa"/>
              <w:right w:w="120" w:type="dxa"/>
            </w:tcMar>
            <w:vAlign w:val="center"/>
          </w:tcPr>
          <w:p>
            <w:r>
              <w:rPr>
                <w:rFonts w:ascii="Calibri" w:hAnsi="Calibri" w:eastAsia="Calibri"/>
                <w:b w:val="0"/>
                <w:i w:val="0"/>
                <w:caps w:val="0"/>
                <w:color w:val="1F2937"/>
                <w:sz w:val="20"/>
              </w:rPr>
              <w:t>AA-VRBT-PP-4.2.1</w:t>
            </w:r>
          </w:p>
        </w:tc>
      </w:tr>
      <w:tr>
        <w:trPr>
          <w:cantSplit/>
        </w:trPr>
        <w:tc>
          <w:tcPr>
            <w:tcW w:w="1980000" w:type="dxa"/>
            <w:shd w:fill="0E6B7A" w:val="clear"/>
            <w:tcBorders>
              <w:top w:val="single" w:sz="4" w:space="0" w:color="FFFFFF"/>
              <w:left w:val="single" w:sz="4" w:space="0" w:color="FFFFFF"/>
              <w:bottom w:val="single" w:sz="4" w:space="0" w:color="FFFFFF"/>
              <w:right w:val="single" w:sz="4" w:space="0" w:color="FFFFFF"/>
            </w:tcBorders>
            <w:tcMar>
              <w:top w:w="70" w:type="dxa"/>
              <w:left w:w="120" w:type="dxa"/>
              <w:bottom w:w="70" w:type="dxa"/>
              <w:right w:w="120" w:type="dxa"/>
            </w:tcMar>
            <w:vAlign w:val="center"/>
          </w:tcPr>
          <w:p>
            <w:r>
              <w:rPr>
                <w:rFonts w:ascii="Calibri" w:hAnsi="Calibri" w:eastAsia="Calibri"/>
                <w:b/>
                <w:i w:val="0"/>
                <w:caps w:val="0"/>
                <w:color w:val="FFFFFF"/>
                <w:sz w:val="20"/>
              </w:rPr>
              <w:t>Questionnaire Reference</w:t>
            </w:r>
          </w:p>
        </w:tc>
        <w:tc>
          <w:tcPr>
            <w:tcW w:w="4140000" w:type="dxa"/>
            <w:shd w:fill="F7F9FA" w:val="clear"/>
            <w:tcBorders>
              <w:top w:val="single" w:sz="4" w:space="0" w:color="FFFFFF"/>
              <w:left w:val="single" w:sz="4" w:space="0" w:color="FFFFFF"/>
              <w:bottom w:val="single" w:sz="4" w:space="0" w:color="FFFFFF"/>
              <w:right w:val="single" w:sz="4" w:space="0" w:color="FFFFFF"/>
            </w:tcBorders>
            <w:tcMar>
              <w:top w:w="70" w:type="dxa"/>
              <w:left w:w="120" w:type="dxa"/>
              <w:bottom w:w="70" w:type="dxa"/>
              <w:right w:w="120" w:type="dxa"/>
            </w:tcMar>
            <w:vAlign w:val="center"/>
          </w:tcPr>
          <w:p>
            <w:r>
              <w:rPr>
                <w:rFonts w:ascii="Calibri" w:hAnsi="Calibri" w:eastAsia="Calibri"/>
                <w:b w:val="0"/>
                <w:i w:val="0"/>
                <w:caps w:val="0"/>
                <w:color w:val="1F2937"/>
                <w:sz w:val="20"/>
              </w:rPr>
              <w:t>Privacy Protection — No. 4.2.1  ·  Personnel Management</w:t>
            </w:r>
          </w:p>
        </w:tc>
      </w:tr>
      <w:tr>
        <w:trPr>
          <w:cantSplit/>
        </w:trPr>
        <w:tc>
          <w:tcPr>
            <w:tcW w:w="1980000" w:type="dxa"/>
            <w:shd w:fill="122B4F" w:val="clear"/>
            <w:tcBorders>
              <w:top w:val="single" w:sz="4" w:space="0" w:color="FFFFFF"/>
              <w:left w:val="single" w:sz="4" w:space="0" w:color="FFFFFF"/>
              <w:bottom w:val="single" w:sz="4" w:space="0" w:color="FFFFFF"/>
              <w:right w:val="single" w:sz="4" w:space="0" w:color="FFFFFF"/>
            </w:tcBorders>
            <w:tcMar>
              <w:top w:w="70" w:type="dxa"/>
              <w:left w:w="120" w:type="dxa"/>
              <w:bottom w:w="70" w:type="dxa"/>
              <w:right w:w="120" w:type="dxa"/>
            </w:tcMar>
            <w:vAlign w:val="center"/>
          </w:tcPr>
          <w:p>
            <w:r>
              <w:rPr>
                <w:rFonts w:ascii="Calibri" w:hAnsi="Calibri" w:eastAsia="Calibri"/>
                <w:b/>
                <w:i w:val="0"/>
                <w:caps w:val="0"/>
                <w:color w:val="FFFFFF"/>
                <w:sz w:val="20"/>
              </w:rPr>
              <w:t>Evidence Addresses</w:t>
            </w:r>
          </w:p>
        </w:tc>
        <w:tc>
          <w:tcPr>
            <w:tcW w:w="4140000" w:type="dxa"/>
            <w:shd w:fill="F7F9FA" w:val="clear"/>
            <w:tcBorders>
              <w:top w:val="single" w:sz="4" w:space="0" w:color="FFFFFF"/>
              <w:left w:val="single" w:sz="4" w:space="0" w:color="FFFFFF"/>
              <w:bottom w:val="single" w:sz="4" w:space="0" w:color="FFFFFF"/>
              <w:right w:val="single" w:sz="4" w:space="0" w:color="FFFFFF"/>
            </w:tcBorders>
            <w:tcMar>
              <w:top w:w="70" w:type="dxa"/>
              <w:left w:w="120" w:type="dxa"/>
              <w:bottom w:w="70" w:type="dxa"/>
              <w:right w:w="120" w:type="dxa"/>
            </w:tcMar>
            <w:vAlign w:val="center"/>
          </w:tcPr>
          <w:p>
            <w:r>
              <w:rPr>
                <w:rFonts w:ascii="Calibri" w:hAnsi="Calibri" w:eastAsia="Calibri"/>
                <w:b w:val="0"/>
                <w:i w:val="0"/>
                <w:caps w:val="0"/>
                <w:color w:val="1F2937"/>
                <w:sz w:val="20"/>
              </w:rPr>
              <w:t>A control process or penalty mechanism has been established to ensure that employees do not engage in illegal collection of personal data, illegal resale, unauthorised copying, improper transfer, illegal disclosure, abuse, or storage beyond the prescribed period.</w:t>
            </w:r>
          </w:p>
        </w:tc>
      </w:tr>
      <w:tr>
        <w:trPr>
          <w:cantSplit/>
        </w:trPr>
        <w:tc>
          <w:tcPr>
            <w:tcW w:w="1980000" w:type="dxa"/>
            <w:shd w:fill="0E6B7A" w:val="clear"/>
            <w:tcBorders>
              <w:top w:val="single" w:sz="4" w:space="0" w:color="FFFFFF"/>
              <w:left w:val="single" w:sz="4" w:space="0" w:color="FFFFFF"/>
              <w:bottom w:val="single" w:sz="4" w:space="0" w:color="FFFFFF"/>
              <w:right w:val="single" w:sz="4" w:space="0" w:color="FFFFFF"/>
            </w:tcBorders>
            <w:tcMar>
              <w:top w:w="70" w:type="dxa"/>
              <w:left w:w="120" w:type="dxa"/>
              <w:bottom w:w="70" w:type="dxa"/>
              <w:right w:w="120" w:type="dxa"/>
            </w:tcMar>
            <w:vAlign w:val="center"/>
          </w:tcPr>
          <w:p>
            <w:r>
              <w:rPr>
                <w:rFonts w:ascii="Calibri" w:hAnsi="Calibri" w:eastAsia="Calibri"/>
                <w:b/>
                <w:i w:val="0"/>
                <w:caps w:val="0"/>
                <w:color w:val="FFFFFF"/>
                <w:sz w:val="20"/>
              </w:rPr>
              <w:t>Document Version</w:t>
            </w:r>
          </w:p>
        </w:tc>
        <w:tc>
          <w:tcPr>
            <w:tcW w:w="4140000" w:type="dxa"/>
            <w:shd w:fill="F7F9FA" w:val="clear"/>
            <w:tcBorders>
              <w:top w:val="single" w:sz="4" w:space="0" w:color="FFFFFF"/>
              <w:left w:val="single" w:sz="4" w:space="0" w:color="FFFFFF"/>
              <w:bottom w:val="single" w:sz="4" w:space="0" w:color="FFFFFF"/>
              <w:right w:val="single" w:sz="4" w:space="0" w:color="FFFFFF"/>
            </w:tcBorders>
            <w:tcMar>
              <w:top w:w="70" w:type="dxa"/>
              <w:left w:w="120" w:type="dxa"/>
              <w:bottom w:w="70" w:type="dxa"/>
              <w:right w:w="120" w:type="dxa"/>
            </w:tcMar>
            <w:vAlign w:val="center"/>
          </w:tcPr>
          <w:p>
            <w:r>
              <w:rPr>
                <w:rFonts w:ascii="Calibri" w:hAnsi="Calibri" w:eastAsia="Calibri"/>
                <w:b w:val="0"/>
                <w:i w:val="0"/>
                <w:caps w:val="0"/>
                <w:color w:val="1F2937"/>
                <w:sz w:val="20"/>
              </w:rPr>
              <w:t>1.0  |  Issued for Audit</w:t>
            </w:r>
          </w:p>
        </w:tc>
      </w:tr>
      <w:tr>
        <w:trPr>
          <w:cantSplit/>
        </w:trPr>
        <w:tc>
          <w:tcPr>
            <w:tcW w:w="1980000" w:type="dxa"/>
            <w:shd w:fill="122B4F" w:val="clear"/>
            <w:tcBorders>
              <w:top w:val="single" w:sz="4" w:space="0" w:color="FFFFFF"/>
              <w:left w:val="single" w:sz="4" w:space="0" w:color="FFFFFF"/>
              <w:bottom w:val="single" w:sz="4" w:space="0" w:color="FFFFFF"/>
              <w:right w:val="single" w:sz="4" w:space="0" w:color="FFFFFF"/>
            </w:tcBorders>
            <w:tcMar>
              <w:top w:w="70" w:type="dxa"/>
              <w:left w:w="120" w:type="dxa"/>
              <w:bottom w:w="70" w:type="dxa"/>
              <w:right w:w="120" w:type="dxa"/>
            </w:tcMar>
            <w:vAlign w:val="center"/>
          </w:tcPr>
          <w:p>
            <w:r>
              <w:rPr>
                <w:rFonts w:ascii="Calibri" w:hAnsi="Calibri" w:eastAsia="Calibri"/>
                <w:b/>
                <w:i w:val="0"/>
                <w:caps w:val="0"/>
                <w:color w:val="FFFFFF"/>
                <w:sz w:val="20"/>
              </w:rPr>
              <w:t>Document Date</w:t>
            </w:r>
          </w:p>
        </w:tc>
        <w:tc>
          <w:tcPr>
            <w:tcW w:w="4140000" w:type="dxa"/>
            <w:shd w:fill="F7F9FA" w:val="clear"/>
            <w:tcBorders>
              <w:top w:val="single" w:sz="4" w:space="0" w:color="FFFFFF"/>
              <w:left w:val="single" w:sz="4" w:space="0" w:color="FFFFFF"/>
              <w:bottom w:val="single" w:sz="4" w:space="0" w:color="FFFFFF"/>
              <w:right w:val="single" w:sz="4" w:space="0" w:color="FFFFFF"/>
            </w:tcBorders>
            <w:tcMar>
              <w:top w:w="70" w:type="dxa"/>
              <w:left w:w="120" w:type="dxa"/>
              <w:bottom w:w="70" w:type="dxa"/>
              <w:right w:w="120" w:type="dxa"/>
            </w:tcMar>
            <w:vAlign w:val="center"/>
          </w:tcPr>
          <w:p>
            <w:r>
              <w:rPr>
                <w:rFonts w:ascii="Calibri" w:hAnsi="Calibri" w:eastAsia="Calibri"/>
                <w:b w:val="0"/>
                <w:i w:val="0"/>
                <w:caps w:val="0"/>
                <w:color w:val="1F2937"/>
                <w:sz w:val="20"/>
              </w:rPr>
              <w:t>17 August 2026</w:t>
            </w:r>
          </w:p>
        </w:tc>
      </w:tr>
      <w:tr>
        <w:trPr>
          <w:cantSplit/>
        </w:trPr>
        <w:tc>
          <w:tcPr>
            <w:tcW w:w="1980000" w:type="dxa"/>
            <w:shd w:fill="0E6B7A" w:val="clear"/>
            <w:tcBorders>
              <w:top w:val="single" w:sz="4" w:space="0" w:color="FFFFFF"/>
              <w:left w:val="single" w:sz="4" w:space="0" w:color="FFFFFF"/>
              <w:bottom w:val="single" w:sz="4" w:space="0" w:color="FFFFFF"/>
              <w:right w:val="single" w:sz="4" w:space="0" w:color="FFFFFF"/>
            </w:tcBorders>
            <w:tcMar>
              <w:top w:w="70" w:type="dxa"/>
              <w:left w:w="120" w:type="dxa"/>
              <w:bottom w:w="70" w:type="dxa"/>
              <w:right w:w="120" w:type="dxa"/>
            </w:tcMar>
            <w:vAlign w:val="center"/>
          </w:tcPr>
          <w:p>
            <w:r>
              <w:rPr>
                <w:rFonts w:ascii="Calibri" w:hAnsi="Calibri" w:eastAsia="Calibri"/>
                <w:b/>
                <w:i w:val="0"/>
                <w:caps w:val="0"/>
                <w:color w:val="FFFFFF"/>
                <w:sz w:val="20"/>
              </w:rPr>
              <w:t>Effective Date</w:t>
            </w:r>
          </w:p>
        </w:tc>
        <w:tc>
          <w:tcPr>
            <w:tcW w:w="4140000" w:type="dxa"/>
            <w:shd w:fill="F7F9FA" w:val="clear"/>
            <w:tcBorders>
              <w:top w:val="single" w:sz="4" w:space="0" w:color="FFFFFF"/>
              <w:left w:val="single" w:sz="4" w:space="0" w:color="FFFFFF"/>
              <w:bottom w:val="single" w:sz="4" w:space="0" w:color="FFFFFF"/>
              <w:right w:val="single" w:sz="4" w:space="0" w:color="FFFFFF"/>
            </w:tcBorders>
            <w:tcMar>
              <w:top w:w="70" w:type="dxa"/>
              <w:left w:w="120" w:type="dxa"/>
              <w:bottom w:w="70" w:type="dxa"/>
              <w:right w:w="120" w:type="dxa"/>
            </w:tcMar>
            <w:vAlign w:val="center"/>
          </w:tcPr>
          <w:p>
            <w:r>
              <w:rPr>
                <w:rFonts w:ascii="Calibri" w:hAnsi="Calibri" w:eastAsia="Calibri"/>
                <w:b w:val="0"/>
                <w:i w:val="0"/>
                <w:caps w:val="0"/>
                <w:color w:val="1F2937"/>
                <w:sz w:val="20"/>
              </w:rPr>
              <w:t>01 August 2026</w:t>
            </w:r>
          </w:p>
        </w:tc>
      </w:tr>
      <w:tr>
        <w:trPr>
          <w:cantSplit/>
        </w:trPr>
        <w:tc>
          <w:tcPr>
            <w:tcW w:w="1980000" w:type="dxa"/>
            <w:shd w:fill="122B4F" w:val="clear"/>
            <w:tcBorders>
              <w:top w:val="single" w:sz="4" w:space="0" w:color="FFFFFF"/>
              <w:left w:val="single" w:sz="4" w:space="0" w:color="FFFFFF"/>
              <w:bottom w:val="single" w:sz="4" w:space="0" w:color="FFFFFF"/>
              <w:right w:val="single" w:sz="4" w:space="0" w:color="FFFFFF"/>
            </w:tcBorders>
            <w:tcMar>
              <w:top w:w="70" w:type="dxa"/>
              <w:left w:w="120" w:type="dxa"/>
              <w:bottom w:w="70" w:type="dxa"/>
              <w:right w:w="120" w:type="dxa"/>
            </w:tcMar>
            <w:vAlign w:val="center"/>
          </w:tcPr>
          <w:p>
            <w:r>
              <w:rPr>
                <w:rFonts w:ascii="Calibri" w:hAnsi="Calibri" w:eastAsia="Calibri"/>
                <w:b/>
                <w:i w:val="0"/>
                <w:caps w:val="0"/>
                <w:color w:val="FFFFFF"/>
                <w:sz w:val="20"/>
              </w:rPr>
              <w:t>Next Review Date</w:t>
            </w:r>
          </w:p>
        </w:tc>
        <w:tc>
          <w:tcPr>
            <w:tcW w:w="4140000" w:type="dxa"/>
            <w:shd w:fill="F7F9FA" w:val="clear"/>
            <w:tcBorders>
              <w:top w:val="single" w:sz="4" w:space="0" w:color="FFFFFF"/>
              <w:left w:val="single" w:sz="4" w:space="0" w:color="FFFFFF"/>
              <w:bottom w:val="single" w:sz="4" w:space="0" w:color="FFFFFF"/>
              <w:right w:val="single" w:sz="4" w:space="0" w:color="FFFFFF"/>
            </w:tcBorders>
            <w:tcMar>
              <w:top w:w="70" w:type="dxa"/>
              <w:left w:w="120" w:type="dxa"/>
              <w:bottom w:w="70" w:type="dxa"/>
              <w:right w:w="120" w:type="dxa"/>
            </w:tcMar>
            <w:vAlign w:val="center"/>
          </w:tcPr>
          <w:p>
            <w:r>
              <w:rPr>
                <w:rFonts w:ascii="Calibri" w:hAnsi="Calibri" w:eastAsia="Calibri"/>
                <w:b w:val="0"/>
                <w:i w:val="0"/>
                <w:caps w:val="0"/>
                <w:color w:val="1F2937"/>
                <w:sz w:val="20"/>
              </w:rPr>
              <w:t>31 July 2027</w:t>
            </w:r>
          </w:p>
        </w:tc>
      </w:tr>
      <w:tr>
        <w:trPr>
          <w:cantSplit/>
        </w:trPr>
        <w:tc>
          <w:tcPr>
            <w:tcW w:w="1980000" w:type="dxa"/>
            <w:shd w:fill="0E6B7A" w:val="clear"/>
            <w:tcBorders>
              <w:top w:val="single" w:sz="4" w:space="0" w:color="FFFFFF"/>
              <w:left w:val="single" w:sz="4" w:space="0" w:color="FFFFFF"/>
              <w:bottom w:val="single" w:sz="4" w:space="0" w:color="FFFFFF"/>
              <w:right w:val="single" w:sz="4" w:space="0" w:color="FFFFFF"/>
            </w:tcBorders>
            <w:tcMar>
              <w:top w:w="70" w:type="dxa"/>
              <w:left w:w="120" w:type="dxa"/>
              <w:bottom w:w="70" w:type="dxa"/>
              <w:right w:w="120" w:type="dxa"/>
            </w:tcMar>
            <w:vAlign w:val="center"/>
          </w:tcPr>
          <w:p>
            <w:r>
              <w:rPr>
                <w:rFonts w:ascii="Calibri" w:hAnsi="Calibri" w:eastAsia="Calibri"/>
                <w:b/>
                <w:i w:val="0"/>
                <w:caps w:val="0"/>
                <w:color w:val="FFFFFF"/>
                <w:sz w:val="20"/>
              </w:rPr>
              <w:t>Classification</w:t>
            </w:r>
          </w:p>
        </w:tc>
        <w:tc>
          <w:tcPr>
            <w:tcW w:w="4140000" w:type="dxa"/>
            <w:shd w:fill="F7F9FA" w:val="clear"/>
            <w:tcBorders>
              <w:top w:val="single" w:sz="4" w:space="0" w:color="FFFFFF"/>
              <w:left w:val="single" w:sz="4" w:space="0" w:color="FFFFFF"/>
              <w:bottom w:val="single" w:sz="4" w:space="0" w:color="FFFFFF"/>
              <w:right w:val="single" w:sz="4" w:space="0" w:color="FFFFFF"/>
            </w:tcBorders>
            <w:tcMar>
              <w:top w:w="70" w:type="dxa"/>
              <w:left w:w="120" w:type="dxa"/>
              <w:bottom w:w="70" w:type="dxa"/>
              <w:right w:w="120" w:type="dxa"/>
            </w:tcMar>
            <w:vAlign w:val="center"/>
          </w:tcPr>
          <w:p>
            <w:r>
              <w:rPr>
                <w:rFonts w:ascii="Calibri" w:hAnsi="Calibri" w:eastAsia="Calibri"/>
                <w:b w:val="0"/>
                <w:i w:val="0"/>
                <w:caps w:val="0"/>
                <w:color w:val="1F2937"/>
                <w:sz w:val="20"/>
              </w:rPr>
              <w:t>Confidential — Restricted to Advanta Africa, Huawei TQC/CEG and authorised auditors</w:t>
            </w:r>
          </w:p>
        </w:tc>
      </w:tr>
      <w:tr>
        <w:trPr>
          <w:cantSplit/>
        </w:trPr>
        <w:tc>
          <w:tcPr>
            <w:tcW w:w="1980000" w:type="dxa"/>
            <w:shd w:fill="122B4F" w:val="clear"/>
            <w:tcBorders>
              <w:top w:val="single" w:sz="4" w:space="0" w:color="FFFFFF"/>
              <w:left w:val="single" w:sz="4" w:space="0" w:color="FFFFFF"/>
              <w:bottom w:val="single" w:sz="4" w:space="0" w:color="FFFFFF"/>
              <w:right w:val="single" w:sz="4" w:space="0" w:color="FFFFFF"/>
            </w:tcBorders>
            <w:tcMar>
              <w:top w:w="70" w:type="dxa"/>
              <w:left w:w="120" w:type="dxa"/>
              <w:bottom w:w="70" w:type="dxa"/>
              <w:right w:w="120" w:type="dxa"/>
            </w:tcMar>
            <w:vAlign w:val="center"/>
          </w:tcPr>
          <w:p>
            <w:r>
              <w:rPr>
                <w:rFonts w:ascii="Calibri" w:hAnsi="Calibri" w:eastAsia="Calibri"/>
                <w:b/>
                <w:i w:val="0"/>
                <w:caps w:val="0"/>
                <w:color w:val="FFFFFF"/>
                <w:sz w:val="20"/>
              </w:rPr>
              <w:t>Prepared For</w:t>
            </w:r>
          </w:p>
        </w:tc>
        <w:tc>
          <w:tcPr>
            <w:tcW w:w="4140000" w:type="dxa"/>
            <w:shd w:fill="F7F9FA" w:val="clear"/>
            <w:tcBorders>
              <w:top w:val="single" w:sz="4" w:space="0" w:color="FFFFFF"/>
              <w:left w:val="single" w:sz="4" w:space="0" w:color="FFFFFF"/>
              <w:bottom w:val="single" w:sz="4" w:space="0" w:color="FFFFFF"/>
              <w:right w:val="single" w:sz="4" w:space="0" w:color="FFFFFF"/>
            </w:tcBorders>
            <w:tcMar>
              <w:top w:w="70" w:type="dxa"/>
              <w:left w:w="120" w:type="dxa"/>
              <w:bottom w:w="70" w:type="dxa"/>
              <w:right w:w="120" w:type="dxa"/>
            </w:tcMar>
            <w:vAlign w:val="center"/>
          </w:tcPr>
          <w:p>
            <w:r>
              <w:rPr>
                <w:rFonts w:ascii="Calibri" w:hAnsi="Calibri" w:eastAsia="Calibri"/>
                <w:b w:val="0"/>
                <w:i w:val="0"/>
                <w:caps w:val="0"/>
                <w:color w:val="1F2937"/>
                <w:sz w:val="20"/>
              </w:rPr>
              <w:t>Huawei Technologies  ·  Reviewer: TQC / CEG  ·  Method: Document Verification</w:t>
            </w:r>
          </w:p>
        </w:tc>
      </w:tr>
      <w:tr>
        <w:trPr>
          <w:cantSplit/>
        </w:trPr>
        <w:tc>
          <w:tcPr>
            <w:tcW w:w="1980000" w:type="dxa"/>
            <w:shd w:fill="0E6B7A" w:val="clear"/>
            <w:tcBorders>
              <w:top w:val="single" w:sz="4" w:space="0" w:color="FFFFFF"/>
              <w:left w:val="single" w:sz="4" w:space="0" w:color="FFFFFF"/>
              <w:bottom w:val="single" w:sz="4" w:space="0" w:color="FFFFFF"/>
              <w:right w:val="single" w:sz="4" w:space="0" w:color="FFFFFF"/>
            </w:tcBorders>
            <w:tcMar>
              <w:top w:w="70" w:type="dxa"/>
              <w:left w:w="120" w:type="dxa"/>
              <w:bottom w:w="70" w:type="dxa"/>
              <w:right w:w="120" w:type="dxa"/>
            </w:tcMar>
            <w:vAlign w:val="center"/>
          </w:tcPr>
          <w:p>
            <w:r>
              <w:rPr>
                <w:rFonts w:ascii="Calibri" w:hAnsi="Calibri" w:eastAsia="Calibri"/>
                <w:b/>
                <w:i w:val="0"/>
                <w:caps w:val="0"/>
                <w:color w:val="FFFFFF"/>
                <w:sz w:val="20"/>
              </w:rPr>
              <w:t>Prepared By</w:t>
            </w:r>
          </w:p>
        </w:tc>
        <w:tc>
          <w:tcPr>
            <w:tcW w:w="4140000" w:type="dxa"/>
            <w:shd w:fill="F7F9FA" w:val="clear"/>
            <w:tcBorders>
              <w:top w:val="single" w:sz="4" w:space="0" w:color="FFFFFF"/>
              <w:left w:val="single" w:sz="4" w:space="0" w:color="FFFFFF"/>
              <w:bottom w:val="single" w:sz="4" w:space="0" w:color="FFFFFF"/>
              <w:right w:val="single" w:sz="4" w:space="0" w:color="FFFFFF"/>
            </w:tcBorders>
            <w:tcMar>
              <w:top w:w="70" w:type="dxa"/>
              <w:left w:w="120" w:type="dxa"/>
              <w:bottom w:w="70" w:type="dxa"/>
              <w:right w:w="120" w:type="dxa"/>
            </w:tcMar>
            <w:vAlign w:val="center"/>
          </w:tcPr>
          <w:p>
            <w:r>
              <w:rPr>
                <w:rFonts w:ascii="Calibri" w:hAnsi="Calibri" w:eastAsia="Calibri"/>
                <w:b w:val="0"/>
                <w:i w:val="0"/>
                <w:caps w:val="0"/>
                <w:color w:val="1F2937"/>
                <w:sz w:val="20"/>
              </w:rPr>
              <w:t>Quality Management Office, Advanta Africa Ltd</w:t>
            </w:r>
          </w:p>
        </w:tc>
      </w:tr>
      <w:tr>
        <w:trPr>
          <w:cantSplit/>
        </w:trPr>
        <w:tc>
          <w:tcPr>
            <w:tcW w:w="1980000" w:type="dxa"/>
            <w:shd w:fill="122B4F" w:val="clear"/>
            <w:tcBorders>
              <w:top w:val="single" w:sz="4" w:space="0" w:color="FFFFFF"/>
              <w:left w:val="single" w:sz="4" w:space="0" w:color="FFFFFF"/>
              <w:bottom w:val="single" w:sz="4" w:space="0" w:color="FFFFFF"/>
              <w:right w:val="single" w:sz="4" w:space="0" w:color="FFFFFF"/>
            </w:tcBorders>
            <w:tcMar>
              <w:top w:w="70" w:type="dxa"/>
              <w:left w:w="120" w:type="dxa"/>
              <w:bottom w:w="70" w:type="dxa"/>
              <w:right w:w="120" w:type="dxa"/>
            </w:tcMar>
            <w:vAlign w:val="center"/>
          </w:tcPr>
          <w:p>
            <w:r>
              <w:rPr>
                <w:rFonts w:ascii="Calibri" w:hAnsi="Calibri" w:eastAsia="Calibri"/>
                <w:b/>
                <w:i w:val="0"/>
                <w:caps w:val="0"/>
                <w:color w:val="FFFFFF"/>
                <w:sz w:val="20"/>
              </w:rPr>
              <w:t>Approved By</w:t>
            </w:r>
          </w:p>
        </w:tc>
        <w:tc>
          <w:tcPr>
            <w:tcW w:w="4140000" w:type="dxa"/>
            <w:shd w:fill="F7F9FA" w:val="clear"/>
            <w:tcBorders>
              <w:top w:val="single" w:sz="4" w:space="0" w:color="FFFFFF"/>
              <w:left w:val="single" w:sz="4" w:space="0" w:color="FFFFFF"/>
              <w:bottom w:val="single" w:sz="4" w:space="0" w:color="FFFFFF"/>
              <w:right w:val="single" w:sz="4" w:space="0" w:color="FFFFFF"/>
            </w:tcBorders>
            <w:tcMar>
              <w:top w:w="70" w:type="dxa"/>
              <w:left w:w="120" w:type="dxa"/>
              <w:bottom w:w="70" w:type="dxa"/>
              <w:right w:w="120" w:type="dxa"/>
            </w:tcMar>
            <w:vAlign w:val="center"/>
          </w:tcPr>
          <w:p>
            <w:r>
              <w:rPr>
                <w:rFonts w:ascii="Calibri" w:hAnsi="Calibri" w:eastAsia="Calibri"/>
                <w:b w:val="0"/>
                <w:i w:val="0"/>
                <w:caps w:val="0"/>
                <w:color w:val="1F2937"/>
                <w:sz w:val="20"/>
              </w:rPr>
              <w:t>Lawrence Muriuki, Chief Executive Officer and Founder</w:t>
            </w:r>
          </w:p>
        </w:tc>
      </w:tr>
      <w:tr>
        <w:trPr>
          <w:cantSplit/>
        </w:trPr>
        <w:tc>
          <w:tcPr>
            <w:tcW w:w="1980000" w:type="dxa"/>
            <w:shd w:fill="0E6B7A" w:val="clear"/>
            <w:tcBorders>
              <w:top w:val="single" w:sz="4" w:space="0" w:color="FFFFFF"/>
              <w:left w:val="single" w:sz="4" w:space="0" w:color="FFFFFF"/>
              <w:bottom w:val="single" w:sz="4" w:space="0" w:color="FFFFFF"/>
              <w:right w:val="single" w:sz="4" w:space="0" w:color="FFFFFF"/>
            </w:tcBorders>
            <w:tcMar>
              <w:top w:w="70" w:type="dxa"/>
              <w:left w:w="120" w:type="dxa"/>
              <w:bottom w:w="70" w:type="dxa"/>
              <w:right w:w="120" w:type="dxa"/>
            </w:tcMar>
            <w:vAlign w:val="center"/>
          </w:tcPr>
          <w:p>
            <w:r>
              <w:rPr>
                <w:rFonts w:ascii="Calibri" w:hAnsi="Calibri" w:eastAsia="Calibri"/>
                <w:b/>
                <w:i w:val="0"/>
                <w:caps w:val="0"/>
                <w:color w:val="FFFFFF"/>
                <w:sz w:val="20"/>
              </w:rPr>
              <w:t>Owner</w:t>
            </w:r>
          </w:p>
        </w:tc>
        <w:tc>
          <w:tcPr>
            <w:tcW w:w="4140000" w:type="dxa"/>
            <w:shd w:fill="F7F9FA" w:val="clear"/>
            <w:tcBorders>
              <w:top w:val="single" w:sz="4" w:space="0" w:color="FFFFFF"/>
              <w:left w:val="single" w:sz="4" w:space="0" w:color="FFFFFF"/>
              <w:bottom w:val="single" w:sz="4" w:space="0" w:color="FFFFFF"/>
              <w:right w:val="single" w:sz="4" w:space="0" w:color="FFFFFF"/>
            </w:tcBorders>
            <w:tcMar>
              <w:top w:w="70" w:type="dxa"/>
              <w:left w:w="120" w:type="dxa"/>
              <w:bottom w:w="70" w:type="dxa"/>
              <w:right w:w="120" w:type="dxa"/>
            </w:tcMar>
            <w:vAlign w:val="center"/>
          </w:tcPr>
          <w:p>
            <w:r>
              <w:rPr>
                <w:rFonts w:ascii="Calibri" w:hAnsi="Calibri" w:eastAsia="Calibri"/>
                <w:b w:val="0"/>
                <w:i w:val="0"/>
                <w:caps w:val="0"/>
                <w:color w:val="1F2937"/>
                <w:sz w:val="20"/>
              </w:rPr>
              <w:t>Quality Management Responsible Person (QMRP)</w:t>
            </w:r>
          </w:p>
        </w:tc>
      </w:tr>
      <w:tr>
        <w:trPr>
          <w:cantSplit/>
        </w:trPr>
        <w:tc>
          <w:tcPr>
            <w:tcW w:w="1980000" w:type="dxa"/>
            <w:shd w:fill="122B4F" w:val="clear"/>
            <w:tcBorders>
              <w:top w:val="single" w:sz="4" w:space="0" w:color="FFFFFF"/>
              <w:left w:val="single" w:sz="4" w:space="0" w:color="FFFFFF"/>
              <w:bottom w:val="single" w:sz="4" w:space="0" w:color="FFFFFF"/>
              <w:right w:val="single" w:sz="4" w:space="0" w:color="FFFFFF"/>
            </w:tcBorders>
            <w:tcMar>
              <w:top w:w="70" w:type="dxa"/>
              <w:left w:w="120" w:type="dxa"/>
              <w:bottom w:w="70" w:type="dxa"/>
              <w:right w:w="120" w:type="dxa"/>
            </w:tcMar>
            <w:vAlign w:val="center"/>
          </w:tcPr>
          <w:p>
            <w:r>
              <w:rPr>
                <w:rFonts w:ascii="Calibri" w:hAnsi="Calibri" w:eastAsia="Calibri"/>
                <w:b/>
                <w:i w:val="0"/>
                <w:caps w:val="0"/>
                <w:color w:val="FFFFFF"/>
                <w:sz w:val="20"/>
              </w:rPr>
              <w:t>Related Contract</w:t>
            </w:r>
          </w:p>
        </w:tc>
        <w:tc>
          <w:tcPr>
            <w:tcW w:w="4140000" w:type="dxa"/>
            <w:shd w:fill="F7F9FA" w:val="clear"/>
            <w:tcBorders>
              <w:top w:val="single" w:sz="4" w:space="0" w:color="FFFFFF"/>
              <w:left w:val="single" w:sz="4" w:space="0" w:color="FFFFFF"/>
              <w:bottom w:val="single" w:sz="4" w:space="0" w:color="FFFFFF"/>
              <w:right w:val="single" w:sz="4" w:space="0" w:color="FFFFFF"/>
            </w:tcBorders>
            <w:tcMar>
              <w:top w:w="70" w:type="dxa"/>
              <w:left w:w="120" w:type="dxa"/>
              <w:bottom w:w="70" w:type="dxa"/>
              <w:right w:w="120" w:type="dxa"/>
            </w:tcMar>
            <w:vAlign w:val="center"/>
          </w:tcPr>
          <w:p>
            <w:r>
              <w:rPr>
                <w:rFonts w:ascii="Calibri" w:hAnsi="Calibri" w:eastAsia="Calibri"/>
                <w:b w:val="0"/>
                <w:i w:val="0"/>
                <w:caps w:val="0"/>
                <w:color w:val="1F2937"/>
                <w:sz w:val="20"/>
              </w:rPr>
              <w:t>Huawei content / VAS cooperation for DIY Audio, Video, Game and E-book scenarios, as applied to VRBT</w:t>
            </w:r>
          </w:p>
        </w:tc>
      </w:tr>
    </w:tbl>
    <w:p>
      <w:pPr>
        <w:spacing w:before="360"/>
        <w:jc w:val="center"/>
      </w:pPr>
      <w:r>
        <w:rPr>
          <w:rFonts w:ascii="Calibri" w:hAnsi="Calibri" w:eastAsia="Calibri"/>
          <w:b w:val="0"/>
          <w:i w:val="0"/>
          <w:caps w:val="0"/>
          <w:color w:val="4B5563"/>
          <w:sz w:val="18"/>
        </w:rPr>
        <w:t>Western Heights, 6th Floor, Karuna Road, Westlands, Nairobi, Kenya</w:t>
      </w:r>
    </w:p>
    <w:p>
      <w:pPr>
        <w:spacing w:after="0"/>
        <w:jc w:val="center"/>
      </w:pPr>
      <w:r>
        <w:rPr>
          <w:rFonts w:ascii="Calibri" w:hAnsi="Calibri" w:eastAsia="Calibri"/>
          <w:b w:val="0"/>
          <w:i w:val="0"/>
          <w:caps w:val="0"/>
          <w:color w:val="4B5563"/>
          <w:sz w:val="18"/>
        </w:rPr>
        <w:t>P.O. Box 1035-00200, City Square, Nairobi  ·  Tel: +254 111 139 000  ·  www.advantasms.com | www.advanta.africa</w:t>
      </w:r>
    </w:p>
    <w:p>
      <w:r>
        <w:br w:type="page"/>
      </w:r>
    </w:p>
    <w:p>
      <w:pPr>
        <w:keepNext/>
        <w:spacing w:before="280" w:after="120"/>
        <w:pBdr>
          <w:bottom w:val="single" w:sz="10" w:space="4" w:color="B88A2E"/>
        </w:pBdr>
      </w:pPr>
      <w:r>
        <w:rPr>
          <w:rFonts w:ascii="Calibri" w:hAnsi="Calibri" w:eastAsia="Calibri"/>
          <w:b/>
          <w:i w:val="0"/>
          <w:caps w:val="0"/>
          <w:color w:val="122B4F"/>
          <w:sz w:val="28"/>
        </w:rPr>
        <w:t>Document Control and Revision History</w:t>
      </w:r>
    </w:p>
    <w:tbl>
      <w:tblPr>
        <w:jc w:val="center"/>
        <w:tblLayout w:type="fixed"/>
        <w:tblLook w:firstColumn="1" w:firstRow="1" w:lastColumn="0" w:lastRow="0" w:noHBand="0" w:noVBand="1" w:val="04A0"/>
        <w:tblW w:w="6120000" w:type="dxa"/>
      </w:tblPr>
      <w:tblGrid>
        <w:gridCol w:w="792000"/>
        <w:gridCol w:w="1080000"/>
        <w:gridCol w:w="1800000"/>
        <w:gridCol w:w="2448000"/>
      </w:tblGrid>
      <w:tr>
        <w:trPr>
          <w:cantSplit/>
        </w:trPr>
        <w:tc>
          <w:tcPr>
            <w:tcW w:w="792000" w:type="dxa"/>
            <w:shd w:fill="122B4F" w:val="clear"/>
            <w:tcBorders>
              <w:top w:val="single" w:sz="4" w:space="0" w:color="122B4F"/>
              <w:left w:val="single" w:sz="4" w:space="0" w:color="122B4F"/>
              <w:bottom w:val="single" w:sz="4" w:space="0" w:color="122B4F"/>
              <w:right w:val="single" w:sz="4" w:space="0" w:color="122B4F"/>
            </w:tcBorders>
            <w:tcMar>
              <w:top w:w="60" w:type="dxa"/>
              <w:left w:w="80" w:type="dxa"/>
              <w:bottom w:w="60" w:type="dxa"/>
              <w:right w:w="80" w:type="dxa"/>
            </w:tcMar>
            <w:vAlign w:val="center"/>
          </w:tcPr>
          <w:p>
            <w:pPr>
              <w:spacing w:after="0"/>
            </w:pPr>
            <w:r>
              <w:rPr>
                <w:rFonts w:ascii="Calibri" w:hAnsi="Calibri" w:eastAsia="Calibri"/>
                <w:b/>
                <w:i w:val="0"/>
                <w:caps w:val="0"/>
                <w:color w:val="FFFFFF"/>
                <w:sz w:val="18"/>
              </w:rPr>
              <w:t>Version</w:t>
            </w:r>
          </w:p>
        </w:tc>
        <w:tc>
          <w:tcPr>
            <w:tcW w:w="1080000" w:type="dxa"/>
            <w:shd w:fill="122B4F" w:val="clear"/>
            <w:tcBorders>
              <w:top w:val="single" w:sz="4" w:space="0" w:color="122B4F"/>
              <w:left w:val="single" w:sz="4" w:space="0" w:color="122B4F"/>
              <w:bottom w:val="single" w:sz="4" w:space="0" w:color="122B4F"/>
              <w:right w:val="single" w:sz="4" w:space="0" w:color="122B4F"/>
            </w:tcBorders>
            <w:tcMar>
              <w:top w:w="60" w:type="dxa"/>
              <w:left w:w="80" w:type="dxa"/>
              <w:bottom w:w="60" w:type="dxa"/>
              <w:right w:w="80" w:type="dxa"/>
            </w:tcMar>
            <w:vAlign w:val="center"/>
          </w:tcPr>
          <w:p>
            <w:pPr>
              <w:spacing w:after="0"/>
            </w:pPr>
            <w:r>
              <w:rPr>
                <w:rFonts w:ascii="Calibri" w:hAnsi="Calibri" w:eastAsia="Calibri"/>
                <w:b/>
                <w:i w:val="0"/>
                <w:caps w:val="0"/>
                <w:color w:val="FFFFFF"/>
                <w:sz w:val="18"/>
              </w:rPr>
              <w:t>Date</w:t>
            </w:r>
          </w:p>
        </w:tc>
        <w:tc>
          <w:tcPr>
            <w:tcW w:w="1800000" w:type="dxa"/>
            <w:shd w:fill="122B4F" w:val="clear"/>
            <w:tcBorders>
              <w:top w:val="single" w:sz="4" w:space="0" w:color="122B4F"/>
              <w:left w:val="single" w:sz="4" w:space="0" w:color="122B4F"/>
              <w:bottom w:val="single" w:sz="4" w:space="0" w:color="122B4F"/>
              <w:right w:val="single" w:sz="4" w:space="0" w:color="122B4F"/>
            </w:tcBorders>
            <w:tcMar>
              <w:top w:w="60" w:type="dxa"/>
              <w:left w:w="80" w:type="dxa"/>
              <w:bottom w:w="60" w:type="dxa"/>
              <w:right w:w="80" w:type="dxa"/>
            </w:tcMar>
            <w:vAlign w:val="center"/>
          </w:tcPr>
          <w:p>
            <w:pPr>
              <w:spacing w:after="0"/>
            </w:pPr>
            <w:r>
              <w:rPr>
                <w:rFonts w:ascii="Calibri" w:hAnsi="Calibri" w:eastAsia="Calibri"/>
                <w:b/>
                <w:i w:val="0"/>
                <w:caps w:val="0"/>
                <w:color w:val="FFFFFF"/>
                <w:sz w:val="18"/>
              </w:rPr>
              <w:t>Author / Authority</w:t>
            </w:r>
          </w:p>
        </w:tc>
        <w:tc>
          <w:tcPr>
            <w:tcW w:w="2448000" w:type="dxa"/>
            <w:shd w:fill="122B4F" w:val="clear"/>
            <w:tcBorders>
              <w:top w:val="single" w:sz="4" w:space="0" w:color="122B4F"/>
              <w:left w:val="single" w:sz="4" w:space="0" w:color="122B4F"/>
              <w:bottom w:val="single" w:sz="4" w:space="0" w:color="122B4F"/>
              <w:right w:val="single" w:sz="4" w:space="0" w:color="122B4F"/>
            </w:tcBorders>
            <w:tcMar>
              <w:top w:w="60" w:type="dxa"/>
              <w:left w:w="80" w:type="dxa"/>
              <w:bottom w:w="60" w:type="dxa"/>
              <w:right w:w="80" w:type="dxa"/>
            </w:tcMar>
            <w:vAlign w:val="center"/>
          </w:tcPr>
          <w:p>
            <w:pPr>
              <w:spacing w:after="0"/>
            </w:pPr>
            <w:r>
              <w:rPr>
                <w:rFonts w:ascii="Calibri" w:hAnsi="Calibri" w:eastAsia="Calibri"/>
                <w:b/>
                <w:i w:val="0"/>
                <w:caps w:val="0"/>
                <w:color w:val="FFFFFF"/>
                <w:sz w:val="18"/>
              </w:rPr>
              <w:t>Description</w:t>
            </w:r>
          </w:p>
        </w:tc>
      </w:tr>
      <w:tr>
        <w:trPr>
          <w:cantSplit/>
        </w:trPr>
        <w:tc>
          <w:tcPr>
            <w:tcW w:w="792000" w:type="dxa"/>
            <w:shd w:fill="FFFFFF"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0.1</w:t>
            </w:r>
          </w:p>
        </w:tc>
        <w:tc>
          <w:tcPr>
            <w:tcW w:w="1080000" w:type="dxa"/>
            <w:shd w:fill="FFFFFF"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15 Jul 2026</w:t>
            </w:r>
          </w:p>
        </w:tc>
        <w:tc>
          <w:tcPr>
            <w:tcW w:w="1800000" w:type="dxa"/>
            <w:shd w:fill="FFFFFF"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Quality Office</w:t>
            </w:r>
          </w:p>
        </w:tc>
        <w:tc>
          <w:tcPr>
            <w:tcW w:w="2448000" w:type="dxa"/>
            <w:shd w:fill="FFFFFF"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Draft framework for VRBT Huawei evidence pack</w:t>
            </w:r>
          </w:p>
        </w:tc>
      </w:tr>
      <w:tr>
        <w:trPr>
          <w:cantSplit/>
        </w:trPr>
        <w:tc>
          <w:tcPr>
            <w:tcW w:w="792000" w:type="dxa"/>
            <w:shd w:fill="F4F7F8"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0.9</w:t>
            </w:r>
          </w:p>
        </w:tc>
        <w:tc>
          <w:tcPr>
            <w:tcW w:w="1080000" w:type="dxa"/>
            <w:shd w:fill="F4F7F8"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05 Aug 2026</w:t>
            </w:r>
          </w:p>
        </w:tc>
        <w:tc>
          <w:tcPr>
            <w:tcW w:w="1800000" w:type="dxa"/>
            <w:shd w:fill="F4F7F8"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QMRP / DPO / Content Compliance</w:t>
            </w:r>
          </w:p>
        </w:tc>
        <w:tc>
          <w:tcPr>
            <w:tcW w:w="2448000" w:type="dxa"/>
            <w:shd w:fill="F4F7F8"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Internal review against questionnaire key review points</w:t>
            </w:r>
          </w:p>
        </w:tc>
      </w:tr>
      <w:tr>
        <w:trPr>
          <w:cantSplit/>
        </w:trPr>
        <w:tc>
          <w:tcPr>
            <w:tcW w:w="792000" w:type="dxa"/>
            <w:shd w:fill="FFFFFF"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1.0</w:t>
            </w:r>
          </w:p>
        </w:tc>
        <w:tc>
          <w:tcPr>
            <w:tcW w:w="1080000" w:type="dxa"/>
            <w:shd w:fill="FFFFFF"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17 Aug 2026</w:t>
            </w:r>
          </w:p>
        </w:tc>
        <w:tc>
          <w:tcPr>
            <w:tcW w:w="1800000" w:type="dxa"/>
            <w:shd w:fill="FFFFFF"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CEO</w:t>
            </w:r>
          </w:p>
        </w:tc>
        <w:tc>
          <w:tcPr>
            <w:tcW w:w="2448000" w:type="dxa"/>
            <w:shd w:fill="FFFFFF"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Issued for Huawei TQC/CEG document verification</w:t>
            </w:r>
          </w:p>
        </w:tc>
      </w:tr>
    </w:tbl>
    <w:p>
      <w:pPr>
        <w:spacing w:after="160"/>
      </w:pPr>
    </w:p>
    <w:p>
      <w:pPr>
        <w:keepNext/>
        <w:spacing w:before="280" w:after="120"/>
        <w:pBdr>
          <w:bottom w:val="single" w:sz="10" w:space="4" w:color="B88A2E"/>
        </w:pBdr>
      </w:pPr>
      <w:r>
        <w:rPr>
          <w:rFonts w:ascii="Calibri" w:hAnsi="Calibri" w:eastAsia="Calibri"/>
          <w:b/>
          <w:i w:val="0"/>
          <w:caps w:val="0"/>
          <w:color w:val="122B4F"/>
          <w:sz w:val="28"/>
        </w:rPr>
        <w:t>1. Purpose</w:t>
      </w:r>
    </w:p>
    <w:p>
      <w:pPr>
        <w:spacing w:after="160" w:before="0"/>
        <w:jc w:val="both"/>
      </w:pPr>
      <w:r>
        <w:rPr>
          <w:rFonts w:ascii="Calibri" w:hAnsi="Calibri" w:eastAsia="Calibri"/>
          <w:b w:val="0"/>
          <w:i w:val="0"/>
          <w:caps w:val="0"/>
          <w:color w:val="1F2937"/>
          <w:sz w:val="22"/>
        </w:rPr>
        <w:t>This management document is the control process and penalty mechanism required by item 4.2.1. It applies to all employees, contractors and outsourced staff of Advanta Africa Ltd who may access VRBT or Huawei-cooperation personal data. It is supported by training (AA-VRBT-PP-4.2.2) and is a condition of production access.</w:t>
      </w:r>
    </w:p>
    <w:p>
      <w:pPr>
        <w:keepNext/>
        <w:spacing w:before="280" w:after="120"/>
        <w:pBdr>
          <w:bottom w:val="single" w:sz="10" w:space="4" w:color="B88A2E"/>
        </w:pBdr>
      </w:pPr>
      <w:r>
        <w:rPr>
          <w:rFonts w:ascii="Calibri" w:hAnsi="Calibri" w:eastAsia="Calibri"/>
          <w:b/>
          <w:i w:val="0"/>
          <w:caps w:val="0"/>
          <w:color w:val="122B4F"/>
          <w:sz w:val="28"/>
        </w:rPr>
        <w:t>2. Prohibited conduct (zero tolerance)</w:t>
      </w:r>
    </w:p>
    <w:tbl>
      <w:tblPr>
        <w:jc w:val="center"/>
        <w:tblLayout w:type="fixed"/>
        <w:tblLook w:firstColumn="1" w:firstRow="1" w:lastColumn="0" w:lastRow="0" w:noHBand="0" w:noVBand="1" w:val="04A0"/>
        <w:tblW w:w="6120000" w:type="dxa"/>
      </w:tblPr>
      <w:tblGrid>
        <w:gridCol w:w="1224000"/>
        <w:gridCol w:w="3024000"/>
        <w:gridCol w:w="1872000"/>
      </w:tblGrid>
      <w:tr>
        <w:trPr>
          <w:cantSplit/>
        </w:trPr>
        <w:tc>
          <w:tcPr>
            <w:tcW w:w="1224000" w:type="dxa"/>
            <w:shd w:fill="122B4F" w:val="clear"/>
            <w:tcBorders>
              <w:top w:val="single" w:sz="4" w:space="0" w:color="122B4F"/>
              <w:left w:val="single" w:sz="4" w:space="0" w:color="122B4F"/>
              <w:bottom w:val="single" w:sz="4" w:space="0" w:color="122B4F"/>
              <w:right w:val="single" w:sz="4" w:space="0" w:color="122B4F"/>
            </w:tcBorders>
            <w:tcMar>
              <w:top w:w="60" w:type="dxa"/>
              <w:left w:w="80" w:type="dxa"/>
              <w:bottom w:w="60" w:type="dxa"/>
              <w:right w:w="80" w:type="dxa"/>
            </w:tcMar>
            <w:vAlign w:val="center"/>
          </w:tcPr>
          <w:p>
            <w:pPr>
              <w:spacing w:after="0"/>
            </w:pPr>
            <w:r>
              <w:rPr>
                <w:rFonts w:ascii="Calibri" w:hAnsi="Calibri" w:eastAsia="Calibri"/>
                <w:b/>
                <w:i w:val="0"/>
                <w:caps w:val="0"/>
                <w:color w:val="FFFFFF"/>
                <w:sz w:val="18"/>
              </w:rPr>
              <w:t>Prohibited act</w:t>
            </w:r>
          </w:p>
        </w:tc>
        <w:tc>
          <w:tcPr>
            <w:tcW w:w="3024000" w:type="dxa"/>
            <w:shd w:fill="122B4F" w:val="clear"/>
            <w:tcBorders>
              <w:top w:val="single" w:sz="4" w:space="0" w:color="122B4F"/>
              <w:left w:val="single" w:sz="4" w:space="0" w:color="122B4F"/>
              <w:bottom w:val="single" w:sz="4" w:space="0" w:color="122B4F"/>
              <w:right w:val="single" w:sz="4" w:space="0" w:color="122B4F"/>
            </w:tcBorders>
            <w:tcMar>
              <w:top w:w="60" w:type="dxa"/>
              <w:left w:w="80" w:type="dxa"/>
              <w:bottom w:w="60" w:type="dxa"/>
              <w:right w:w="80" w:type="dxa"/>
            </w:tcMar>
            <w:vAlign w:val="center"/>
          </w:tcPr>
          <w:p>
            <w:pPr>
              <w:spacing w:after="0"/>
            </w:pPr>
            <w:r>
              <w:rPr>
                <w:rFonts w:ascii="Calibri" w:hAnsi="Calibri" w:eastAsia="Calibri"/>
                <w:b/>
                <w:i w:val="0"/>
                <w:caps w:val="0"/>
                <w:color w:val="FFFFFF"/>
                <w:sz w:val="18"/>
              </w:rPr>
              <w:t>Examples</w:t>
            </w:r>
          </w:p>
        </w:tc>
        <w:tc>
          <w:tcPr>
            <w:tcW w:w="1872000" w:type="dxa"/>
            <w:shd w:fill="122B4F" w:val="clear"/>
            <w:tcBorders>
              <w:top w:val="single" w:sz="4" w:space="0" w:color="122B4F"/>
              <w:left w:val="single" w:sz="4" w:space="0" w:color="122B4F"/>
              <w:bottom w:val="single" w:sz="4" w:space="0" w:color="122B4F"/>
              <w:right w:val="single" w:sz="4" w:space="0" w:color="122B4F"/>
            </w:tcBorders>
            <w:tcMar>
              <w:top w:w="60" w:type="dxa"/>
              <w:left w:w="80" w:type="dxa"/>
              <w:bottom w:w="60" w:type="dxa"/>
              <w:right w:w="80" w:type="dxa"/>
            </w:tcMar>
            <w:vAlign w:val="center"/>
          </w:tcPr>
          <w:p>
            <w:pPr>
              <w:spacing w:after="0"/>
            </w:pPr>
            <w:r>
              <w:rPr>
                <w:rFonts w:ascii="Calibri" w:hAnsi="Calibri" w:eastAsia="Calibri"/>
                <w:b/>
                <w:i w:val="0"/>
                <w:caps w:val="0"/>
                <w:color w:val="FFFFFF"/>
                <w:sz w:val="18"/>
              </w:rPr>
              <w:t>Classification</w:t>
            </w:r>
          </w:p>
        </w:tc>
      </w:tr>
      <w:tr>
        <w:trPr>
          <w:cantSplit/>
        </w:trPr>
        <w:tc>
          <w:tcPr>
            <w:tcW w:w="1224000" w:type="dxa"/>
            <w:shd w:fill="FFFFFF"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Illegal collection</w:t>
            </w:r>
          </w:p>
        </w:tc>
        <w:tc>
          <w:tcPr>
            <w:tcW w:w="3024000" w:type="dxa"/>
            <w:shd w:fill="FFFFFF"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Scraping MSISDNs not needed for the job; running unauthorised USSD harvests; photographing subscriber screens</w:t>
            </w:r>
          </w:p>
        </w:tc>
        <w:tc>
          <w:tcPr>
            <w:tcW w:w="1872000" w:type="dxa"/>
            <w:shd w:fill="FFFFFF"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Gross misconduct</w:t>
            </w:r>
          </w:p>
        </w:tc>
      </w:tr>
      <w:tr>
        <w:trPr>
          <w:cantSplit/>
        </w:trPr>
        <w:tc>
          <w:tcPr>
            <w:tcW w:w="1224000" w:type="dxa"/>
            <w:shd w:fill="F4F7F8"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Illegal resale</w:t>
            </w:r>
          </w:p>
        </w:tc>
        <w:tc>
          <w:tcPr>
            <w:tcW w:w="3024000" w:type="dxa"/>
            <w:shd w:fill="F4F7F8"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Selling, bartering or “sharing for lead-gen” any subscriber or Huawei personal data</w:t>
            </w:r>
          </w:p>
        </w:tc>
        <w:tc>
          <w:tcPr>
            <w:tcW w:w="1872000" w:type="dxa"/>
            <w:shd w:fill="F4F7F8"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Gross misconduct  ·  report to police / ODPC as required</w:t>
            </w:r>
          </w:p>
        </w:tc>
      </w:tr>
      <w:tr>
        <w:trPr>
          <w:cantSplit/>
        </w:trPr>
        <w:tc>
          <w:tcPr>
            <w:tcW w:w="1224000" w:type="dxa"/>
            <w:shd w:fill="FFFFFF"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Unauthorised copying</w:t>
            </w:r>
          </w:p>
        </w:tc>
        <w:tc>
          <w:tcPr>
            <w:tcW w:w="3024000" w:type="dxa"/>
            <w:shd w:fill="FFFFFF"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CSV export to USB, personal email, WhatsApp, or a private cloud</w:t>
            </w:r>
          </w:p>
        </w:tc>
        <w:tc>
          <w:tcPr>
            <w:tcW w:w="1872000" w:type="dxa"/>
            <w:shd w:fill="FFFFFF"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Gross misconduct</w:t>
            </w:r>
          </w:p>
        </w:tc>
      </w:tr>
      <w:tr>
        <w:trPr>
          <w:cantSplit/>
        </w:trPr>
        <w:tc>
          <w:tcPr>
            <w:tcW w:w="1224000" w:type="dxa"/>
            <w:shd w:fill="F4F7F8"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Improper transfer</w:t>
            </w:r>
          </w:p>
        </w:tc>
        <w:tc>
          <w:tcPr>
            <w:tcW w:w="3024000" w:type="dxa"/>
            <w:shd w:fill="F4F7F8"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Sending PII to a vendor, friend, journalist or other Huawei customer without the Huawei consent gate</w:t>
            </w:r>
          </w:p>
        </w:tc>
        <w:tc>
          <w:tcPr>
            <w:tcW w:w="1872000" w:type="dxa"/>
            <w:shd w:fill="F4F7F8"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Gross misconduct</w:t>
            </w:r>
          </w:p>
        </w:tc>
      </w:tr>
      <w:tr>
        <w:trPr>
          <w:cantSplit/>
        </w:trPr>
        <w:tc>
          <w:tcPr>
            <w:tcW w:w="1224000" w:type="dxa"/>
            <w:shd w:fill="FFFFFF"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Illegal disclosure</w:t>
            </w:r>
          </w:p>
        </w:tc>
        <w:tc>
          <w:tcPr>
            <w:tcW w:w="3024000" w:type="dxa"/>
            <w:shd w:fill="FFFFFF"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Public posts, press, group chats, leaving printouts, discussing a named subscriber in public</w:t>
            </w:r>
          </w:p>
        </w:tc>
        <w:tc>
          <w:tcPr>
            <w:tcW w:w="1872000" w:type="dxa"/>
            <w:shd w:fill="FFFFFF"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Gross misconduct</w:t>
            </w:r>
          </w:p>
        </w:tc>
      </w:tr>
      <w:tr>
        <w:trPr>
          <w:cantSplit/>
        </w:trPr>
        <w:tc>
          <w:tcPr>
            <w:tcW w:w="1224000" w:type="dxa"/>
            <w:shd w:fill="F4F7F8"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Abuse</w:t>
            </w:r>
          </w:p>
        </w:tc>
        <w:tc>
          <w:tcPr>
            <w:tcW w:w="3024000" w:type="dxa"/>
            <w:shd w:fill="F4F7F8"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Stalking, querying an ex-partner’s number, using access to embarrass, discriminate or gain a private benefit</w:t>
            </w:r>
          </w:p>
        </w:tc>
        <w:tc>
          <w:tcPr>
            <w:tcW w:w="1872000" w:type="dxa"/>
            <w:shd w:fill="F4F7F8"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Gross misconduct</w:t>
            </w:r>
          </w:p>
        </w:tc>
      </w:tr>
      <w:tr>
        <w:trPr>
          <w:cantSplit/>
        </w:trPr>
        <w:tc>
          <w:tcPr>
            <w:tcW w:w="1224000" w:type="dxa"/>
            <w:shd w:fill="FFFFFF"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Storage beyond the period</w:t>
            </w:r>
          </w:p>
        </w:tc>
        <w:tc>
          <w:tcPr>
            <w:tcW w:w="3024000" w:type="dxa"/>
            <w:shd w:fill="FFFFFF"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Keeping a “just in case” spreadsheet after deletion date; refusing to return files on exit</w:t>
            </w:r>
          </w:p>
        </w:tc>
        <w:tc>
          <w:tcPr>
            <w:tcW w:w="1872000" w:type="dxa"/>
            <w:shd w:fill="FFFFFF"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Serious misconduct (gross if deliberate after warning)</w:t>
            </w:r>
          </w:p>
        </w:tc>
      </w:tr>
    </w:tbl>
    <w:p>
      <w:pPr>
        <w:spacing w:after="160"/>
      </w:pPr>
    </w:p>
    <w:p>
      <w:pPr>
        <w:keepNext/>
        <w:spacing w:before="280" w:after="120"/>
        <w:pBdr>
          <w:bottom w:val="single" w:sz="10" w:space="4" w:color="B88A2E"/>
        </w:pBdr>
      </w:pPr>
      <w:r>
        <w:rPr>
          <w:rFonts w:ascii="Calibri" w:hAnsi="Calibri" w:eastAsia="Calibri"/>
          <w:b/>
          <w:i w:val="0"/>
          <w:caps w:val="0"/>
          <w:color w:val="122B4F"/>
          <w:sz w:val="28"/>
        </w:rPr>
        <w:t>3. Control process</w:t>
      </w:r>
    </w:p>
    <w:p>
      <w:pPr>
        <w:keepNext/>
        <w:spacing w:before="200" w:after="120"/>
      </w:pPr>
      <w:r>
        <w:rPr>
          <w:rFonts w:ascii="Calibri" w:hAnsi="Calibri" w:eastAsia="Calibri"/>
          <w:b/>
          <w:i w:val="0"/>
          <w:caps w:val="0"/>
          <w:color w:val="0E6B7A"/>
          <w:sz w:val="24"/>
        </w:rPr>
        <w:t>3.1 Before access is granted</w:t>
      </w:r>
    </w:p>
    <w:p>
      <w:pPr>
        <w:spacing w:after="80"/>
        <w:ind w:left="567" w:hanging="283"/>
      </w:pPr>
      <w:r>
        <w:rPr>
          <w:rFonts w:ascii="Calibri" w:hAnsi="Calibri" w:eastAsia="Calibri"/>
          <w:b w:val="0"/>
          <w:i w:val="0"/>
          <w:caps w:val="0"/>
          <w:color w:val="1F2937"/>
          <w:sz w:val="22"/>
        </w:rPr>
        <w:t>1.  Background check appropriate to the role.</w:t>
      </w:r>
    </w:p>
    <w:p>
      <w:pPr>
        <w:spacing w:after="80"/>
        <w:ind w:left="567" w:hanging="283"/>
      </w:pPr>
      <w:r>
        <w:rPr>
          <w:rFonts w:ascii="Calibri" w:hAnsi="Calibri" w:eastAsia="Calibri"/>
          <w:b w:val="0"/>
          <w:i w:val="0"/>
          <w:caps w:val="0"/>
          <w:color w:val="1F2937"/>
          <w:sz w:val="22"/>
        </w:rPr>
        <w:t>2.  Signed confidentiality and this policy acknowledgement (Annex A).</w:t>
      </w:r>
    </w:p>
    <w:p>
      <w:pPr>
        <w:spacing w:after="80"/>
        <w:ind w:left="567" w:hanging="283"/>
      </w:pPr>
      <w:r>
        <w:rPr>
          <w:rFonts w:ascii="Calibri" w:hAnsi="Calibri" w:eastAsia="Calibri"/>
          <w:b w:val="0"/>
          <w:i w:val="0"/>
          <w:caps w:val="0"/>
          <w:color w:val="1F2937"/>
          <w:sz w:val="22"/>
        </w:rPr>
        <w:t>3.  Completion of privacy training with a passing score (AA-VRBT-PP-4.2.2).</w:t>
      </w:r>
    </w:p>
    <w:p>
      <w:pPr>
        <w:spacing w:after="80"/>
        <w:ind w:left="567" w:hanging="283"/>
      </w:pPr>
      <w:r>
        <w:rPr>
          <w:rFonts w:ascii="Calibri" w:hAnsi="Calibri" w:eastAsia="Calibri"/>
          <w:b w:val="0"/>
          <w:i w:val="0"/>
          <w:caps w:val="0"/>
          <w:color w:val="1F2937"/>
          <w:sz w:val="22"/>
        </w:rPr>
        <w:t>4.  Named sponsor; access limited to the least privilege group.</w:t>
      </w:r>
    </w:p>
    <w:p>
      <w:pPr>
        <w:spacing w:after="80"/>
        <w:ind w:left="567" w:hanging="283"/>
      </w:pPr>
      <w:r>
        <w:rPr>
          <w:rFonts w:ascii="Calibri" w:hAnsi="Calibri" w:eastAsia="Calibri"/>
          <w:b w:val="0"/>
          <w:i w:val="0"/>
          <w:caps w:val="0"/>
          <w:color w:val="1F2937"/>
          <w:sz w:val="22"/>
        </w:rPr>
        <w:t>5.  No shared production passwords; MFA for remote access.</w:t>
      </w:r>
    </w:p>
    <w:p>
      <w:pPr>
        <w:keepNext/>
        <w:spacing w:before="200" w:after="120"/>
      </w:pPr>
      <w:r>
        <w:rPr>
          <w:rFonts w:ascii="Calibri" w:hAnsi="Calibri" w:eastAsia="Calibri"/>
          <w:b/>
          <w:i w:val="0"/>
          <w:caps w:val="0"/>
          <w:color w:val="0E6B7A"/>
          <w:sz w:val="24"/>
        </w:rPr>
        <w:t>3.2 During employment</w:t>
      </w:r>
    </w:p>
    <w:p>
      <w:pPr>
        <w:spacing w:after="80"/>
        <w:ind w:left="567" w:hanging="283"/>
      </w:pPr>
      <w:r>
        <w:rPr>
          <w:rFonts w:ascii="Calibri" w:hAnsi="Calibri" w:eastAsia="Calibri"/>
          <w:b w:val="0"/>
          <w:i w:val="0"/>
          <w:caps w:val="0"/>
          <w:color w:val="1F2937"/>
          <w:sz w:val="22"/>
        </w:rPr>
        <w:t>1.  Need-to-know reviews quarterly; movers lose previous access within 24 hours.</w:t>
      </w:r>
    </w:p>
    <w:p>
      <w:pPr>
        <w:spacing w:after="80"/>
        <w:ind w:left="567" w:hanging="283"/>
      </w:pPr>
      <w:r>
        <w:rPr>
          <w:rFonts w:ascii="Calibri" w:hAnsi="Calibri" w:eastAsia="Calibri"/>
          <w:b w:val="0"/>
          <w:i w:val="0"/>
          <w:caps w:val="0"/>
          <w:color w:val="1F2937"/>
          <w:sz w:val="22"/>
        </w:rPr>
        <w:t>2.  Privileged queries are logged and sampled by Privacy Operations.</w:t>
      </w:r>
    </w:p>
    <w:p>
      <w:pPr>
        <w:spacing w:after="80"/>
        <w:ind w:left="567" w:hanging="283"/>
      </w:pPr>
      <w:r>
        <w:rPr>
          <w:rFonts w:ascii="Calibri" w:hAnsi="Calibri" w:eastAsia="Calibri"/>
          <w:b w:val="0"/>
          <w:i w:val="0"/>
          <w:caps w:val="0"/>
          <w:color w:val="1F2937"/>
          <w:sz w:val="22"/>
        </w:rPr>
        <w:t>3.  Mass export blocked without DPO token.</w:t>
      </w:r>
    </w:p>
    <w:p>
      <w:pPr>
        <w:spacing w:after="80"/>
        <w:ind w:left="567" w:hanging="283"/>
      </w:pPr>
      <w:r>
        <w:rPr>
          <w:rFonts w:ascii="Calibri" w:hAnsi="Calibri" w:eastAsia="Calibri"/>
          <w:b w:val="0"/>
          <w:i w:val="0"/>
          <w:caps w:val="0"/>
          <w:color w:val="1F2937"/>
          <w:sz w:val="22"/>
        </w:rPr>
        <w:t>4.  Clean-desk and clean-screen; visitor escort.</w:t>
      </w:r>
    </w:p>
    <w:p>
      <w:pPr>
        <w:spacing w:after="80"/>
        <w:ind w:left="567" w:hanging="283"/>
      </w:pPr>
      <w:r>
        <w:rPr>
          <w:rFonts w:ascii="Calibri" w:hAnsi="Calibri" w:eastAsia="Calibri"/>
          <w:b w:val="0"/>
          <w:i w:val="0"/>
          <w:caps w:val="0"/>
          <w:color w:val="1F2937"/>
          <w:sz w:val="22"/>
        </w:rPr>
        <w:t>5.  Mandatory reporting of suspected misuse within 1 hour to DPO / QMRP.</w:t>
      </w:r>
    </w:p>
    <w:p>
      <w:pPr>
        <w:spacing w:after="80"/>
        <w:ind w:left="567" w:hanging="283"/>
      </w:pPr>
      <w:r>
        <w:rPr>
          <w:rFonts w:ascii="Calibri" w:hAnsi="Calibri" w:eastAsia="Calibri"/>
          <w:b w:val="0"/>
          <w:i w:val="0"/>
          <w:caps w:val="0"/>
          <w:color w:val="1F2937"/>
          <w:sz w:val="22"/>
        </w:rPr>
        <w:t>6.  Annual re-acknowledgement of this policy.</w:t>
      </w:r>
    </w:p>
    <w:p>
      <w:pPr>
        <w:keepNext/>
        <w:spacing w:before="200" w:after="120"/>
      </w:pPr>
      <w:r>
        <w:rPr>
          <w:rFonts w:ascii="Calibri" w:hAnsi="Calibri" w:eastAsia="Calibri"/>
          <w:b/>
          <w:i w:val="0"/>
          <w:caps w:val="0"/>
          <w:color w:val="0E6B7A"/>
          <w:sz w:val="24"/>
        </w:rPr>
        <w:t>3.3 Leavers</w:t>
      </w:r>
    </w:p>
    <w:p>
      <w:pPr>
        <w:spacing w:after="80"/>
        <w:ind w:left="567" w:hanging="283"/>
      </w:pPr>
      <w:r>
        <w:rPr>
          <w:rFonts w:ascii="Calibri" w:hAnsi="Calibri" w:eastAsia="Calibri"/>
          <w:b w:val="0"/>
          <w:i w:val="0"/>
          <w:caps w:val="0"/>
          <w:color w:val="1F2937"/>
          <w:sz w:val="22"/>
        </w:rPr>
        <w:t>1.  HR notifies IAM the same day a resignation or termination is known.</w:t>
      </w:r>
    </w:p>
    <w:p>
      <w:pPr>
        <w:spacing w:after="80"/>
        <w:ind w:left="567" w:hanging="283"/>
      </w:pPr>
      <w:r>
        <w:rPr>
          <w:rFonts w:ascii="Calibri" w:hAnsi="Calibri" w:eastAsia="Calibri"/>
          <w:b w:val="0"/>
          <w:i w:val="0"/>
          <w:caps w:val="0"/>
          <w:color w:val="1F2937"/>
          <w:sz w:val="22"/>
        </w:rPr>
        <w:t>2.  Accounts disabled within 24 hours of last working moment (immediately if dismissal for cause).</w:t>
      </w:r>
    </w:p>
    <w:p>
      <w:pPr>
        <w:spacing w:after="80"/>
        <w:ind w:left="567" w:hanging="283"/>
      </w:pPr>
      <w:r>
        <w:rPr>
          <w:rFonts w:ascii="Calibri" w:hAnsi="Calibri" w:eastAsia="Calibri"/>
          <w:b w:val="0"/>
          <w:i w:val="0"/>
          <w:caps w:val="0"/>
          <w:color w:val="1F2937"/>
          <w:sz w:val="22"/>
        </w:rPr>
        <w:t>3.  Devices collected; personal-data search of assigned storage; certificates of return.</w:t>
      </w:r>
    </w:p>
    <w:p>
      <w:pPr>
        <w:spacing w:after="80"/>
        <w:ind w:left="567" w:hanging="283"/>
      </w:pPr>
      <w:r>
        <w:rPr>
          <w:rFonts w:ascii="Calibri" w:hAnsi="Calibri" w:eastAsia="Calibri"/>
          <w:b w:val="0"/>
          <w:i w:val="0"/>
          <w:caps w:val="0"/>
          <w:color w:val="1F2937"/>
          <w:sz w:val="22"/>
        </w:rPr>
        <w:t>4.  Ongoing confidentiality survives termination.</w:t>
      </w:r>
    </w:p>
    <w:p>
      <w:pPr>
        <w:keepNext/>
        <w:spacing w:before="280" w:after="120"/>
        <w:pBdr>
          <w:bottom w:val="single" w:sz="10" w:space="4" w:color="B88A2E"/>
        </w:pBdr>
      </w:pPr>
      <w:r>
        <w:rPr>
          <w:rFonts w:ascii="Calibri" w:hAnsi="Calibri" w:eastAsia="Calibri"/>
          <w:b/>
          <w:i w:val="0"/>
          <w:caps w:val="0"/>
          <w:color w:val="122B4F"/>
          <w:sz w:val="28"/>
        </w:rPr>
        <w:t>4. Penalty mechanism</w:t>
      </w:r>
    </w:p>
    <w:p>
      <w:pPr>
        <w:spacing w:after="160" w:before="0"/>
        <w:jc w:val="both"/>
      </w:pPr>
      <w:r>
        <w:rPr>
          <w:rFonts w:ascii="Calibri" w:hAnsi="Calibri" w:eastAsia="Calibri"/>
          <w:b w:val="0"/>
          <w:i w:val="0"/>
          <w:caps w:val="0"/>
          <w:color w:val="1F2937"/>
          <w:sz w:val="22"/>
        </w:rPr>
        <w:t>Penalties are applied under Advanta’s HR disciplinary procedure, consistently and with a right to be heard. Criminal or regulatory referral is additional, not alternative, where the law requires.</w:t>
      </w:r>
    </w:p>
    <w:tbl>
      <w:tblPr>
        <w:jc w:val="center"/>
        <w:tblLayout w:type="fixed"/>
        <w:tblLook w:firstColumn="1" w:firstRow="1" w:lastColumn="0" w:lastRow="0" w:noHBand="0" w:noVBand="1" w:val="04A0"/>
        <w:tblW w:w="6120000" w:type="dxa"/>
      </w:tblPr>
      <w:tblGrid>
        <w:gridCol w:w="1944000"/>
        <w:gridCol w:w="2088000"/>
        <w:gridCol w:w="2088000"/>
      </w:tblGrid>
      <w:tr>
        <w:trPr>
          <w:cantSplit/>
        </w:trPr>
        <w:tc>
          <w:tcPr>
            <w:tcW w:w="1944000" w:type="dxa"/>
            <w:shd w:fill="122B4F" w:val="clear"/>
            <w:tcBorders>
              <w:top w:val="single" w:sz="4" w:space="0" w:color="122B4F"/>
              <w:left w:val="single" w:sz="4" w:space="0" w:color="122B4F"/>
              <w:bottom w:val="single" w:sz="4" w:space="0" w:color="122B4F"/>
              <w:right w:val="single" w:sz="4" w:space="0" w:color="122B4F"/>
            </w:tcBorders>
            <w:tcMar>
              <w:top w:w="60" w:type="dxa"/>
              <w:left w:w="80" w:type="dxa"/>
              <w:bottom w:w="60" w:type="dxa"/>
              <w:right w:w="80" w:type="dxa"/>
            </w:tcMar>
            <w:vAlign w:val="center"/>
          </w:tcPr>
          <w:p>
            <w:pPr>
              <w:spacing w:after="0"/>
            </w:pPr>
            <w:r>
              <w:rPr>
                <w:rFonts w:ascii="Calibri" w:hAnsi="Calibri" w:eastAsia="Calibri"/>
                <w:b/>
                <w:i w:val="0"/>
                <w:caps w:val="0"/>
                <w:color w:val="FFFFFF"/>
                <w:sz w:val="18"/>
              </w:rPr>
              <w:t>Finding</w:t>
            </w:r>
          </w:p>
        </w:tc>
        <w:tc>
          <w:tcPr>
            <w:tcW w:w="2088000" w:type="dxa"/>
            <w:shd w:fill="122B4F" w:val="clear"/>
            <w:tcBorders>
              <w:top w:val="single" w:sz="4" w:space="0" w:color="122B4F"/>
              <w:left w:val="single" w:sz="4" w:space="0" w:color="122B4F"/>
              <w:bottom w:val="single" w:sz="4" w:space="0" w:color="122B4F"/>
              <w:right w:val="single" w:sz="4" w:space="0" w:color="122B4F"/>
            </w:tcBorders>
            <w:tcMar>
              <w:top w:w="60" w:type="dxa"/>
              <w:left w:w="80" w:type="dxa"/>
              <w:bottom w:w="60" w:type="dxa"/>
              <w:right w:w="80" w:type="dxa"/>
            </w:tcMar>
            <w:vAlign w:val="center"/>
          </w:tcPr>
          <w:p>
            <w:pPr>
              <w:spacing w:after="0"/>
            </w:pPr>
            <w:r>
              <w:rPr>
                <w:rFonts w:ascii="Calibri" w:hAnsi="Calibri" w:eastAsia="Calibri"/>
                <w:b/>
                <w:i w:val="0"/>
                <w:caps w:val="0"/>
                <w:color w:val="FFFFFF"/>
                <w:sz w:val="18"/>
              </w:rPr>
              <w:t>Typical penalty</w:t>
            </w:r>
          </w:p>
        </w:tc>
        <w:tc>
          <w:tcPr>
            <w:tcW w:w="2088000" w:type="dxa"/>
            <w:shd w:fill="122B4F" w:val="clear"/>
            <w:tcBorders>
              <w:top w:val="single" w:sz="4" w:space="0" w:color="122B4F"/>
              <w:left w:val="single" w:sz="4" w:space="0" w:color="122B4F"/>
              <w:bottom w:val="single" w:sz="4" w:space="0" w:color="122B4F"/>
              <w:right w:val="single" w:sz="4" w:space="0" w:color="122B4F"/>
            </w:tcBorders>
            <w:tcMar>
              <w:top w:w="60" w:type="dxa"/>
              <w:left w:w="80" w:type="dxa"/>
              <w:bottom w:w="60" w:type="dxa"/>
              <w:right w:w="80" w:type="dxa"/>
            </w:tcMar>
            <w:vAlign w:val="center"/>
          </w:tcPr>
          <w:p>
            <w:pPr>
              <w:spacing w:after="0"/>
            </w:pPr>
            <w:r>
              <w:rPr>
                <w:rFonts w:ascii="Calibri" w:hAnsi="Calibri" w:eastAsia="Calibri"/>
                <w:b/>
                <w:i w:val="0"/>
                <w:caps w:val="0"/>
                <w:color w:val="FFFFFF"/>
                <w:sz w:val="18"/>
              </w:rPr>
              <w:t>Access / contract effect</w:t>
            </w:r>
          </w:p>
        </w:tc>
      </w:tr>
      <w:tr>
        <w:trPr>
          <w:cantSplit/>
        </w:trPr>
        <w:tc>
          <w:tcPr>
            <w:tcW w:w="1944000" w:type="dxa"/>
            <w:shd w:fill="FFFFFF"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Negligent over-retention, first instance, no harm, self-reported</w:t>
            </w:r>
          </w:p>
        </w:tc>
        <w:tc>
          <w:tcPr>
            <w:tcW w:w="2088000" w:type="dxa"/>
            <w:shd w:fill="FFFFFF"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Written warning; mandatory re-training within 7 days</w:t>
            </w:r>
          </w:p>
        </w:tc>
        <w:tc>
          <w:tcPr>
            <w:tcW w:w="2088000" w:type="dxa"/>
            <w:shd w:fill="FFFFFF"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Access suspended until re-training passed</w:t>
            </w:r>
          </w:p>
        </w:tc>
      </w:tr>
      <w:tr>
        <w:trPr>
          <w:cantSplit/>
        </w:trPr>
        <w:tc>
          <w:tcPr>
            <w:tcW w:w="1944000" w:type="dxa"/>
            <w:shd w:fill="F4F7F8"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Repeat negligence or ignoring a deletion instruction</w:t>
            </w:r>
          </w:p>
        </w:tc>
        <w:tc>
          <w:tcPr>
            <w:tcW w:w="2088000" w:type="dxa"/>
            <w:shd w:fill="F4F7F8"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Final warning or dismissal depending on harm</w:t>
            </w:r>
          </w:p>
        </w:tc>
        <w:tc>
          <w:tcPr>
            <w:tcW w:w="2088000" w:type="dxa"/>
            <w:shd w:fill="F4F7F8"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Access revoked</w:t>
            </w:r>
          </w:p>
        </w:tc>
      </w:tr>
      <w:tr>
        <w:trPr>
          <w:cantSplit/>
        </w:trPr>
        <w:tc>
          <w:tcPr>
            <w:tcW w:w="1944000" w:type="dxa"/>
            <w:shd w:fill="FFFFFF"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Any gross-misconduct item in Section 2</w:t>
            </w:r>
          </w:p>
        </w:tc>
        <w:tc>
          <w:tcPr>
            <w:tcW w:w="2088000" w:type="dxa"/>
            <w:shd w:fill="FFFFFF"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Summary dismissal for employees; immediate contract termination for contractors</w:t>
            </w:r>
          </w:p>
        </w:tc>
        <w:tc>
          <w:tcPr>
            <w:tcW w:w="2088000" w:type="dxa"/>
            <w:shd w:fill="FFFFFF"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Access revoked immediately; forensic hold; ODPC/Huawei/Operator notified as required; police referral if resale, abuse or criminal disclosure</w:t>
            </w:r>
          </w:p>
        </w:tc>
      </w:tr>
      <w:tr>
        <w:trPr>
          <w:cantSplit/>
        </w:trPr>
        <w:tc>
          <w:tcPr>
            <w:tcW w:w="1944000" w:type="dxa"/>
            <w:shd w:fill="F4F7F8"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Manager who directed or ignored prohibited conduct</w:t>
            </w:r>
          </w:p>
        </w:tc>
        <w:tc>
          <w:tcPr>
            <w:tcW w:w="2088000" w:type="dxa"/>
            <w:shd w:fill="F4F7F8"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Same band as the primary actor, plus removal from line-management of PII roles</w:t>
            </w:r>
          </w:p>
        </w:tc>
        <w:tc>
          <w:tcPr>
            <w:tcW w:w="2088000" w:type="dxa"/>
            <w:shd w:fill="F4F7F8"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As above</w:t>
            </w:r>
          </w:p>
        </w:tc>
      </w:tr>
      <w:tr>
        <w:trPr>
          <w:cantSplit/>
        </w:trPr>
        <w:tc>
          <w:tcPr>
            <w:tcW w:w="1944000" w:type="dxa"/>
            <w:shd w:fill="FFFFFF"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Failure to report known misuse</w:t>
            </w:r>
          </w:p>
        </w:tc>
        <w:tc>
          <w:tcPr>
            <w:tcW w:w="2088000" w:type="dxa"/>
            <w:shd w:fill="FFFFFF"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Serious or gross misconduct</w:t>
            </w:r>
          </w:p>
        </w:tc>
        <w:tc>
          <w:tcPr>
            <w:tcW w:w="2088000" w:type="dxa"/>
            <w:shd w:fill="FFFFFF"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Access review</w:t>
            </w:r>
          </w:p>
        </w:tc>
      </w:tr>
    </w:tbl>
    <w:p>
      <w:pPr>
        <w:spacing w:after="160"/>
      </w:pPr>
    </w:p>
    <w:tbl>
      <w:tblPr>
        <w:tblLayout w:type="fixed"/>
        <w:tblLook w:firstColumn="1" w:firstRow="1" w:lastColumn="0" w:lastRow="0" w:noHBand="0" w:noVBand="1" w:val="04A0"/>
        <w:tblW w:w="6120000" w:type="dxa"/>
      </w:tblPr>
      <w:tblGrid>
        <w:gridCol w:w="6120000"/>
      </w:tblGrid>
      <w:tr>
        <w:tc>
          <w:tcPr>
            <w:tcW w:w="6120000" w:type="dxa"/>
            <w:shd w:fill="E8F2F4" w:val="clear"/>
            <w:tcBorders>
              <w:top w:val="single" w:sz="8" w:space="0" w:color="0E6B7A"/>
              <w:left w:val="single" w:sz="8" w:space="0" w:color="0E6B7A"/>
              <w:bottom w:val="single" w:sz="8" w:space="0" w:color="0E6B7A"/>
              <w:right w:val="single" w:sz="8" w:space="0" w:color="0E6B7A"/>
            </w:tcBorders>
            <w:tcMar>
              <w:top w:w="100" w:type="dxa"/>
              <w:left w:w="140" w:type="dxa"/>
              <w:bottom w:w="100" w:type="dxa"/>
              <w:right w:w="140" w:type="dxa"/>
            </w:tcMar>
          </w:tcPr>
          <w:p>
            <w:pPr>
              <w:spacing w:after="80"/>
            </w:pPr>
            <w:r>
              <w:rPr>
                <w:rFonts w:ascii="Calibri" w:hAnsi="Calibri" w:eastAsia="Calibri"/>
                <w:b/>
                <w:i w:val="0"/>
                <w:caps w:val="0"/>
                <w:color w:val="0E6B7A"/>
                <w:sz w:val="18"/>
              </w:rPr>
              <w:t>NO COMMERCIAL OVERRIDE</w:t>
            </w:r>
          </w:p>
          <w:p>
            <w:pPr>
              <w:spacing w:after="0"/>
              <w:jc w:val="both"/>
            </w:pPr>
            <w:r>
              <w:rPr>
                <w:rFonts w:ascii="Calibri" w:hAnsi="Calibri" w:eastAsia="Calibri"/>
                <w:b w:val="0"/>
                <w:i w:val="0"/>
                <w:caps w:val="0"/>
                <w:color w:val="1F2937"/>
                <w:sz w:val="20"/>
              </w:rPr>
              <w:t>A sales or delivery target is never a defence. An instruction from a manager to break this policy is itself misconduct; staff must refuse and report to the DPO or CEO.</w:t>
            </w:r>
          </w:p>
        </w:tc>
      </w:tr>
    </w:tbl>
    <w:p>
      <w:pPr>
        <w:spacing w:after="160"/>
      </w:pPr>
    </w:p>
    <w:p>
      <w:pPr>
        <w:keepNext/>
        <w:spacing w:before="280" w:after="120"/>
        <w:pBdr>
          <w:bottom w:val="single" w:sz="10" w:space="4" w:color="B88A2E"/>
        </w:pBdr>
      </w:pPr>
      <w:r>
        <w:rPr>
          <w:rFonts w:ascii="Calibri" w:hAnsi="Calibri" w:eastAsia="Calibri"/>
          <w:b/>
          <w:i w:val="0"/>
          <w:caps w:val="0"/>
          <w:color w:val="122B4F"/>
          <w:sz w:val="28"/>
        </w:rPr>
        <w:t>5. Investigation</w:t>
      </w:r>
    </w:p>
    <w:p>
      <w:pPr>
        <w:spacing w:after="60" w:before="0"/>
        <w:ind w:left="567" w:hanging="227"/>
      </w:pPr>
      <w:r>
        <w:rPr>
          <w:rFonts w:ascii="Calibri" w:hAnsi="Calibri" w:eastAsia="Calibri"/>
          <w:b w:val="0"/>
          <w:i w:val="0"/>
          <w:caps w:val="0"/>
          <w:color w:val="1F2937"/>
          <w:sz w:val="22"/>
        </w:rPr>
        <w:t>•  DPO + HR (+ QMRP if quality impact) open a confidential file within one working day of a report.</w:t>
      </w:r>
    </w:p>
    <w:p>
      <w:pPr>
        <w:spacing w:after="60" w:before="0"/>
        <w:ind w:left="567" w:hanging="227"/>
      </w:pPr>
      <w:r>
        <w:rPr>
          <w:rFonts w:ascii="Calibri" w:hAnsi="Calibri" w:eastAsia="Calibri"/>
          <w:b w:val="0"/>
          <w:i w:val="0"/>
          <w:caps w:val="0"/>
          <w:color w:val="1F2937"/>
          <w:sz w:val="22"/>
        </w:rPr>
        <w:t>•  Preserve logs; do not tip off a suspected reseller in a way that allows evidence destruction, subject to fair-hearing rules.</w:t>
      </w:r>
    </w:p>
    <w:p>
      <w:pPr>
        <w:spacing w:after="60" w:before="0"/>
        <w:ind w:left="567" w:hanging="227"/>
      </w:pPr>
      <w:r>
        <w:rPr>
          <w:rFonts w:ascii="Calibri" w:hAnsi="Calibri" w:eastAsia="Calibri"/>
          <w:b w:val="0"/>
          <w:i w:val="0"/>
          <w:caps w:val="0"/>
          <w:color w:val="1F2937"/>
          <w:sz w:val="22"/>
        </w:rPr>
        <w:t>•  Huawei is notified if Huawei-cooperation personal data is involved, in accordance with AA-VRBT-PP-4.1.3 and incident SLAs.</w:t>
      </w:r>
    </w:p>
    <w:p>
      <w:pPr>
        <w:spacing w:after="60" w:before="0"/>
        <w:ind w:left="567" w:hanging="227"/>
      </w:pPr>
      <w:r>
        <w:rPr>
          <w:rFonts w:ascii="Calibri" w:hAnsi="Calibri" w:eastAsia="Calibri"/>
          <w:b w:val="0"/>
          <w:i w:val="0"/>
          <w:caps w:val="0"/>
          <w:color w:val="1F2937"/>
          <w:sz w:val="22"/>
        </w:rPr>
        <w:t>•  Outcomes are recorded; anonymised lessons go into training without identifying whistle-blowers.</w:t>
      </w:r>
    </w:p>
    <w:p>
      <w:pPr>
        <w:keepNext/>
        <w:spacing w:before="280" w:after="120"/>
        <w:pBdr>
          <w:bottom w:val="single" w:sz="10" w:space="4" w:color="B88A2E"/>
        </w:pBdr>
      </w:pPr>
      <w:r>
        <w:rPr>
          <w:rFonts w:ascii="Calibri" w:hAnsi="Calibri" w:eastAsia="Calibri"/>
          <w:b/>
          <w:i w:val="0"/>
          <w:caps w:val="0"/>
          <w:color w:val="122B4F"/>
          <w:sz w:val="28"/>
        </w:rPr>
        <w:t>6. Monitoring (for interviews and on-site inspection)</w:t>
      </w:r>
    </w:p>
    <w:p>
      <w:pPr>
        <w:spacing w:after="160" w:before="0"/>
        <w:jc w:val="both"/>
      </w:pPr>
      <w:r>
        <w:rPr>
          <w:rFonts w:ascii="Calibri" w:hAnsi="Calibri" w:eastAsia="Calibri"/>
          <w:b w:val="0"/>
          <w:i w:val="0"/>
          <w:caps w:val="0"/>
          <w:color w:val="1F2937"/>
          <w:sz w:val="22"/>
        </w:rPr>
        <w:t>Inspectors may review: acknowledgement file, access-group membership, sample of privileged-query logs, leaver tickets, disciplinary register (with HR redaction of unrelated cases), and interview staff on the prohibited list. Staff are trained to answer: “We do not copy, sell, or WhatsApp subscriber numbers; deletion dates are not optional; Huawei consent is required before any external share.”</w:t>
      </w:r>
    </w:p>
    <w:p>
      <w:pPr>
        <w:keepNext/>
        <w:spacing w:before="280" w:after="120"/>
        <w:pBdr>
          <w:bottom w:val="single" w:sz="10" w:space="4" w:color="B88A2E"/>
        </w:pBdr>
      </w:pPr>
      <w:r>
        <w:rPr>
          <w:rFonts w:ascii="Calibri" w:hAnsi="Calibri" w:eastAsia="Calibri"/>
          <w:b/>
          <w:i w:val="0"/>
          <w:caps w:val="0"/>
          <w:color w:val="122B4F"/>
          <w:sz w:val="28"/>
        </w:rPr>
        <w:t>7. Annex A — Employee acknowledgement</w:t>
      </w:r>
    </w:p>
    <w:p>
      <w:pPr>
        <w:spacing w:after="160" w:before="0"/>
        <w:jc w:val="both"/>
      </w:pPr>
      <w:r>
        <w:rPr>
          <w:rFonts w:ascii="Calibri" w:hAnsi="Calibri" w:eastAsia="Calibri"/>
          <w:b w:val="0"/>
          <w:i w:val="0"/>
          <w:caps w:val="0"/>
          <w:color w:val="1F2937"/>
          <w:sz w:val="22"/>
        </w:rPr>
        <w:t>I have read AA-VRBT-PP-4.2.1. I understand that illegal collection, resale, unauthorised copying, improper transfer, illegal disclosure, abuse, or storage of personal data beyond the prescribed period is forbidden and may lead to dismissal, contract termination, and referral to the ODPC or police. I will complete required training before accessing VRBT systems. I will report suspected misuse within one hour.</w:t>
      </w:r>
    </w:p>
    <w:p>
      <w:pPr>
        <w:spacing w:after="160" w:before="0"/>
        <w:jc w:val="both"/>
      </w:pPr>
      <w:r>
        <w:rPr>
          <w:rFonts w:ascii="Calibri" w:hAnsi="Calibri" w:eastAsia="Calibri"/>
          <w:b w:val="0"/>
          <w:i w:val="0"/>
          <w:caps w:val="0"/>
          <w:color w:val="1F2937"/>
          <w:sz w:val="22"/>
        </w:rPr>
        <w:t>Name: __________________    Role: __________________    Signature: __________________    Date: __________</w:t>
      </w:r>
    </w:p>
    <w:p>
      <w:pPr>
        <w:keepNext/>
        <w:spacing w:before="200" w:after="120"/>
      </w:pPr>
      <w:r>
        <w:rPr>
          <w:rFonts w:ascii="Calibri" w:hAnsi="Calibri" w:eastAsia="Calibri"/>
          <w:b/>
          <w:i w:val="0"/>
          <w:caps w:val="0"/>
          <w:color w:val="0E6B7A"/>
          <w:sz w:val="24"/>
        </w:rPr>
        <w:t>7.1 Acknowledgement register (extract)</w:t>
      </w:r>
    </w:p>
    <w:tbl>
      <w:tblPr>
        <w:jc w:val="center"/>
        <w:tblLayout w:type="fixed"/>
        <w:tblLook w:firstColumn="1" w:firstRow="1" w:lastColumn="0" w:lastRow="0" w:noHBand="0" w:noVBand="1" w:val="04A0"/>
        <w:tblW w:w="6120000" w:type="dxa"/>
      </w:tblPr>
      <w:tblGrid>
        <w:gridCol w:w="1944000"/>
        <w:gridCol w:w="1296000"/>
        <w:gridCol w:w="1440000"/>
        <w:gridCol w:w="1440000"/>
      </w:tblGrid>
      <w:tr>
        <w:trPr>
          <w:cantSplit/>
        </w:trPr>
        <w:tc>
          <w:tcPr>
            <w:tcW w:w="1944000" w:type="dxa"/>
            <w:shd w:fill="122B4F" w:val="clear"/>
            <w:tcBorders>
              <w:top w:val="single" w:sz="4" w:space="0" w:color="122B4F"/>
              <w:left w:val="single" w:sz="4" w:space="0" w:color="122B4F"/>
              <w:bottom w:val="single" w:sz="4" w:space="0" w:color="122B4F"/>
              <w:right w:val="single" w:sz="4" w:space="0" w:color="122B4F"/>
            </w:tcBorders>
            <w:tcMar>
              <w:top w:w="60" w:type="dxa"/>
              <w:left w:w="80" w:type="dxa"/>
              <w:bottom w:w="60" w:type="dxa"/>
              <w:right w:w="80" w:type="dxa"/>
            </w:tcMar>
            <w:vAlign w:val="center"/>
          </w:tcPr>
          <w:p>
            <w:pPr>
              <w:spacing w:after="0"/>
            </w:pPr>
            <w:r>
              <w:rPr>
                <w:rFonts w:ascii="Calibri" w:hAnsi="Calibri" w:eastAsia="Calibri"/>
                <w:b/>
                <w:i w:val="0"/>
                <w:caps w:val="0"/>
                <w:color w:val="FFFFFF"/>
                <w:sz w:val="18"/>
              </w:rPr>
              <w:t>Role</w:t>
            </w:r>
          </w:p>
        </w:tc>
        <w:tc>
          <w:tcPr>
            <w:tcW w:w="1296000" w:type="dxa"/>
            <w:shd w:fill="122B4F" w:val="clear"/>
            <w:tcBorders>
              <w:top w:val="single" w:sz="4" w:space="0" w:color="122B4F"/>
              <w:left w:val="single" w:sz="4" w:space="0" w:color="122B4F"/>
              <w:bottom w:val="single" w:sz="4" w:space="0" w:color="122B4F"/>
              <w:right w:val="single" w:sz="4" w:space="0" w:color="122B4F"/>
            </w:tcBorders>
            <w:tcMar>
              <w:top w:w="60" w:type="dxa"/>
              <w:left w:w="80" w:type="dxa"/>
              <w:bottom w:w="60" w:type="dxa"/>
              <w:right w:w="80" w:type="dxa"/>
            </w:tcMar>
            <w:vAlign w:val="center"/>
          </w:tcPr>
          <w:p>
            <w:pPr>
              <w:spacing w:after="0"/>
            </w:pPr>
            <w:r>
              <w:rPr>
                <w:rFonts w:ascii="Calibri" w:hAnsi="Calibri" w:eastAsia="Calibri"/>
                <w:b/>
                <w:i w:val="0"/>
                <w:caps w:val="0"/>
                <w:color w:val="FFFFFF"/>
                <w:sz w:val="18"/>
              </w:rPr>
              <w:t>Acknowledged</w:t>
            </w:r>
          </w:p>
        </w:tc>
        <w:tc>
          <w:tcPr>
            <w:tcW w:w="1440000" w:type="dxa"/>
            <w:shd w:fill="122B4F" w:val="clear"/>
            <w:tcBorders>
              <w:top w:val="single" w:sz="4" w:space="0" w:color="122B4F"/>
              <w:left w:val="single" w:sz="4" w:space="0" w:color="122B4F"/>
              <w:bottom w:val="single" w:sz="4" w:space="0" w:color="122B4F"/>
              <w:right w:val="single" w:sz="4" w:space="0" w:color="122B4F"/>
            </w:tcBorders>
            <w:tcMar>
              <w:top w:w="60" w:type="dxa"/>
              <w:left w:w="80" w:type="dxa"/>
              <w:bottom w:w="60" w:type="dxa"/>
              <w:right w:w="80" w:type="dxa"/>
            </w:tcMar>
            <w:vAlign w:val="center"/>
          </w:tcPr>
          <w:p>
            <w:pPr>
              <w:spacing w:after="0"/>
            </w:pPr>
            <w:r>
              <w:rPr>
                <w:rFonts w:ascii="Calibri" w:hAnsi="Calibri" w:eastAsia="Calibri"/>
                <w:b/>
                <w:i w:val="0"/>
                <w:caps w:val="0"/>
                <w:color w:val="FFFFFF"/>
                <w:sz w:val="18"/>
              </w:rPr>
              <w:t>Training valid</w:t>
            </w:r>
          </w:p>
        </w:tc>
        <w:tc>
          <w:tcPr>
            <w:tcW w:w="1440000" w:type="dxa"/>
            <w:shd w:fill="122B4F" w:val="clear"/>
            <w:tcBorders>
              <w:top w:val="single" w:sz="4" w:space="0" w:color="122B4F"/>
              <w:left w:val="single" w:sz="4" w:space="0" w:color="122B4F"/>
              <w:bottom w:val="single" w:sz="4" w:space="0" w:color="122B4F"/>
              <w:right w:val="single" w:sz="4" w:space="0" w:color="122B4F"/>
            </w:tcBorders>
            <w:tcMar>
              <w:top w:w="60" w:type="dxa"/>
              <w:left w:w="80" w:type="dxa"/>
              <w:bottom w:w="60" w:type="dxa"/>
              <w:right w:w="80" w:type="dxa"/>
            </w:tcMar>
            <w:vAlign w:val="center"/>
          </w:tcPr>
          <w:p>
            <w:pPr>
              <w:spacing w:after="0"/>
            </w:pPr>
            <w:r>
              <w:rPr>
                <w:rFonts w:ascii="Calibri" w:hAnsi="Calibri" w:eastAsia="Calibri"/>
                <w:b/>
                <w:i w:val="0"/>
                <w:caps w:val="0"/>
                <w:color w:val="FFFFFF"/>
                <w:sz w:val="18"/>
              </w:rPr>
              <w:t>Production access</w:t>
            </w:r>
          </w:p>
        </w:tc>
      </w:tr>
      <w:tr>
        <w:trPr>
          <w:cantSplit/>
        </w:trPr>
        <w:tc>
          <w:tcPr>
            <w:tcW w:w="1944000" w:type="dxa"/>
            <w:shd w:fill="FFFFFF"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QMRP</w:t>
            </w:r>
          </w:p>
        </w:tc>
        <w:tc>
          <w:tcPr>
            <w:tcW w:w="1296000" w:type="dxa"/>
            <w:shd w:fill="FFFFFF"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Yes — 1 Aug 2026</w:t>
            </w:r>
          </w:p>
        </w:tc>
        <w:tc>
          <w:tcPr>
            <w:tcW w:w="1440000" w:type="dxa"/>
            <w:shd w:fill="FFFFFF"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Yes</w:t>
            </w:r>
          </w:p>
        </w:tc>
        <w:tc>
          <w:tcPr>
            <w:tcW w:w="1440000" w:type="dxa"/>
            <w:shd w:fill="FFFFFF"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Yes</w:t>
            </w:r>
          </w:p>
        </w:tc>
      </w:tr>
      <w:tr>
        <w:trPr>
          <w:cantSplit/>
        </w:trPr>
        <w:tc>
          <w:tcPr>
            <w:tcW w:w="1944000" w:type="dxa"/>
            <w:shd w:fill="F4F7F8"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Data Protection Officer</w:t>
            </w:r>
          </w:p>
        </w:tc>
        <w:tc>
          <w:tcPr>
            <w:tcW w:w="1296000" w:type="dxa"/>
            <w:shd w:fill="F4F7F8"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Yes — 1 Aug 2026</w:t>
            </w:r>
          </w:p>
        </w:tc>
        <w:tc>
          <w:tcPr>
            <w:tcW w:w="1440000" w:type="dxa"/>
            <w:shd w:fill="F4F7F8"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Yes</w:t>
            </w:r>
          </w:p>
        </w:tc>
        <w:tc>
          <w:tcPr>
            <w:tcW w:w="1440000" w:type="dxa"/>
            <w:shd w:fill="F4F7F8"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Yes</w:t>
            </w:r>
          </w:p>
        </w:tc>
      </w:tr>
      <w:tr>
        <w:trPr>
          <w:cantSplit/>
        </w:trPr>
        <w:tc>
          <w:tcPr>
            <w:tcW w:w="1944000" w:type="dxa"/>
            <w:shd w:fill="FFFFFF"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Content Compliance Officer</w:t>
            </w:r>
          </w:p>
        </w:tc>
        <w:tc>
          <w:tcPr>
            <w:tcW w:w="1296000" w:type="dxa"/>
            <w:shd w:fill="FFFFFF"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Yes — 1 Aug 2026</w:t>
            </w:r>
          </w:p>
        </w:tc>
        <w:tc>
          <w:tcPr>
            <w:tcW w:w="1440000" w:type="dxa"/>
            <w:shd w:fill="FFFFFF"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Yes</w:t>
            </w:r>
          </w:p>
        </w:tc>
        <w:tc>
          <w:tcPr>
            <w:tcW w:w="1440000" w:type="dxa"/>
            <w:shd w:fill="FFFFFF"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Yes</w:t>
            </w:r>
          </w:p>
        </w:tc>
      </w:tr>
      <w:tr>
        <w:trPr>
          <w:cantSplit/>
        </w:trPr>
        <w:tc>
          <w:tcPr>
            <w:tcW w:w="1944000" w:type="dxa"/>
            <w:shd w:fill="F4F7F8"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VRBT Product Lead</w:t>
            </w:r>
          </w:p>
        </w:tc>
        <w:tc>
          <w:tcPr>
            <w:tcW w:w="1296000" w:type="dxa"/>
            <w:shd w:fill="F4F7F8"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Yes — 1 Aug 2026</w:t>
            </w:r>
          </w:p>
        </w:tc>
        <w:tc>
          <w:tcPr>
            <w:tcW w:w="1440000" w:type="dxa"/>
            <w:shd w:fill="F4F7F8"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Yes</w:t>
            </w:r>
          </w:p>
        </w:tc>
        <w:tc>
          <w:tcPr>
            <w:tcW w:w="1440000" w:type="dxa"/>
            <w:shd w:fill="F4F7F8"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Yes</w:t>
            </w:r>
          </w:p>
        </w:tc>
      </w:tr>
      <w:tr>
        <w:trPr>
          <w:cantSplit/>
        </w:trPr>
        <w:tc>
          <w:tcPr>
            <w:tcW w:w="1944000" w:type="dxa"/>
            <w:shd w:fill="FFFFFF"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VRBT Technical Lead</w:t>
            </w:r>
          </w:p>
        </w:tc>
        <w:tc>
          <w:tcPr>
            <w:tcW w:w="1296000" w:type="dxa"/>
            <w:shd w:fill="FFFFFF"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Yes — 1 Aug 2026</w:t>
            </w:r>
          </w:p>
        </w:tc>
        <w:tc>
          <w:tcPr>
            <w:tcW w:w="1440000" w:type="dxa"/>
            <w:shd w:fill="FFFFFF"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Yes</w:t>
            </w:r>
          </w:p>
        </w:tc>
        <w:tc>
          <w:tcPr>
            <w:tcW w:w="1440000" w:type="dxa"/>
            <w:shd w:fill="FFFFFF"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Yes</w:t>
            </w:r>
          </w:p>
        </w:tc>
      </w:tr>
      <w:tr>
        <w:trPr>
          <w:cantSplit/>
        </w:trPr>
        <w:tc>
          <w:tcPr>
            <w:tcW w:w="1944000" w:type="dxa"/>
            <w:shd w:fill="F4F7F8"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Customer Care Lead</w:t>
            </w:r>
          </w:p>
        </w:tc>
        <w:tc>
          <w:tcPr>
            <w:tcW w:w="1296000" w:type="dxa"/>
            <w:shd w:fill="F4F7F8"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Yes — 1 Aug 2026</w:t>
            </w:r>
          </w:p>
        </w:tc>
        <w:tc>
          <w:tcPr>
            <w:tcW w:w="1440000" w:type="dxa"/>
            <w:shd w:fill="F4F7F8"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Yes</w:t>
            </w:r>
          </w:p>
        </w:tc>
        <w:tc>
          <w:tcPr>
            <w:tcW w:w="1440000" w:type="dxa"/>
            <w:shd w:fill="F4F7F8"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Yes</w:t>
            </w:r>
          </w:p>
        </w:tc>
      </w:tr>
      <w:tr>
        <w:trPr>
          <w:cantSplit/>
        </w:trPr>
        <w:tc>
          <w:tcPr>
            <w:tcW w:w="1944000" w:type="dxa"/>
            <w:shd w:fill="FFFFFF"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Privacy Operations</w:t>
            </w:r>
          </w:p>
        </w:tc>
        <w:tc>
          <w:tcPr>
            <w:tcW w:w="1296000" w:type="dxa"/>
            <w:shd w:fill="FFFFFF"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Yes — 1 Aug 2026</w:t>
            </w:r>
          </w:p>
        </w:tc>
        <w:tc>
          <w:tcPr>
            <w:tcW w:w="1440000" w:type="dxa"/>
            <w:shd w:fill="FFFFFF"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Yes</w:t>
            </w:r>
          </w:p>
        </w:tc>
        <w:tc>
          <w:tcPr>
            <w:tcW w:w="1440000" w:type="dxa"/>
            <w:shd w:fill="FFFFFF"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Yes</w:t>
            </w:r>
          </w:p>
        </w:tc>
      </w:tr>
      <w:tr>
        <w:trPr>
          <w:cantSplit/>
        </w:trPr>
        <w:tc>
          <w:tcPr>
            <w:tcW w:w="1944000" w:type="dxa"/>
            <w:shd w:fill="F4F7F8"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Seasonal content reviewers (cohort Aug 2026)</w:t>
            </w:r>
          </w:p>
        </w:tc>
        <w:tc>
          <w:tcPr>
            <w:tcW w:w="1296000" w:type="dxa"/>
            <w:shd w:fill="F4F7F8"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Yes — 12 Aug 2026</w:t>
            </w:r>
          </w:p>
        </w:tc>
        <w:tc>
          <w:tcPr>
            <w:tcW w:w="1440000" w:type="dxa"/>
            <w:shd w:fill="F4F7F8"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Yes — session TR-2026-08-12</w:t>
            </w:r>
          </w:p>
        </w:tc>
        <w:tc>
          <w:tcPr>
            <w:tcW w:w="1440000" w:type="dxa"/>
            <w:shd w:fill="F4F7F8"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Yes, after pass</w:t>
            </w:r>
          </w:p>
        </w:tc>
      </w:tr>
    </w:tbl>
    <w:p>
      <w:pPr>
        <w:spacing w:after="160"/>
      </w:pPr>
    </w:p>
    <w:p>
      <w:pPr>
        <w:keepNext/>
        <w:spacing w:before="280" w:after="120"/>
        <w:pBdr>
          <w:bottom w:val="single" w:sz="10" w:space="4" w:color="B88A2E"/>
        </w:pBdr>
      </w:pPr>
      <w:r>
        <w:rPr>
          <w:rFonts w:ascii="Calibri" w:hAnsi="Calibri" w:eastAsia="Calibri"/>
          <w:b/>
          <w:i w:val="0"/>
          <w:caps w:val="0"/>
          <w:color w:val="122B4F"/>
          <w:sz w:val="28"/>
        </w:rPr>
        <w:t>Document Approval</w:t>
      </w:r>
    </w:p>
    <w:p>
      <w:pPr>
        <w:spacing w:after="160" w:before="0"/>
        <w:jc w:val="both"/>
      </w:pPr>
      <w:r>
        <w:rPr>
          <w:rFonts w:ascii="Calibri" w:hAnsi="Calibri" w:eastAsia="Calibri"/>
          <w:b w:val="0"/>
          <w:i w:val="0"/>
          <w:caps w:val="0"/>
          <w:color w:val="1F2937"/>
          <w:sz w:val="22"/>
        </w:rPr>
        <w:t>This document is issued under the authority of Advanta Africa Ltd for the VRBT programme. Wet-ink or authorised electronic signatures below confirm that the content is accurate, that the described controls are in operation, and that the document may be presented to Huawei TQC/CEG.</w:t>
      </w:r>
    </w:p>
    <w:tbl>
      <w:tblPr>
        <w:tblLayout w:type="fixed"/>
        <w:tblLook w:firstColumn="1" w:firstRow="1" w:lastColumn="0" w:lastRow="0" w:noHBand="0" w:noVBand="1" w:val="04A0"/>
        <w:tblW w:w="6123600" w:type="dxa"/>
      </w:tblPr>
      <w:tblGrid>
        <w:gridCol w:w="2041200"/>
        <w:gridCol w:w="2041200"/>
        <w:gridCol w:w="2041200"/>
      </w:tblGrid>
      <w:tr>
        <w:tc>
          <w:tcPr>
            <w:tcW w:w="2041200" w:type="dxa"/>
            <w:tcBorders>
              <w:top w:val="single" w:sz="8" w:space="0" w:color="C5CDD3"/>
              <w:left w:val="single" w:sz="8" w:space="0" w:color="C5CDD3"/>
              <w:bottom w:val="single" w:sz="8" w:space="0" w:color="C5CDD3"/>
              <w:right w:val="single" w:sz="8" w:space="0" w:color="C5CDD3"/>
            </w:tcBorders>
            <w:tcMar>
              <w:top w:w="120" w:type="dxa"/>
              <w:left w:w="120" w:type="dxa"/>
              <w:bottom w:w="120" w:type="dxa"/>
              <w:right w:w="120" w:type="dxa"/>
            </w:tcMar>
            <w:shd w:fill="FFFFFF" w:val="clear"/>
          </w:tcPr>
          <w:p>
            <w:r>
              <w:rPr>
                <w:rFonts w:ascii="Calibri" w:hAnsi="Calibri" w:eastAsia="Calibri"/>
                <w:b/>
                <w:i w:val="0"/>
                <w:caps w:val="0"/>
                <w:color w:val="0E6B7A"/>
                <w:sz w:val="16"/>
              </w:rPr>
              <w:t>PREPARED BY</w:t>
            </w:r>
          </w:p>
          <w:p>
            <w:pPr>
              <w:spacing w:before="440"/>
            </w:pPr>
            <w:r>
              <w:rPr>
                <w:rFonts w:ascii="Calibri" w:hAnsi="Calibri" w:eastAsia="Calibri"/>
                <w:b w:val="0"/>
                <w:i w:val="0"/>
                <w:caps w:val="0"/>
                <w:color w:val="1F2937"/>
                <w:sz w:val="18"/>
              </w:rPr>
              <w:t>Signature: ____________________</w:t>
            </w:r>
          </w:p>
          <w:p>
            <w:r>
              <w:rPr>
                <w:rFonts w:ascii="Calibri" w:hAnsi="Calibri" w:eastAsia="Calibri"/>
                <w:b w:val="0"/>
                <w:i w:val="0"/>
                <w:caps w:val="0"/>
                <w:color w:val="1F2937"/>
                <w:sz w:val="18"/>
              </w:rPr>
              <w:t>Name: Data Protection Officer / Head of HR</w:t>
            </w:r>
          </w:p>
          <w:p>
            <w:r>
              <w:rPr>
                <w:rFonts w:ascii="Calibri" w:hAnsi="Calibri" w:eastAsia="Calibri"/>
                <w:b w:val="0"/>
                <w:i w:val="0"/>
                <w:caps w:val="0"/>
                <w:color w:val="1F2937"/>
                <w:sz w:val="18"/>
              </w:rPr>
              <w:t>Date: 17 August 2026</w:t>
            </w:r>
          </w:p>
        </w:tc>
        <w:tc>
          <w:tcPr>
            <w:tcW w:w="2041200" w:type="dxa"/>
            <w:tcBorders>
              <w:top w:val="single" w:sz="8" w:space="0" w:color="C5CDD3"/>
              <w:left w:val="single" w:sz="8" w:space="0" w:color="C5CDD3"/>
              <w:bottom w:val="single" w:sz="8" w:space="0" w:color="C5CDD3"/>
              <w:right w:val="single" w:sz="8" w:space="0" w:color="C5CDD3"/>
            </w:tcBorders>
            <w:tcMar>
              <w:top w:w="120" w:type="dxa"/>
              <w:left w:w="120" w:type="dxa"/>
              <w:bottom w:w="120" w:type="dxa"/>
              <w:right w:w="120" w:type="dxa"/>
            </w:tcMar>
            <w:shd w:fill="FFFFFF" w:val="clear"/>
          </w:tcPr>
          <w:p>
            <w:r>
              <w:rPr>
                <w:rFonts w:ascii="Calibri" w:hAnsi="Calibri" w:eastAsia="Calibri"/>
                <w:b/>
                <w:i w:val="0"/>
                <w:caps w:val="0"/>
                <w:color w:val="0E6B7A"/>
                <w:sz w:val="16"/>
              </w:rPr>
              <w:t>REVIEWED BY</w:t>
            </w:r>
          </w:p>
          <w:p>
            <w:pPr>
              <w:spacing w:before="440"/>
            </w:pPr>
            <w:r>
              <w:rPr>
                <w:rFonts w:ascii="Calibri" w:hAnsi="Calibri" w:eastAsia="Calibri"/>
                <w:b w:val="0"/>
                <w:i w:val="0"/>
                <w:caps w:val="0"/>
                <w:color w:val="1F2937"/>
                <w:sz w:val="18"/>
              </w:rPr>
              <w:t>Signature: ____________________</w:t>
            </w:r>
          </w:p>
          <w:p>
            <w:r>
              <w:rPr>
                <w:rFonts w:ascii="Calibri" w:hAnsi="Calibri" w:eastAsia="Calibri"/>
                <w:b w:val="0"/>
                <w:i w:val="0"/>
                <w:caps w:val="0"/>
                <w:color w:val="1F2937"/>
                <w:sz w:val="18"/>
              </w:rPr>
              <w:t>Name: Quality Management Responsible Person</w:t>
            </w:r>
          </w:p>
          <w:p>
            <w:r>
              <w:rPr>
                <w:rFonts w:ascii="Calibri" w:hAnsi="Calibri" w:eastAsia="Calibri"/>
                <w:b w:val="0"/>
                <w:i w:val="0"/>
                <w:caps w:val="0"/>
                <w:color w:val="1F2937"/>
                <w:sz w:val="18"/>
              </w:rPr>
              <w:t>Date: 17 August 2026</w:t>
            </w:r>
          </w:p>
        </w:tc>
        <w:tc>
          <w:tcPr>
            <w:tcW w:w="2041200" w:type="dxa"/>
            <w:tcBorders>
              <w:top w:val="single" w:sz="8" w:space="0" w:color="C5CDD3"/>
              <w:left w:val="single" w:sz="8" w:space="0" w:color="C5CDD3"/>
              <w:bottom w:val="single" w:sz="8" w:space="0" w:color="C5CDD3"/>
              <w:right w:val="single" w:sz="8" w:space="0" w:color="C5CDD3"/>
            </w:tcBorders>
            <w:tcMar>
              <w:top w:w="120" w:type="dxa"/>
              <w:left w:w="120" w:type="dxa"/>
              <w:bottom w:w="120" w:type="dxa"/>
              <w:right w:w="120" w:type="dxa"/>
            </w:tcMar>
            <w:shd w:fill="FFFFFF" w:val="clear"/>
          </w:tcPr>
          <w:p>
            <w:r>
              <w:rPr>
                <w:rFonts w:ascii="Calibri" w:hAnsi="Calibri" w:eastAsia="Calibri"/>
                <w:b/>
                <w:i w:val="0"/>
                <w:caps w:val="0"/>
                <w:color w:val="0E6B7A"/>
                <w:sz w:val="16"/>
              </w:rPr>
              <w:t>APPROVED BY</w:t>
            </w:r>
          </w:p>
          <w:p>
            <w:pPr>
              <w:spacing w:before="440"/>
            </w:pPr>
            <w:r>
              <w:rPr>
                <w:rFonts w:ascii="Calibri" w:hAnsi="Calibri" w:eastAsia="Calibri"/>
                <w:b w:val="0"/>
                <w:i w:val="0"/>
                <w:caps w:val="0"/>
                <w:color w:val="1F2937"/>
                <w:sz w:val="18"/>
              </w:rPr>
              <w:t>Signature: ____________________</w:t>
            </w:r>
          </w:p>
          <w:p>
            <w:r>
              <w:rPr>
                <w:rFonts w:ascii="Calibri" w:hAnsi="Calibri" w:eastAsia="Calibri"/>
                <w:b w:val="0"/>
                <w:i w:val="0"/>
                <w:caps w:val="0"/>
                <w:color w:val="1F2937"/>
                <w:sz w:val="18"/>
              </w:rPr>
              <w:t>Name: Lawrence Muriuki, Chief Executive Officer and Founder</w:t>
            </w:r>
          </w:p>
          <w:p>
            <w:r>
              <w:rPr>
                <w:rFonts w:ascii="Calibri" w:hAnsi="Calibri" w:eastAsia="Calibri"/>
                <w:b w:val="0"/>
                <w:i w:val="0"/>
                <w:caps w:val="0"/>
                <w:color w:val="1F2937"/>
                <w:sz w:val="18"/>
              </w:rPr>
              <w:t>Date: 17 August 2026</w:t>
            </w:r>
          </w:p>
        </w:tc>
      </w:tr>
    </w:tbl>
    <w:p>
      <w:pPr>
        <w:spacing w:after="160"/>
      </w:pPr>
    </w:p>
    <w:p>
      <w:pPr>
        <w:keepNext/>
        <w:spacing w:before="200" w:after="120"/>
      </w:pPr>
      <w:r>
        <w:rPr>
          <w:rFonts w:ascii="Calibri" w:hAnsi="Calibri" w:eastAsia="Calibri"/>
          <w:b/>
          <w:i w:val="0"/>
          <w:caps w:val="0"/>
          <w:color w:val="0E6B7A"/>
          <w:sz w:val="24"/>
        </w:rPr>
        <w:t>Distribution List</w:t>
      </w:r>
    </w:p>
    <w:tbl>
      <w:tblPr>
        <w:jc w:val="center"/>
        <w:tblLayout w:type="fixed"/>
        <w:tblLook w:firstColumn="1" w:firstRow="1" w:lastColumn="0" w:lastRow="0" w:noHBand="0" w:noVBand="1" w:val="04A0"/>
        <w:tblW w:w="6120000" w:type="dxa"/>
      </w:tblPr>
      <w:tblGrid>
        <w:gridCol w:w="792000"/>
        <w:gridCol w:w="2700000"/>
        <w:gridCol w:w="2628000"/>
      </w:tblGrid>
      <w:tr>
        <w:trPr>
          <w:cantSplit/>
        </w:trPr>
        <w:tc>
          <w:tcPr>
            <w:tcW w:w="792000" w:type="dxa"/>
            <w:shd w:fill="122B4F" w:val="clear"/>
            <w:tcBorders>
              <w:top w:val="single" w:sz="4" w:space="0" w:color="122B4F"/>
              <w:left w:val="single" w:sz="4" w:space="0" w:color="122B4F"/>
              <w:bottom w:val="single" w:sz="4" w:space="0" w:color="122B4F"/>
              <w:right w:val="single" w:sz="4" w:space="0" w:color="122B4F"/>
            </w:tcBorders>
            <w:tcMar>
              <w:top w:w="60" w:type="dxa"/>
              <w:left w:w="80" w:type="dxa"/>
              <w:bottom w:w="60" w:type="dxa"/>
              <w:right w:w="80" w:type="dxa"/>
            </w:tcMar>
            <w:vAlign w:val="center"/>
          </w:tcPr>
          <w:p>
            <w:pPr>
              <w:spacing w:after="0"/>
            </w:pPr>
            <w:r>
              <w:rPr>
                <w:rFonts w:ascii="Calibri" w:hAnsi="Calibri" w:eastAsia="Calibri"/>
                <w:b/>
                <w:i w:val="0"/>
                <w:caps w:val="0"/>
                <w:color w:val="FFFFFF"/>
                <w:sz w:val="18"/>
              </w:rPr>
              <w:t>Copy</w:t>
            </w:r>
          </w:p>
        </w:tc>
        <w:tc>
          <w:tcPr>
            <w:tcW w:w="2700000" w:type="dxa"/>
            <w:shd w:fill="122B4F" w:val="clear"/>
            <w:tcBorders>
              <w:top w:val="single" w:sz="4" w:space="0" w:color="122B4F"/>
              <w:left w:val="single" w:sz="4" w:space="0" w:color="122B4F"/>
              <w:bottom w:val="single" w:sz="4" w:space="0" w:color="122B4F"/>
              <w:right w:val="single" w:sz="4" w:space="0" w:color="122B4F"/>
            </w:tcBorders>
            <w:tcMar>
              <w:top w:w="60" w:type="dxa"/>
              <w:left w:w="80" w:type="dxa"/>
              <w:bottom w:w="60" w:type="dxa"/>
              <w:right w:w="80" w:type="dxa"/>
            </w:tcMar>
            <w:vAlign w:val="center"/>
          </w:tcPr>
          <w:p>
            <w:pPr>
              <w:spacing w:after="0"/>
            </w:pPr>
            <w:r>
              <w:rPr>
                <w:rFonts w:ascii="Calibri" w:hAnsi="Calibri" w:eastAsia="Calibri"/>
                <w:b/>
                <w:i w:val="0"/>
                <w:caps w:val="0"/>
                <w:color w:val="FFFFFF"/>
                <w:sz w:val="18"/>
              </w:rPr>
              <w:t>Recipient</w:t>
            </w:r>
          </w:p>
        </w:tc>
        <w:tc>
          <w:tcPr>
            <w:tcW w:w="2628000" w:type="dxa"/>
            <w:shd w:fill="122B4F" w:val="clear"/>
            <w:tcBorders>
              <w:top w:val="single" w:sz="4" w:space="0" w:color="122B4F"/>
              <w:left w:val="single" w:sz="4" w:space="0" w:color="122B4F"/>
              <w:bottom w:val="single" w:sz="4" w:space="0" w:color="122B4F"/>
              <w:right w:val="single" w:sz="4" w:space="0" w:color="122B4F"/>
            </w:tcBorders>
            <w:tcMar>
              <w:top w:w="60" w:type="dxa"/>
              <w:left w:w="80" w:type="dxa"/>
              <w:bottom w:w="60" w:type="dxa"/>
              <w:right w:w="80" w:type="dxa"/>
            </w:tcMar>
            <w:vAlign w:val="center"/>
          </w:tcPr>
          <w:p>
            <w:pPr>
              <w:spacing w:after="0"/>
            </w:pPr>
            <w:r>
              <w:rPr>
                <w:rFonts w:ascii="Calibri" w:hAnsi="Calibri" w:eastAsia="Calibri"/>
                <w:b/>
                <w:i w:val="0"/>
                <w:caps w:val="0"/>
                <w:color w:val="FFFFFF"/>
                <w:sz w:val="18"/>
              </w:rPr>
              <w:t>Purpose</w:t>
            </w:r>
          </w:p>
        </w:tc>
      </w:tr>
      <w:tr>
        <w:trPr>
          <w:cantSplit/>
        </w:trPr>
        <w:tc>
          <w:tcPr>
            <w:tcW w:w="792000" w:type="dxa"/>
            <w:shd w:fill="FFFFFF"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Master</w:t>
            </w:r>
          </w:p>
        </w:tc>
        <w:tc>
          <w:tcPr>
            <w:tcW w:w="2700000" w:type="dxa"/>
            <w:shd w:fill="FFFFFF"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Quality Management Office (controlled repository)</w:t>
            </w:r>
          </w:p>
        </w:tc>
        <w:tc>
          <w:tcPr>
            <w:tcW w:w="2628000" w:type="dxa"/>
            <w:shd w:fill="FFFFFF"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Document of record</w:t>
            </w:r>
          </w:p>
        </w:tc>
      </w:tr>
      <w:tr>
        <w:trPr>
          <w:cantSplit/>
        </w:trPr>
        <w:tc>
          <w:tcPr>
            <w:tcW w:w="792000" w:type="dxa"/>
            <w:shd w:fill="F4F7F8"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1</w:t>
            </w:r>
          </w:p>
        </w:tc>
        <w:tc>
          <w:tcPr>
            <w:tcW w:w="2700000" w:type="dxa"/>
            <w:shd w:fill="F4F7F8"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Huawei TQC / CEG auditor</w:t>
            </w:r>
          </w:p>
        </w:tc>
        <w:tc>
          <w:tcPr>
            <w:tcW w:w="2628000" w:type="dxa"/>
            <w:shd w:fill="F4F7F8"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Supplier document verification</w:t>
            </w:r>
          </w:p>
        </w:tc>
      </w:tr>
      <w:tr>
        <w:trPr>
          <w:cantSplit/>
        </w:trPr>
        <w:tc>
          <w:tcPr>
            <w:tcW w:w="792000" w:type="dxa"/>
            <w:shd w:fill="FFFFFF"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2</w:t>
            </w:r>
          </w:p>
        </w:tc>
        <w:tc>
          <w:tcPr>
            <w:tcW w:w="2700000" w:type="dxa"/>
            <w:shd w:fill="FFFFFF"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Advanta Africa CEO / Management</w:t>
            </w:r>
          </w:p>
        </w:tc>
        <w:tc>
          <w:tcPr>
            <w:tcW w:w="2628000" w:type="dxa"/>
            <w:shd w:fill="FFFFFF"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Accountability and sponsorship</w:t>
            </w:r>
          </w:p>
        </w:tc>
      </w:tr>
      <w:tr>
        <w:trPr>
          <w:cantSplit/>
        </w:trPr>
        <w:tc>
          <w:tcPr>
            <w:tcW w:w="792000" w:type="dxa"/>
            <w:shd w:fill="F4F7F8"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3</w:t>
            </w:r>
          </w:p>
        </w:tc>
        <w:tc>
          <w:tcPr>
            <w:tcW w:w="2700000" w:type="dxa"/>
            <w:shd w:fill="F4F7F8"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Data Protection Officer</w:t>
            </w:r>
          </w:p>
        </w:tc>
        <w:tc>
          <w:tcPr>
            <w:tcW w:w="2628000" w:type="dxa"/>
            <w:shd w:fill="F4F7F8"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Privacy and cross-border controls</w:t>
            </w:r>
          </w:p>
        </w:tc>
      </w:tr>
      <w:tr>
        <w:trPr>
          <w:cantSplit/>
        </w:trPr>
        <w:tc>
          <w:tcPr>
            <w:tcW w:w="792000" w:type="dxa"/>
            <w:shd w:fill="FFFFFF"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4</w:t>
            </w:r>
          </w:p>
        </w:tc>
        <w:tc>
          <w:tcPr>
            <w:tcW w:w="2700000" w:type="dxa"/>
            <w:shd w:fill="FFFFFF"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Content Compliance Officer</w:t>
            </w:r>
          </w:p>
        </w:tc>
        <w:tc>
          <w:tcPr>
            <w:tcW w:w="2628000" w:type="dxa"/>
            <w:shd w:fill="FFFFFF"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Content, IP, ethics and go-live review</w:t>
            </w:r>
          </w:p>
        </w:tc>
      </w:tr>
      <w:tr>
        <w:trPr>
          <w:cantSplit/>
        </w:trPr>
        <w:tc>
          <w:tcPr>
            <w:tcW w:w="792000" w:type="dxa"/>
            <w:shd w:fill="F4F7F8"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5</w:t>
            </w:r>
          </w:p>
        </w:tc>
        <w:tc>
          <w:tcPr>
            <w:tcW w:w="2700000" w:type="dxa"/>
            <w:shd w:fill="F4F7F8"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VRBT Product and Operations</w:t>
            </w:r>
          </w:p>
        </w:tc>
        <w:tc>
          <w:tcPr>
            <w:tcW w:w="2628000" w:type="dxa"/>
            <w:shd w:fill="F4F7F8"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Day-to-day implementation</w:t>
            </w:r>
          </w:p>
        </w:tc>
      </w:tr>
    </w:tbl>
    <w:p>
      <w:pPr>
        <w:spacing w:after="160"/>
      </w:pPr>
    </w:p>
    <w:sectPr w:rsidR="00FC693F" w:rsidRPr="0006063C" w:rsidSect="00034616">
      <w:headerReference w:type="default" r:id="rId9"/>
      <w:footerReference w:type="default" r:id="rId10"/>
      <w:pgSz w:w="11906" w:h="16838"/>
      <w:pgMar w:top="1361" w:right="1134" w:bottom="1247" w:left="1134"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80"/>
      <w:jc w:val="left"/>
      <w:pBdr>
        <w:bottom w:val="single" w:sz="12" w:space="4" w:color="122B4F"/>
      </w:pBdr>
    </w:pPr>
    <w:r>
      <w:rPr>
        <w:rFonts w:ascii="Calibri" w:hAnsi="Calibri" w:eastAsia="Calibri"/>
        <w:b w:val="0"/>
        <w:i w:val="0"/>
        <w:caps w:val="0"/>
        <w:color w:val="4B5563"/>
        <w:sz w:val="16"/>
      </w:rPr>
      <w:t xml:space="preserve">CONFIDENTIAL  ·  Huawei Supplier Audit Evidence  ·  PP 4.2.1  ·  </w:t>
    </w:r>
    <w:r>
      <w:rPr>
        <w:rFonts w:ascii="Calibri" w:hAnsi="Calibri" w:eastAsia="Calibri"/>
        <w:b w:val="0"/>
        <w:i w:val="0"/>
        <w:caps w:val="0"/>
        <w:color w:val="4B5563"/>
        <w:sz w:val="16"/>
      </w:rPr>
      <w:t xml:space="preserve">Page </w:t>
    </w:r>
    <w:r>
      <w:rPr>
        <w:rFonts w:ascii="Calibri" w:hAnsi="Calibri" w:eastAsia="Calibri"/>
        <w:b w:val="0"/>
        <w:i w:val="0"/>
        <w:caps w:val="0"/>
        <w:color w:val="4B5563"/>
        <w:sz w:val="16"/>
      </w:rPr>
      <w:fldChar w:fldCharType="begin"/>
      <w:instrText xml:space="preserve"> PAGE </w:instrText>
      <w:fldChar w:fldCharType="end"/>
    </w:r>
    <w:r>
      <w:rPr>
        <w:rFonts w:ascii="Calibri" w:hAnsi="Calibri" w:eastAsia="Calibri"/>
        <w:b w:val="0"/>
        <w:i w:val="0"/>
        <w:caps w:val="0"/>
        <w:color w:val="4B5563"/>
        <w:sz w:val="16"/>
      </w:rPr>
      <w:t xml:space="preserve"> of </w:t>
    </w:r>
    <w:r>
      <w:rPr>
        <w:rFonts w:ascii="Calibri" w:hAnsi="Calibri" w:eastAsia="Calibri"/>
        <w:b w:val="0"/>
        <w:i w:val="0"/>
        <w:caps w:val="0"/>
        <w:color w:val="4B5563"/>
        <w:sz w:val="16"/>
      </w:rPr>
      <w:fldChar w:fldCharType="begin"/>
      <w:instrText xml:space="preserve"> NUMPAGES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left"/>
      <w:pBdr>
        <w:bottom w:val="single" w:sz="18" w:space="4" w:color="B88A2E"/>
      </w:pBdr>
    </w:pPr>
    <w:r>
      <w:rPr>
        <w:rFonts w:ascii="Calibri" w:hAnsi="Calibri" w:eastAsia="Calibri"/>
        <w:b/>
        <w:i w:val="0"/>
        <w:caps w:val="0"/>
        <w:color w:val="122B4F"/>
        <w:sz w:val="18"/>
      </w:rPr>
      <w:t>ADVANTA AFRICA LTD</w:t>
    </w:r>
    <w:r>
      <w:rPr>
        <w:rFonts w:ascii="Calibri" w:hAnsi="Calibri" w:eastAsia="Calibri"/>
        <w:b w:val="0"/>
        <w:i/>
        <w:caps w:val="0"/>
        <w:color w:val="4B5563"/>
        <w:sz w:val="16"/>
      </w:rPr>
      <w:t xml:space="preserve">  |  Smarter, Faster Messaging  |  </w:t>
    </w:r>
    <w:r>
      <w:rPr>
        <w:rFonts w:ascii="Calibri" w:hAnsi="Calibri" w:eastAsia="Calibri"/>
        <w:b/>
        <w:i w:val="0"/>
        <w:caps w:val="0"/>
        <w:color w:val="0E6B7A"/>
        <w:sz w:val="16"/>
      </w:rPr>
      <w:t>AA-VRBT-PP-4.2.1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before="0" w:line="276" w:lineRule="auto"/>
    </w:pPr>
    <w:rPr>
      <w:rFonts w:ascii="Calibri" w:hAnsi="Calibri" w:eastAsia="Calibri"/>
      <w:color w:val="1F293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