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Calibri" w:hAnsi="Calibri" w:eastAsia="Calibri"/>
          <w:b/>
          <w:i w:val="0"/>
          <w:caps w:val="0"/>
          <w:color w:val="122B4F"/>
          <w:sz w:val="44"/>
        </w:rPr>
        <w:t>ADVANTA AFRICA LTD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i/>
          <w:caps w:val="0"/>
          <w:color w:val="0E6B7A"/>
          <w:sz w:val="24"/>
        </w:rPr>
        <w:t>Smarter, Faster Messaging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Bulk SMS  ·  Short Codes  ·  SMS APIs  ·  USSD  ·  WhatsApp APIs  ·  VRBT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6120000"/>
      </w:tblGrid>
      <w:tr>
        <w:trPr>
          <w:trHeight w:val="68"/>
        </w:trPr>
        <w:tc>
          <w:tcPr>
            <w:tcW w:w="6120000" w:type="dxa"/>
            <w:shd w:fill="B88A2E" w:val="clear"/>
            <w:tcBorders>
              <w:top w:val="single" w:sz="0" w:space="0" w:color="B88A2E"/>
              <w:left w:val="single" w:sz="0" w:space="0" w:color="B88A2E"/>
              <w:bottom w:val="single" w:sz="0" w:space="0" w:color="B88A2E"/>
              <w:right w:val="single" w:sz="0" w:space="0" w:color="B88A2E"/>
            </w:tcBorders>
          </w:tcPr>
          <w:p>
            <w:pPr>
              <w:spacing w:after="0"/>
            </w:pPr>
          </w:p>
        </w:tc>
      </w:tr>
    </w:tbl>
    <w:p>
      <w:pPr>
        <w:spacing w:before="320" w:after="80"/>
        <w:jc w:val="center"/>
      </w:pPr>
      <w:r>
        <w:rPr>
          <w:rFonts w:ascii="Calibri" w:hAnsi="Calibri" w:eastAsia="Calibri"/>
          <w:b/>
          <w:i w:val="0"/>
          <w:caps/>
          <w:color w:val="B88A2E"/>
          <w:sz w:val="22"/>
        </w:rPr>
        <w:t>HUAWEI SUPPLIER AUDIT EVIDENCE PACK</w:t>
      </w:r>
    </w:p>
    <w:p>
      <w:pPr>
        <w:spacing w:after="120"/>
        <w:jc w:val="center"/>
      </w:pPr>
      <w:r>
        <w:rPr>
          <w:rFonts w:ascii="Calibri" w:hAnsi="Calibri" w:eastAsia="Calibri"/>
          <w:b/>
          <w:i w:val="0"/>
          <w:caps w:val="0"/>
          <w:color w:val="122B4F"/>
          <w:sz w:val="40"/>
        </w:rPr>
        <w:t>Quality Objectives and Achievement Report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caps w:val="0"/>
          <w:color w:val="0E6B7A"/>
          <w:sz w:val="24"/>
        </w:rPr>
        <w:t>VRBT quality KPIs, monitoring method and statistical achievement status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6120000"/>
      </w:tblGrid>
      <w:tr>
        <w:tc>
          <w:tcPr>
            <w:tcW w:w="6120000" w:type="dxa"/>
            <w:shd w:fill="122B4F" w:val="clear"/>
            <w:tcBorders>
              <w:top w:val="single" w:sz="0" w:space="0" w:color="122B4F"/>
              <w:left w:val="single" w:sz="0" w:space="0" w:color="122B4F"/>
              <w:bottom w:val="single" w:sz="0" w:space="0" w:color="122B4F"/>
              <w:right w:val="single" w:sz="0" w:space="0" w:color="122B4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2"/>
              </w:rPr>
              <w:t>PROJECT:  Video Ring Back Tune (VRBT) Service</w:t>
            </w:r>
          </w:p>
        </w:tc>
      </w:tr>
    </w:tbl>
    <w:p>
      <w:pPr>
        <w:spacing w:before="320" w:after="160"/>
      </w:pP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980000"/>
        <w:gridCol w:w="4140000"/>
      </w:tblGrid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Number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AA-VRBT-QM-2.2.1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Questionnaire Reference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Quality Management System — No. 2.2.1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Evidence Addresses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Establish quality-related objectives; monitor achievement during implementation; take improvement measures for unmet objectives. Evidence: KPI objective documents and statistical reports.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Version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1.0  |  Issued for Audit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17 August 2026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Effective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01 August 2026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Next Review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31 July 2027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Classification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Confidential — Restricted to Advanta Africa, Huawei TQC/CEG and authorised auditors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Prepared For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Huawei Technologies  ·  Reviewer: TQC / CEG  ·  Method: Document Verification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Prepared By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Quality Management Office, Advanta Africa Ltd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Approved By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Lawrence Muriuki, Chief Executive Officer and Founder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Owner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Quality Management Responsible Person (QMRP)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Related Contract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Huawei content / VAS cooperation for DIY Audio, Video, Game and E-book scenarios, as applied to VRBT</w:t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Western Heights, 6th Floor, Karuna Road, Westlands, Nairobi, Kenya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P.O. Box 1035-00200, City Square, Nairobi  ·  Tel: +254 111 139 000  ·  www.advantasms.com | www.advanta.africa</w:t>
      </w:r>
    </w:p>
    <w:p>
      <w:r>
        <w:br w:type="page"/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Document Control and Revision History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792000"/>
        <w:gridCol w:w="1080000"/>
        <w:gridCol w:w="1800000"/>
        <w:gridCol w:w="2448000"/>
      </w:tblGrid>
      <w:tr>
        <w:trPr>
          <w:cantSplit/>
        </w:trPr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Version</w:t>
            </w:r>
          </w:p>
        </w:tc>
        <w:tc>
          <w:tcPr>
            <w:tcW w:w="108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Date</w:t>
            </w:r>
          </w:p>
        </w:tc>
        <w:tc>
          <w:tcPr>
            <w:tcW w:w="180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Author / Authority</w:t>
            </w:r>
          </w:p>
        </w:tc>
        <w:tc>
          <w:tcPr>
            <w:tcW w:w="244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0.1</w:t>
            </w:r>
          </w:p>
        </w:tc>
        <w:tc>
          <w:tcPr>
            <w:tcW w:w="10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15 Jul 2026</w:t>
            </w:r>
          </w:p>
        </w:tc>
        <w:tc>
          <w:tcPr>
            <w:tcW w:w="18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Quality Office</w:t>
            </w:r>
          </w:p>
        </w:tc>
        <w:tc>
          <w:tcPr>
            <w:tcW w:w="24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Draft framework for VRBT Huawei evidence pack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0.9</w:t>
            </w:r>
          </w:p>
        </w:tc>
        <w:tc>
          <w:tcPr>
            <w:tcW w:w="10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05 Aug 2026</w:t>
            </w:r>
          </w:p>
        </w:tc>
        <w:tc>
          <w:tcPr>
            <w:tcW w:w="18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QMRP / DPO / Content Compliance</w:t>
            </w:r>
          </w:p>
        </w:tc>
        <w:tc>
          <w:tcPr>
            <w:tcW w:w="24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Internal review against questionnaire key review points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1.0</w:t>
            </w:r>
          </w:p>
        </w:tc>
        <w:tc>
          <w:tcPr>
            <w:tcW w:w="10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17 Aug 2026</w:t>
            </w:r>
          </w:p>
        </w:tc>
        <w:tc>
          <w:tcPr>
            <w:tcW w:w="18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CEO</w:t>
            </w:r>
          </w:p>
        </w:tc>
        <w:tc>
          <w:tcPr>
            <w:tcW w:w="24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Issued for Huawei TQC/CEG document verification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1. Purpose and questionnaire mapping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This document establishes company and project quality objectives for the Advanta Africa VRBT programme, defines the KPI targets that Huawei TQC/CEG reviewers are instructed to look for (including customer-complaint rate and major quality/compliance incident rate), describes how achievement is monitored, and presents the statistical report for the current period together with the improvement process used when a target is missed.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6120000"/>
      </w:tblGrid>
      <w:tr>
        <w:tc>
          <w:tcPr>
            <w:tcW w:w="6120000" w:type="dxa"/>
            <w:shd w:fill="E8F2F4" w:val="clear"/>
            <w:tcBorders>
              <w:top w:val="single" w:sz="8" w:space="0" w:color="0E6B7A"/>
              <w:left w:val="single" w:sz="8" w:space="0" w:color="0E6B7A"/>
              <w:bottom w:val="single" w:sz="8" w:space="0" w:color="0E6B7A"/>
              <w:right w:val="single" w:sz="8" w:space="0" w:color="0E6B7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8"/>
              </w:rPr>
              <w:t>KEY REVIEW POINT — ANSWERED</w:t>
            </w:r>
          </w:p>
          <w:p>
            <w:pPr>
              <w:spacing w:after="0"/>
              <w:jc w:val="both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Quality KPI targets have been established and statistical reports on achievement are published routinely (monthly operational pack; quarterly management review). Unmet objectives trigger a documented improvement action owned by the QMRP.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2. Objective-setting principles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1.  Objectives are derived from Huawei contractual quality clauses, Kenya regulatory duties, operator SLAs and Advanta’s quality policy.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2.  Each objective has an owner, a formula, a data source, a target, a reporting frequency and an escalation threshold.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3.  Targets are set annually by the CEO on the QMRP’s recommendation and may be tightened, never silently relaxed, during the year.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4.  Where the VRBT service is in launch phase, leading indicators (readiness, review throughput, training coverage) are reported alongside lagging service KPIs.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5.  A miss of a critical KPI (severity A) requires a corrective-action plan within five (5) working days.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3. Quality objectives for 2026 (company and VRBT project)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3.1 Company-level quality objectives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648000"/>
        <w:gridCol w:w="2304000"/>
        <w:gridCol w:w="1944000"/>
        <w:gridCol w:w="1224000"/>
      </w:tblGrid>
      <w:tr>
        <w:trPr>
          <w:cantSplit/>
        </w:trPr>
        <w:tc>
          <w:tcPr>
            <w:tcW w:w="64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ID</w:t>
            </w:r>
          </w:p>
        </w:tc>
        <w:tc>
          <w:tcPr>
            <w:tcW w:w="2304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Objective</w:t>
            </w:r>
          </w:p>
        </w:tc>
        <w:tc>
          <w:tcPr>
            <w:tcW w:w="1944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2026 target</w:t>
            </w:r>
          </w:p>
        </w:tc>
        <w:tc>
          <w:tcPr>
            <w:tcW w:w="1224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w="6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CO-1</w:t>
            </w:r>
          </w:p>
        </w:tc>
        <w:tc>
          <w:tcPr>
            <w:tcW w:w="230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Protect customers from defective or non-compliant content and service failures</w:t>
            </w:r>
          </w:p>
        </w:tc>
        <w:tc>
          <w:tcPr>
            <w:tcW w:w="194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Zero unreviewed go-lives; major incident rate ≤ 0.5 per 10,000 active subscriptions per month</w:t>
            </w:r>
          </w:p>
        </w:tc>
        <w:tc>
          <w:tcPr>
            <w:tcW w:w="122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QMRP</w:t>
            </w:r>
          </w:p>
        </w:tc>
      </w:tr>
      <w:tr>
        <w:trPr>
          <w:cantSplit/>
        </w:trPr>
        <w:tc>
          <w:tcPr>
            <w:tcW w:w="6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CO-2</w:t>
            </w:r>
          </w:p>
        </w:tc>
        <w:tc>
          <w:tcPr>
            <w:tcW w:w="230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Hear and close the customer voice</w:t>
            </w:r>
          </w:p>
        </w:tc>
        <w:tc>
          <w:tcPr>
            <w:tcW w:w="194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Complaint rate ≤ 0.3% of active VRBT subscribers per month; 95% of complaints closed within SLA</w:t>
            </w:r>
          </w:p>
        </w:tc>
        <w:tc>
          <w:tcPr>
            <w:tcW w:w="122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Customer Care / QMRP</w:t>
            </w:r>
          </w:p>
        </w:tc>
      </w:tr>
      <w:tr>
        <w:trPr>
          <w:cantSplit/>
        </w:trPr>
        <w:tc>
          <w:tcPr>
            <w:tcW w:w="6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CO-3</w:t>
            </w:r>
          </w:p>
        </w:tc>
        <w:tc>
          <w:tcPr>
            <w:tcW w:w="230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Comply with privacy and Huawei data-handling rules</w:t>
            </w:r>
          </w:p>
        </w:tc>
        <w:tc>
          <w:tcPr>
            <w:tcW w:w="194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Zero unauthorised third-party shares; 100% deletion jobs on schedule; DSAR on time</w:t>
            </w:r>
          </w:p>
        </w:tc>
        <w:tc>
          <w:tcPr>
            <w:tcW w:w="122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DPO</w:t>
            </w:r>
          </w:p>
        </w:tc>
      </w:tr>
      <w:tr>
        <w:trPr>
          <w:cantSplit/>
        </w:trPr>
        <w:tc>
          <w:tcPr>
            <w:tcW w:w="6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CO-4</w:t>
            </w:r>
          </w:p>
        </w:tc>
        <w:tc>
          <w:tcPr>
            <w:tcW w:w="230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Maintain a competent workforce</w:t>
            </w:r>
          </w:p>
        </w:tc>
        <w:tc>
          <w:tcPr>
            <w:tcW w:w="194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 of VRBT staff trained before production access; annual refresh ≥ 98%</w:t>
            </w:r>
          </w:p>
        </w:tc>
        <w:tc>
          <w:tcPr>
            <w:tcW w:w="122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QMRP / Training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3.2 VRBT project KPI dictionary</w:t>
      </w:r>
    </w:p>
    <w:tbl>
      <w:tblPr>
        <w:jc w:val="center"/>
        <w:tblLayout w:type="fixed"/>
        <w:tblLook w:firstColumn="1" w:firstRow="1" w:lastColumn="0" w:lastRow="0" w:noHBand="0" w:noVBand="1" w:val="04A0"/>
        <w:tblW w:w="6119999" w:type="dxa"/>
      </w:tblPr>
      <w:tblGrid>
        <w:gridCol w:w="1152000"/>
        <w:gridCol w:w="1655999"/>
        <w:gridCol w:w="792000"/>
        <w:gridCol w:w="1152000"/>
        <w:gridCol w:w="1368000"/>
      </w:tblGrid>
      <w:tr>
        <w:trPr>
          <w:cantSplit/>
        </w:trPr>
        <w:tc>
          <w:tcPr>
            <w:tcW w:w="115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KPI</w:t>
            </w:r>
          </w:p>
        </w:tc>
        <w:tc>
          <w:tcPr>
            <w:tcW w:w="1655999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Formula</w:t>
            </w:r>
          </w:p>
        </w:tc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Target</w:t>
            </w:r>
          </w:p>
        </w:tc>
        <w:tc>
          <w:tcPr>
            <w:tcW w:w="115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Source</w:t>
            </w:r>
          </w:p>
        </w:tc>
        <w:tc>
          <w:tcPr>
            <w:tcW w:w="136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Frequency</w:t>
            </w:r>
          </w:p>
        </w:tc>
      </w:tr>
      <w:tr>
        <w:trPr>
          <w:cantSplit/>
        </w:trPr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Customer complaint rate</w:t>
            </w:r>
          </w:p>
        </w:tc>
        <w:tc>
          <w:tcPr>
            <w:tcW w:w="1655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(VRBT complaints received in month ÷ average active VRBT subscriptions in month) × 100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≤ 0.30%</w:t>
            </w:r>
          </w:p>
        </w:tc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Care ticket system</w:t>
            </w:r>
          </w:p>
        </w:tc>
        <w:tc>
          <w:tcPr>
            <w:tcW w:w="136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Major quality / compliance incident rate</w:t>
            </w:r>
          </w:p>
        </w:tc>
        <w:tc>
          <w:tcPr>
            <w:tcW w:w="1655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(Severity 1–2 incidents in month ÷ 10,000 active subscriptions)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≤ 0.50</w:t>
            </w:r>
          </w:p>
        </w:tc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Incident register</w:t>
            </w:r>
          </w:p>
        </w:tc>
        <w:tc>
          <w:tcPr>
            <w:tcW w:w="136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Complaint closure on SLA</w:t>
            </w:r>
          </w:p>
        </w:tc>
        <w:tc>
          <w:tcPr>
            <w:tcW w:w="1655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Complaints closed within severity SLA ÷ complaints due in period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≥ 95%</w:t>
            </w:r>
          </w:p>
        </w:tc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Care ticket system</w:t>
            </w:r>
          </w:p>
        </w:tc>
        <w:tc>
          <w:tcPr>
            <w:tcW w:w="136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 review pass at first submission</w:t>
            </w:r>
          </w:p>
        </w:tc>
        <w:tc>
          <w:tcPr>
            <w:tcW w:w="1655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Items approved first time ÷ items submitted to CCO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≥ 90%</w:t>
            </w:r>
          </w:p>
        </w:tc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Review log</w:t>
            </w:r>
          </w:p>
        </w:tc>
        <w:tc>
          <w:tcPr>
            <w:tcW w:w="136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Go-live with approved change record</w:t>
            </w:r>
          </w:p>
        </w:tc>
        <w:tc>
          <w:tcPr>
            <w:tcW w:w="1655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Production releases with completed RFC + content + go-live review ÷ all production releases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Change register</w:t>
            </w:r>
          </w:p>
        </w:tc>
        <w:tc>
          <w:tcPr>
            <w:tcW w:w="136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VRBT platform availability (Advanta-owned path)</w:t>
            </w:r>
          </w:p>
        </w:tc>
        <w:tc>
          <w:tcPr>
            <w:tcW w:w="1655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Successful playback / USSD sessions ÷ attempted sessions (excl. operator network)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≥ 99.5%</w:t>
            </w:r>
          </w:p>
        </w:tc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Ops monitoring</w:t>
            </w:r>
          </w:p>
        </w:tc>
        <w:tc>
          <w:tcPr>
            <w:tcW w:w="136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Privacy deletion timeliness</w:t>
            </w:r>
          </w:p>
        </w:tc>
        <w:tc>
          <w:tcPr>
            <w:tcW w:w="1655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Deletion jobs completed by retention due date ÷ jobs due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Deletion log</w:t>
            </w:r>
          </w:p>
        </w:tc>
        <w:tc>
          <w:tcPr>
            <w:tcW w:w="136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DSAR / data-subject request SLA</w:t>
            </w:r>
          </w:p>
        </w:tc>
        <w:tc>
          <w:tcPr>
            <w:tcW w:w="1655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Requests closed within 30 days (or statutory timeline) ÷ requests due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DSAR log</w:t>
            </w:r>
          </w:p>
        </w:tc>
        <w:tc>
          <w:tcPr>
            <w:tcW w:w="136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Unauthorised third-party data share</w:t>
            </w:r>
          </w:p>
        </w:tc>
        <w:tc>
          <w:tcPr>
            <w:tcW w:w="1655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Count of shares or public disclosures without Huawei written consent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DPO register</w:t>
            </w:r>
          </w:p>
        </w:tc>
        <w:tc>
          <w:tcPr>
            <w:tcW w:w="136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Training coverage (in-scope staff)</w:t>
            </w:r>
          </w:p>
        </w:tc>
        <w:tc>
          <w:tcPr>
            <w:tcW w:w="1655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Staff with valid privacy+quality training ÷ staff with VRBT production access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Training register</w:t>
            </w:r>
          </w:p>
        </w:tc>
        <w:tc>
          <w:tcPr>
            <w:tcW w:w="136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USSD journey compliance defects</w:t>
            </w:r>
          </w:p>
        </w:tc>
        <w:tc>
          <w:tcPr>
            <w:tcW w:w="1655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Production USSD defects affecting consent, tariff display or opt-out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 open P1</w:t>
            </w:r>
          </w:p>
        </w:tc>
        <w:tc>
          <w:tcPr>
            <w:tcW w:w="115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Test &amp; care</w:t>
            </w:r>
          </w:p>
        </w:tc>
        <w:tc>
          <w:tcPr>
            <w:tcW w:w="136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Monthly</w:t>
            </w:r>
          </w:p>
        </w:tc>
      </w:tr>
      <w:tr>
        <w:trPr>
          <w:cantSplit/>
        </w:trPr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Repeat major issue</w:t>
            </w:r>
          </w:p>
        </w:tc>
        <w:tc>
          <w:tcPr>
            <w:tcW w:w="1655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Severity 1–2 incidents with same root cause within 90 days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115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Incident register</w:t>
            </w:r>
          </w:p>
        </w:tc>
        <w:tc>
          <w:tcPr>
            <w:tcW w:w="136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Quarterly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4. Monitoring and publication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Operational KPI dashboard extracted on the first working day of each month for the previous calendar month.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Statistical report issued to the Quality Committee and stored as AA-QMS-KPI-YYYYMM.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Quarterly roll-up presented at CEO management review.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Huawei / Operator Joint Governance Committee receives the customer-facing subset (complaints, incidents, availability, go-live compliance).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Red status (target missed) is highlighted and an improvement action is opened the same day.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5. Statistical report — achievement status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5.1 Reporting period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1872000"/>
        <w:gridCol w:w="4248000"/>
      </w:tblGrid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Report ID</w:t>
            </w:r>
          </w:p>
        </w:tc>
        <w:tc>
          <w:tcPr>
            <w:tcW w:w="42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AA-QMS-KPI-2026-07  (included in this evidence file) and YTD 2026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Period</w:t>
            </w:r>
          </w:p>
        </w:tc>
        <w:tc>
          <w:tcPr>
            <w:tcW w:w="42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 January 2026 – 31 July 2026, with July 2026 as the latest complete operating month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Prepared by</w:t>
            </w:r>
          </w:p>
        </w:tc>
        <w:tc>
          <w:tcPr>
            <w:tcW w:w="42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Quality Analyst  ·  Reviewed by QMRP  ·  Noted by CEO at management review 15 August 2026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Scope note</w:t>
            </w:r>
          </w:p>
        </w:tc>
        <w:tc>
          <w:tcPr>
            <w:tcW w:w="42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VRBT is in controlled launch. Service KPIs use launch-base volumes. Process KPIs (review, change, training, privacy jobs) are reported on the production-readiness population. Historical VAS/caller-tune quality is used only as a control-effectiveness indicator, not mixed into VRBT rates.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5.2 July 2026 and year-to-date achievement</w:t>
      </w:r>
    </w:p>
    <w:tbl>
      <w:tblPr>
        <w:jc w:val="center"/>
        <w:tblLayout w:type="fixed"/>
        <w:tblLook w:firstColumn="1" w:firstRow="1" w:lastColumn="0" w:lastRow="0" w:noHBand="0" w:noVBand="1" w:val="04A0"/>
        <w:tblW w:w="6119999" w:type="dxa"/>
      </w:tblPr>
      <w:tblGrid>
        <w:gridCol w:w="1296000"/>
        <w:gridCol w:w="864000"/>
        <w:gridCol w:w="792000"/>
        <w:gridCol w:w="1007999"/>
        <w:gridCol w:w="576000"/>
        <w:gridCol w:w="1584000"/>
      </w:tblGrid>
      <w:tr>
        <w:trPr>
          <w:cantSplit/>
        </w:trPr>
        <w:tc>
          <w:tcPr>
            <w:tcW w:w="1296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KPI</w:t>
            </w:r>
          </w:p>
        </w:tc>
        <w:tc>
          <w:tcPr>
            <w:tcW w:w="864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Target</w:t>
            </w:r>
          </w:p>
        </w:tc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Jul 2026</w:t>
            </w:r>
          </w:p>
        </w:tc>
        <w:tc>
          <w:tcPr>
            <w:tcW w:w="1007999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YTD 2026</w:t>
            </w:r>
          </w:p>
        </w:tc>
        <w:tc>
          <w:tcPr>
            <w:tcW w:w="576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Status</w:t>
            </w:r>
          </w:p>
        </w:tc>
        <w:tc>
          <w:tcPr>
            <w:tcW w:w="1584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Comment</w:t>
            </w:r>
          </w:p>
        </w:tc>
      </w:tr>
      <w:tr>
        <w:trPr>
          <w:cantSplit/>
        </w:trPr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Customer complaint rate</w:t>
            </w:r>
          </w:p>
        </w:tc>
        <w:tc>
          <w:tcPr>
            <w:tcW w:w="86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≤ 0.30%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0.00%*</w:t>
            </w:r>
          </w:p>
        </w:tc>
        <w:tc>
          <w:tcPr>
            <w:tcW w:w="1007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0.00%*</w:t>
            </w:r>
          </w:p>
        </w:tc>
        <w:tc>
          <w:tcPr>
            <w:tcW w:w="57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No VRBT subscriber complaints in launch base; care path tested with mystery-shop tickets</w:t>
            </w:r>
          </w:p>
        </w:tc>
      </w:tr>
      <w:tr>
        <w:trPr>
          <w:cantSplit/>
        </w:trPr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Major quality/compliance incident rate</w:t>
            </w:r>
          </w:p>
        </w:tc>
        <w:tc>
          <w:tcPr>
            <w:tcW w:w="86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≤ 0.50 / 10k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1007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57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No Sev 1–2 VRBT incidents</w:t>
            </w:r>
          </w:p>
        </w:tc>
      </w:tr>
      <w:tr>
        <w:trPr>
          <w:cantSplit/>
        </w:trPr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Complaint closure on SLA</w:t>
            </w:r>
          </w:p>
        </w:tc>
        <w:tc>
          <w:tcPr>
            <w:tcW w:w="86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≥ 95%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1007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57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Pre-launch test tickets closed same day</w:t>
            </w:r>
          </w:p>
        </w:tc>
      </w:tr>
      <w:tr>
        <w:trPr>
          <w:cantSplit/>
        </w:trPr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 review first-pass yield</w:t>
            </w:r>
          </w:p>
        </w:tc>
        <w:tc>
          <w:tcPr>
            <w:tcW w:w="86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≥ 90%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92%</w:t>
            </w:r>
          </w:p>
        </w:tc>
        <w:tc>
          <w:tcPr>
            <w:tcW w:w="1007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91%</w:t>
            </w:r>
          </w:p>
        </w:tc>
        <w:tc>
          <w:tcPr>
            <w:tcW w:w="57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Two items returned for IP clarification in July</w:t>
            </w:r>
          </w:p>
        </w:tc>
      </w:tr>
      <w:tr>
        <w:trPr>
          <w:cantSplit/>
        </w:trPr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Go-live with approved change record</w:t>
            </w:r>
          </w:p>
        </w:tc>
        <w:tc>
          <w:tcPr>
            <w:tcW w:w="86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1007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57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All staging/production promotions had RFC + reviews</w:t>
            </w:r>
          </w:p>
        </w:tc>
      </w:tr>
      <w:tr>
        <w:trPr>
          <w:cantSplit/>
        </w:trPr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Advanta-path availability</w:t>
            </w:r>
          </w:p>
        </w:tc>
        <w:tc>
          <w:tcPr>
            <w:tcW w:w="86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≥ 99.5%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99.92%</w:t>
            </w:r>
          </w:p>
        </w:tc>
        <w:tc>
          <w:tcPr>
            <w:tcW w:w="1007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99.88%</w:t>
            </w:r>
          </w:p>
        </w:tc>
        <w:tc>
          <w:tcPr>
            <w:tcW w:w="57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USSD sandbox and ingest path</w:t>
            </w:r>
          </w:p>
        </w:tc>
      </w:tr>
      <w:tr>
        <w:trPr>
          <w:cantSplit/>
        </w:trPr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Privacy deletion timeliness</w:t>
            </w:r>
          </w:p>
        </w:tc>
        <w:tc>
          <w:tcPr>
            <w:tcW w:w="86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1007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57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Scheduled jobs on test and partner-data stores</w:t>
            </w:r>
          </w:p>
        </w:tc>
      </w:tr>
      <w:tr>
        <w:trPr>
          <w:cantSplit/>
        </w:trPr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DSAR SLA</w:t>
            </w:r>
          </w:p>
        </w:tc>
        <w:tc>
          <w:tcPr>
            <w:tcW w:w="86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n/a — 0 due</w:t>
            </w:r>
          </w:p>
        </w:tc>
        <w:tc>
          <w:tcPr>
            <w:tcW w:w="1007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 (1 corporate DSAR, non-VRBT)</w:t>
            </w:r>
          </w:p>
        </w:tc>
        <w:tc>
          <w:tcPr>
            <w:tcW w:w="57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Closed in 9 days</w:t>
            </w:r>
          </w:p>
        </w:tc>
      </w:tr>
      <w:tr>
        <w:trPr>
          <w:cantSplit/>
        </w:trPr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Unauthorised Huawei-data share</w:t>
            </w:r>
          </w:p>
        </w:tc>
        <w:tc>
          <w:tcPr>
            <w:tcW w:w="86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1007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57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No third-party share requests approved</w:t>
            </w:r>
          </w:p>
        </w:tc>
      </w:tr>
      <w:tr>
        <w:trPr>
          <w:cantSplit/>
        </w:trPr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Training coverage</w:t>
            </w:r>
          </w:p>
        </w:tc>
        <w:tc>
          <w:tcPr>
            <w:tcW w:w="86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1007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100%</w:t>
            </w:r>
          </w:p>
        </w:tc>
        <w:tc>
          <w:tcPr>
            <w:tcW w:w="57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See AA-VRBT-PP-4.2.2</w:t>
            </w:r>
          </w:p>
        </w:tc>
      </w:tr>
      <w:tr>
        <w:trPr>
          <w:cantSplit/>
        </w:trPr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USSD P1 consent/tariff/opt-out defects</w:t>
            </w:r>
          </w:p>
        </w:tc>
        <w:tc>
          <w:tcPr>
            <w:tcW w:w="86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 open P1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1007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57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Journey signed off in AV-02</w:t>
            </w:r>
          </w:p>
        </w:tc>
      </w:tr>
      <w:tr>
        <w:trPr>
          <w:cantSplit/>
        </w:trPr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Repeat major issue</w:t>
            </w:r>
          </w:p>
        </w:tc>
        <w:tc>
          <w:tcPr>
            <w:tcW w:w="86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1007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</w:t>
            </w:r>
          </w:p>
        </w:tc>
        <w:tc>
          <w:tcPr>
            <w:tcW w:w="57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Met</w:t>
            </w:r>
          </w:p>
        </w:tc>
        <w:tc>
          <w:tcPr>
            <w:tcW w:w="158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—</w:t>
            </w:r>
          </w:p>
        </w:tc>
      </w:tr>
    </w:tbl>
    <w:p>
      <w:pPr>
        <w:spacing w:after="160"/>
      </w:pPr>
    </w:p>
    <w:p>
      <w:pPr>
        <w:spacing w:after="160" w:before="0"/>
        <w:jc w:val="both"/>
      </w:pPr>
      <w:r>
        <w:rPr>
          <w:rFonts w:ascii="Calibri" w:hAnsi="Calibri" w:eastAsia="Calibri"/>
          <w:b w:val="0"/>
          <w:i/>
          <w:caps w:val="0"/>
          <w:color w:val="1F2937"/>
          <w:sz w:val="22"/>
        </w:rPr>
        <w:t>* Complaint rate is reported as 0.00% where the active VRBT subscriber base in the period is a controlled trial population with zero complaints. The control is nevertheless live: the care queue, severity matrix and notification templates are operational. After public launch the same formula applies without adjustment.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5.3 Trend commentary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Quality performance in the year to 31 July 2026 is within target on every KPI. The two first-pass content-review returns in July were both intellectual-property documentation gaps (missing cue-sheet for a licensed music bed). Corrective action CA-2026-014 added a mandatory rights-pack checklist to the ingest form; subsequent submissions in August have passed first time. No customer-complaint or major-incident trend is present. Training coverage was taken from 86% in May (onboarding of seasonal reviewers) to 100% after the 12 August 2026 privacy and quality session.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6. Improvement process for unmet objectives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1.  Detect: KPI owner flags Red or Amber on the monthly pack, or an incident/complaint threshold is crossed mid-month.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2.  Contain: QMRP decides whether a go-live freeze, content takedown or customer notification is required.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3.  Analyse: 5-Why / fishbone root cause within five working days for critical KPIs.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4.  Act: Corrective action with owner, due date and effectiveness check; logged in the action register.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5.  Verify: Effectiveness review at the next Quality Committee; KPI must recover or the action is escalated to the CEO.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6.  Learn: Update procedure, training or checklist if the cause was systemic.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6.1 Improvement-action register (extract)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864000"/>
        <w:gridCol w:w="1296000"/>
        <w:gridCol w:w="1584000"/>
        <w:gridCol w:w="864000"/>
        <w:gridCol w:w="792000"/>
        <w:gridCol w:w="720000"/>
      </w:tblGrid>
      <w:tr>
        <w:trPr>
          <w:cantSplit/>
        </w:trPr>
        <w:tc>
          <w:tcPr>
            <w:tcW w:w="864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ID</w:t>
            </w:r>
          </w:p>
        </w:tc>
        <w:tc>
          <w:tcPr>
            <w:tcW w:w="1296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Trigger</w:t>
            </w:r>
          </w:p>
        </w:tc>
        <w:tc>
          <w:tcPr>
            <w:tcW w:w="1584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Action</w:t>
            </w:r>
          </w:p>
        </w:tc>
        <w:tc>
          <w:tcPr>
            <w:tcW w:w="864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Owner</w:t>
            </w:r>
          </w:p>
        </w:tc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Due</w:t>
            </w:r>
          </w:p>
        </w:tc>
        <w:tc>
          <w:tcPr>
            <w:tcW w:w="72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w="86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CA-2026-014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First-pass review 88% in June (below 90%)</w:t>
            </w:r>
          </w:p>
        </w:tc>
        <w:tc>
          <w:tcPr>
            <w:tcW w:w="158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Mandatory rights-pack at ingest; CCO reject if incomplete</w:t>
            </w:r>
          </w:p>
        </w:tc>
        <w:tc>
          <w:tcPr>
            <w:tcW w:w="86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CCO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15 Jul 2026</w:t>
            </w:r>
          </w:p>
        </w:tc>
        <w:tc>
          <w:tcPr>
            <w:tcW w:w="72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Closed — July yield 92%</w:t>
            </w:r>
          </w:p>
        </w:tc>
      </w:tr>
      <w:tr>
        <w:trPr>
          <w:cantSplit/>
        </w:trPr>
        <w:tc>
          <w:tcPr>
            <w:tcW w:w="86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CA-2026-018</w:t>
            </w:r>
          </w:p>
        </w:tc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Seasonal reviewer training gap</w:t>
            </w:r>
          </w:p>
        </w:tc>
        <w:tc>
          <w:tcPr>
            <w:tcW w:w="158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Induction session 12 Aug 2026; access blocked until pass</w:t>
            </w:r>
          </w:p>
        </w:tc>
        <w:tc>
          <w:tcPr>
            <w:tcW w:w="864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Training Coordinator</w:t>
            </w:r>
          </w:p>
        </w:tc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12 Aug 2026</w:t>
            </w:r>
          </w:p>
        </w:tc>
        <w:tc>
          <w:tcPr>
            <w:tcW w:w="72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Closed — coverage 100%</w:t>
            </w:r>
          </w:p>
        </w:tc>
      </w:tr>
      <w:tr>
        <w:trPr>
          <w:cantSplit/>
        </w:trPr>
        <w:tc>
          <w:tcPr>
            <w:tcW w:w="86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IA-2026-021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Prepare public-launch complaint forecast</w:t>
            </w:r>
          </w:p>
        </w:tc>
        <w:tc>
          <w:tcPr>
            <w:tcW w:w="158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Staff care rota and Huawei notification drill</w:t>
            </w:r>
          </w:p>
        </w:tc>
        <w:tc>
          <w:tcPr>
            <w:tcW w:w="864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Customer Care Lead</w:t>
            </w:r>
          </w:p>
        </w:tc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30 Sep 2026</w:t>
            </w:r>
          </w:p>
        </w:tc>
        <w:tc>
          <w:tcPr>
            <w:tcW w:w="72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Open — on track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7. Data integrity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KPI figures are extracted from named systems (care desk, change register, review log, monitoring, training register, deletion log). Manual adjustments are forbidden except to correct proven data-entry errors, which must be initialled by the Quality Analyst and the QMRP. Huawei auditors may inspect source extracts under on-site inspection rights.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Document Approval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This document is issued under the authority of Advanta Africa Ltd for the VRBT programme. Wet-ink or authorised electronic signatures below confirm that the content is accurate, that the described controls are in operation, and that the document may be presented to Huawei TQC/CEG.</w:t>
      </w:r>
    </w:p>
    <w:tbl>
      <w:tblPr>
        <w:tblLayout w:type="fixed"/>
        <w:tblLook w:firstColumn="1" w:firstRow="1" w:lastColumn="0" w:lastRow="0" w:noHBand="0" w:noVBand="1" w:val="04A0"/>
        <w:tblW w:w="6123600" w:type="dxa"/>
      </w:tblPr>
      <w:tblGrid>
        <w:gridCol w:w="2041200"/>
        <w:gridCol w:w="2041200"/>
        <w:gridCol w:w="2041200"/>
      </w:tblGrid>
      <w:tr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PREPARED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Quality Management Responsible Person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REVIEWED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Data Protection Officer / Content Compliance Officer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APPROVED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Lawrence Muriuki, Chief Executive Officer and Founder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Distribution List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792000"/>
        <w:gridCol w:w="2700000"/>
        <w:gridCol w:w="2628000"/>
      </w:tblGrid>
      <w:tr>
        <w:trPr>
          <w:cantSplit/>
        </w:trPr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Copy</w:t>
            </w:r>
          </w:p>
        </w:tc>
        <w:tc>
          <w:tcPr>
            <w:tcW w:w="270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Recipient</w:t>
            </w:r>
          </w:p>
        </w:tc>
        <w:tc>
          <w:tcPr>
            <w:tcW w:w="262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Master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Quality Management Office (controlled repository)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Document of record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Huawei TQC / CEG auditor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Supplier document verification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2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Advanta Africa CEO / Management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Accountability and sponsorship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3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Data Protection Officer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Privacy and cross-border controls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4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 Compliance Officer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Content, IP, ethics and go-live review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5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VRBT Product and Operations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Day-to-day implementation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24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bottom w:val="single" w:sz="12" w:space="4" w:color="122B4F"/>
      </w:pBdr>
    </w:pP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CONFIDENTIAL  ·  Huawei Supplier Audit Evidence  ·  QM 2.2.1  · 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Page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 of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18" w:space="4" w:color="B88A2E"/>
      </w:pBdr>
    </w:pPr>
    <w:r>
      <w:rPr>
        <w:rFonts w:ascii="Calibri" w:hAnsi="Calibri" w:eastAsia="Calibri"/>
        <w:b/>
        <w:i w:val="0"/>
        <w:caps w:val="0"/>
        <w:color w:val="122B4F"/>
        <w:sz w:val="18"/>
      </w:rPr>
      <w:t>ADVANTA AFRICA LTD</w:t>
    </w:r>
    <w:r>
      <w:rPr>
        <w:rFonts w:ascii="Calibri" w:hAnsi="Calibri" w:eastAsia="Calibri"/>
        <w:b w:val="0"/>
        <w:i/>
        <w:caps w:val="0"/>
        <w:color w:val="4B5563"/>
        <w:sz w:val="16"/>
      </w:rPr>
      <w:t xml:space="preserve">  |  Smarter, Faster Messaging  |  </w:t>
    </w:r>
    <w:r>
      <w:rPr>
        <w:rFonts w:ascii="Calibri" w:hAnsi="Calibri" w:eastAsia="Calibri"/>
        <w:b/>
        <w:i w:val="0"/>
        <w:caps w:val="0"/>
        <w:color w:val="0E6B7A"/>
        <w:sz w:val="16"/>
      </w:rPr>
      <w:t>AA-VRBT-QM-2.2.1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