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Customer Complaints and Quality-Issue Closure</w:t>
      </w:r>
    </w:p>
    <w:p>
      <w:pPr>
        <w:spacing w:after="280"/>
        <w:jc w:val="center"/>
      </w:pPr>
      <w:r>
        <w:rPr>
          <w:rFonts w:ascii="Calibri" w:hAnsi="Calibri" w:eastAsia="Calibri"/>
          <w:b w:val="0"/>
          <w:i/>
          <w:caps w:val="0"/>
          <w:color w:val="0E6B7A"/>
          <w:sz w:val="24"/>
        </w:rPr>
        <w:t>Handling procedure, summary report and major-issue customer notification records</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AA-VRBT-QM-2.3.1</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System — No. 2.3.1</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Effective handling of customer complaints and quality problems. Evidence: summary report of customer complaints / project quality problems; customer notification records of major quality issues.</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Purpose and questionnaire mapping</w:t>
      </w:r>
    </w:p>
    <w:p>
      <w:pPr>
        <w:spacing w:after="160" w:before="0"/>
        <w:jc w:val="both"/>
      </w:pPr>
      <w:r>
        <w:rPr>
          <w:rFonts w:ascii="Calibri" w:hAnsi="Calibri" w:eastAsia="Calibri"/>
          <w:b w:val="0"/>
          <w:i w:val="0"/>
          <w:caps w:val="0"/>
          <w:color w:val="1F2937"/>
          <w:sz w:val="22"/>
        </w:rPr>
        <w:t>This document is the evidence attachment for questionnaire item 2.3.1. It sets out how Advanta Africa Ltd receives, classifies, investigates, closes and learns from customer complaints and quality problems on the VRBT programme, and how major quality issues are notified to Huawei and to the Operator / customer. A period summary report and specimen notification records are included so that a TQC/CEG reviewer can verify both the process and its operation.</w:t>
      </w:r>
    </w:p>
    <w:p>
      <w:pPr>
        <w:keepNext/>
        <w:spacing w:before="280" w:after="120"/>
        <w:pBdr>
          <w:bottom w:val="single" w:sz="10" w:space="4" w:color="B88A2E"/>
        </w:pBdr>
      </w:pPr>
      <w:r>
        <w:rPr>
          <w:rFonts w:ascii="Calibri" w:hAnsi="Calibri" w:eastAsia="Calibri"/>
          <w:b/>
          <w:i w:val="0"/>
          <w:caps w:val="0"/>
          <w:color w:val="122B4F"/>
          <w:sz w:val="28"/>
        </w:rPr>
        <w:t>2. Policy</w:t>
      </w:r>
    </w:p>
    <w:p>
      <w:pPr>
        <w:spacing w:after="160" w:before="0"/>
        <w:jc w:val="both"/>
      </w:pPr>
      <w:r>
        <w:rPr>
          <w:rFonts w:ascii="Calibri" w:hAnsi="Calibri" w:eastAsia="Calibri"/>
          <w:b w:val="0"/>
          <w:i w:val="0"/>
          <w:caps w:val="0"/>
          <w:color w:val="1F2937"/>
          <w:sz w:val="22"/>
        </w:rPr>
        <w:t>Every complaint and every quality problem is recorded, owned, investigated and closed. Subscribers are never required to prove a billing or content defect as a condition of investigation. Major issues are notified to Huawei and the Operator without waiting for a complete root-cause analysis. Retaliation against staff who raise quality problems is prohibited. Commercial considerations do not delay a takedown or a customer notice once the QMRP or Content Compliance Officer has classified the issue as major.</w:t>
      </w:r>
    </w:p>
    <w:p>
      <w:pPr>
        <w:keepNext/>
        <w:spacing w:before="280" w:after="120"/>
        <w:pBdr>
          <w:bottom w:val="single" w:sz="10" w:space="4" w:color="B88A2E"/>
        </w:pBdr>
      </w:pPr>
      <w:r>
        <w:rPr>
          <w:rFonts w:ascii="Calibri" w:hAnsi="Calibri" w:eastAsia="Calibri"/>
          <w:b/>
          <w:i w:val="0"/>
          <w:caps w:val="0"/>
          <w:color w:val="122B4F"/>
          <w:sz w:val="28"/>
        </w:rPr>
        <w:t>3. Sources of customer voice and quality problems</w:t>
      </w:r>
    </w:p>
    <w:p>
      <w:pPr>
        <w:spacing w:after="60" w:before="0"/>
        <w:ind w:left="567" w:hanging="227"/>
      </w:pPr>
      <w:r>
        <w:rPr>
          <w:rFonts w:ascii="Calibri" w:hAnsi="Calibri" w:eastAsia="Calibri"/>
          <w:b w:val="0"/>
          <w:i w:val="0"/>
          <w:caps w:val="0"/>
          <w:color w:val="1F2937"/>
          <w:sz w:val="22"/>
        </w:rPr>
        <w:t>•  Operator / MNO customer-care tickets referred to Advanta.</w:t>
      </w:r>
    </w:p>
    <w:p>
      <w:pPr>
        <w:spacing w:after="60" w:before="0"/>
        <w:ind w:left="567" w:hanging="227"/>
      </w:pPr>
      <w:r>
        <w:rPr>
          <w:rFonts w:ascii="Calibri" w:hAnsi="Calibri" w:eastAsia="Calibri"/>
          <w:b w:val="0"/>
          <w:i w:val="0"/>
          <w:caps w:val="0"/>
          <w:color w:val="1F2937"/>
          <w:sz w:val="22"/>
        </w:rPr>
        <w:t>•  Huawei TQC/CEG or Account observations, including audit findings.</w:t>
      </w:r>
    </w:p>
    <w:p>
      <w:pPr>
        <w:spacing w:after="60" w:before="0"/>
        <w:ind w:left="567" w:hanging="227"/>
      </w:pPr>
      <w:r>
        <w:rPr>
          <w:rFonts w:ascii="Calibri" w:hAnsi="Calibri" w:eastAsia="Calibri"/>
          <w:b w:val="0"/>
          <w:i w:val="0"/>
          <w:caps w:val="0"/>
          <w:color w:val="1F2937"/>
          <w:sz w:val="22"/>
        </w:rPr>
        <w:t>•  Direct subscriber contact via USSD help, short code, email (support@advanta.africa) or phone (+254 111 139 000).</w:t>
      </w:r>
    </w:p>
    <w:p>
      <w:pPr>
        <w:spacing w:after="60" w:before="0"/>
        <w:ind w:left="567" w:hanging="227"/>
      </w:pPr>
      <w:r>
        <w:rPr>
          <w:rFonts w:ascii="Calibri" w:hAnsi="Calibri" w:eastAsia="Calibri"/>
          <w:b w:val="0"/>
          <w:i w:val="0"/>
          <w:caps w:val="0"/>
          <w:color w:val="1F2937"/>
          <w:sz w:val="22"/>
        </w:rPr>
        <w:t>•  Content-partner complaints (rights, metadata, encoding).</w:t>
      </w:r>
    </w:p>
    <w:p>
      <w:pPr>
        <w:spacing w:after="60" w:before="0"/>
        <w:ind w:left="567" w:hanging="227"/>
      </w:pPr>
      <w:r>
        <w:rPr>
          <w:rFonts w:ascii="Calibri" w:hAnsi="Calibri" w:eastAsia="Calibri"/>
          <w:b w:val="0"/>
          <w:i w:val="0"/>
          <w:caps w:val="0"/>
          <w:color w:val="1F2937"/>
          <w:sz w:val="22"/>
        </w:rPr>
        <w:t>•  Internal defect reports from monitoring, mystery shopping and go-live reviews.</w:t>
      </w:r>
    </w:p>
    <w:p>
      <w:pPr>
        <w:spacing w:after="60" w:before="0"/>
        <w:ind w:left="567" w:hanging="227"/>
      </w:pPr>
      <w:r>
        <w:rPr>
          <w:rFonts w:ascii="Calibri" w:hAnsi="Calibri" w:eastAsia="Calibri"/>
          <w:b w:val="0"/>
          <w:i w:val="0"/>
          <w:caps w:val="0"/>
          <w:color w:val="1F2937"/>
          <w:sz w:val="22"/>
        </w:rPr>
        <w:t>•  Regulator (CA, ODPC) or law-enforcement referrals.</w:t>
      </w:r>
    </w:p>
    <w:p>
      <w:pPr>
        <w:spacing w:after="60" w:before="0"/>
        <w:ind w:left="567" w:hanging="227"/>
      </w:pPr>
      <w:r>
        <w:rPr>
          <w:rFonts w:ascii="Calibri" w:hAnsi="Calibri" w:eastAsia="Calibri"/>
          <w:b w:val="0"/>
          <w:i w:val="0"/>
          <w:caps w:val="0"/>
          <w:color w:val="1F2937"/>
          <w:sz w:val="22"/>
        </w:rPr>
        <w:t>•  Social / public reports of offensive or infringing VRBT content.</w:t>
      </w:r>
    </w:p>
    <w:p>
      <w:pPr>
        <w:keepNext/>
        <w:spacing w:before="280" w:after="120"/>
        <w:pBdr>
          <w:bottom w:val="single" w:sz="10" w:space="4" w:color="B88A2E"/>
        </w:pBdr>
      </w:pPr>
      <w:r>
        <w:rPr>
          <w:rFonts w:ascii="Calibri" w:hAnsi="Calibri" w:eastAsia="Calibri"/>
          <w:b/>
          <w:i w:val="0"/>
          <w:caps w:val="0"/>
          <w:color w:val="122B4F"/>
          <w:sz w:val="28"/>
        </w:rPr>
        <w:t>4. Severity classification</w:t>
      </w:r>
    </w:p>
    <w:tbl>
      <w:tblPr>
        <w:jc w:val="center"/>
        <w:tblLayout w:type="fixed"/>
        <w:tblLook w:firstColumn="1" w:firstRow="1" w:lastColumn="0" w:lastRow="0" w:noHBand="0" w:noVBand="1" w:val="04A0"/>
        <w:tblW w:w="6119998" w:type="dxa"/>
      </w:tblPr>
      <w:tblGrid>
        <w:gridCol w:w="503999"/>
        <w:gridCol w:w="2088000"/>
        <w:gridCol w:w="1007999"/>
        <w:gridCol w:w="1152000"/>
        <w:gridCol w:w="1368000"/>
      </w:tblGrid>
      <w:tr>
        <w:trPr>
          <w:cantSplit/>
        </w:trPr>
        <w:tc>
          <w:tcPr>
            <w:tcW w:w="503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Sev</w:t>
            </w:r>
          </w:p>
        </w:tc>
        <w:tc>
          <w:tcPr>
            <w:tcW w:w="208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Definition (VRBT)</w:t>
            </w:r>
          </w:p>
        </w:tc>
        <w:tc>
          <w:tcPr>
            <w:tcW w:w="1007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First response</w:t>
            </w:r>
          </w:p>
        </w:tc>
        <w:tc>
          <w:tcPr>
            <w:tcW w:w="115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Closure target</w:t>
            </w:r>
          </w:p>
        </w:tc>
        <w:tc>
          <w:tcPr>
            <w:tcW w:w="136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Notify Huawei / Operator</w:t>
            </w:r>
          </w:p>
        </w:tc>
      </w:tr>
      <w:tr>
        <w:trPr>
          <w:cantSplit/>
        </w:trPr>
        <w:tc>
          <w:tcPr>
            <w:tcW w:w="503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Safety, legality, child-protection, widespread billing error, personal-data breach likely to risk rights, or complete VRBT outage on Advanta path</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minutes (24×7)</w:t>
            </w:r>
          </w:p>
        </w:tc>
        <w:tc>
          <w:tcPr>
            <w:tcW w:w="115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 hours contain; 5 working days RCA</w:t>
            </w:r>
          </w:p>
        </w:tc>
        <w:tc>
          <w:tcPr>
            <w:tcW w:w="136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Immediately, and in any event within 1 hour</w:t>
            </w:r>
          </w:p>
        </w:tc>
      </w:tr>
      <w:tr>
        <w:trPr>
          <w:cantSplit/>
        </w:trPr>
        <w:tc>
          <w:tcPr>
            <w:tcW w:w="503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Major quality issue: offensive content in production, systematic wrong content mapped to a tune, USSD consent/opt-out broken, material SLA breach</w:t>
            </w:r>
          </w:p>
        </w:tc>
        <w:tc>
          <w:tcPr>
            <w:tcW w:w="1007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 hour</w:t>
            </w:r>
          </w:p>
        </w:tc>
        <w:tc>
          <w:tcPr>
            <w:tcW w:w="115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 working day contain; 10 working days RCA</w:t>
            </w:r>
          </w:p>
        </w:tc>
        <w:tc>
          <w:tcPr>
            <w:tcW w:w="136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Within 4 hours</w:t>
            </w:r>
          </w:p>
        </w:tc>
      </w:tr>
      <w:tr>
        <w:trPr>
          <w:cantSplit/>
        </w:trPr>
        <w:tc>
          <w:tcPr>
            <w:tcW w:w="503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Isolated content or billing defect affecting a limited subscriber set; recoverable encoding failure</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 working hours</w:t>
            </w:r>
          </w:p>
        </w:tc>
        <w:tc>
          <w:tcPr>
            <w:tcW w:w="115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 working days</w:t>
            </w:r>
          </w:p>
        </w:tc>
        <w:tc>
          <w:tcPr>
            <w:tcW w:w="136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If Huawei / Operator subscribers are affected — same day</w:t>
            </w:r>
          </w:p>
        </w:tc>
      </w:tr>
      <w:tr>
        <w:trPr>
          <w:cantSplit/>
        </w:trPr>
        <w:tc>
          <w:tcPr>
            <w:tcW w:w="503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Minor enquiry, cosmetic metadata, single-user preference issue</w:t>
            </w:r>
          </w:p>
        </w:tc>
        <w:tc>
          <w:tcPr>
            <w:tcW w:w="1007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 working day</w:t>
            </w:r>
          </w:p>
        </w:tc>
        <w:tc>
          <w:tcPr>
            <w:tcW w:w="115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 working days</w:t>
            </w:r>
          </w:p>
        </w:tc>
        <w:tc>
          <w:tcPr>
            <w:tcW w:w="136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Not required unless they ask</w:t>
            </w:r>
          </w:p>
        </w:tc>
      </w:tr>
    </w:tbl>
    <w:p>
      <w:pPr>
        <w:spacing w:after="160"/>
      </w:pPr>
    </w:p>
    <w:p>
      <w:pPr>
        <w:spacing w:after="160" w:before="0"/>
        <w:jc w:val="both"/>
      </w:pPr>
      <w:r>
        <w:rPr>
          <w:rFonts w:ascii="Calibri" w:hAnsi="Calibri" w:eastAsia="Calibri"/>
          <w:b w:val="0"/>
          <w:i/>
          <w:caps w:val="0"/>
          <w:color w:val="1F2937"/>
          <w:sz w:val="22"/>
        </w:rPr>
        <w:t>Severity 1 and 2 are “major quality issues” for the purpose of the questionnaire’s customer-notification evidence requirement.</w:t>
      </w:r>
    </w:p>
    <w:p>
      <w:pPr>
        <w:keepNext/>
        <w:spacing w:before="280" w:after="120"/>
        <w:pBdr>
          <w:bottom w:val="single" w:sz="10" w:space="4" w:color="B88A2E"/>
        </w:pBdr>
      </w:pPr>
      <w:r>
        <w:rPr>
          <w:rFonts w:ascii="Calibri" w:hAnsi="Calibri" w:eastAsia="Calibri"/>
          <w:b/>
          <w:i w:val="0"/>
          <w:caps w:val="0"/>
          <w:color w:val="122B4F"/>
          <w:sz w:val="28"/>
        </w:rPr>
        <w:t>5. Handling procedure</w:t>
      </w:r>
    </w:p>
    <w:p>
      <w:pPr>
        <w:spacing w:after="80"/>
        <w:ind w:left="567" w:hanging="283"/>
      </w:pPr>
      <w:r>
        <w:rPr>
          <w:rFonts w:ascii="Calibri" w:hAnsi="Calibri" w:eastAsia="Calibri"/>
          <w:b w:val="0"/>
          <w:i w:val="0"/>
          <w:caps w:val="0"/>
          <w:color w:val="1F2937"/>
          <w:sz w:val="22"/>
        </w:rPr>
        <w:t>1.  Log. Customer Care opens a ticket in the care system with channel, MSISDN (hashed if stored beyond the session), content ID, timestamp, description and subscriber impact. A unique ID of the form AA-VRBT-CMP-YYYY-NNN is assigned.</w:t>
      </w:r>
    </w:p>
    <w:p>
      <w:pPr>
        <w:spacing w:after="80"/>
        <w:ind w:left="567" w:hanging="283"/>
      </w:pPr>
      <w:r>
        <w:rPr>
          <w:rFonts w:ascii="Calibri" w:hAnsi="Calibri" w:eastAsia="Calibri"/>
          <w:b w:val="0"/>
          <w:i w:val="0"/>
          <w:caps w:val="0"/>
          <w:color w:val="1F2937"/>
          <w:sz w:val="22"/>
        </w:rPr>
        <w:t>2.  Classify. Duty manager assigns severity using Section 4. If in doubt, classify higher. Sev 1–2 pages the QMRP, Content Compliance Officer and, where personal data is involved, the DPO.</w:t>
      </w:r>
    </w:p>
    <w:p>
      <w:pPr>
        <w:spacing w:after="80"/>
        <w:ind w:left="567" w:hanging="283"/>
      </w:pPr>
      <w:r>
        <w:rPr>
          <w:rFonts w:ascii="Calibri" w:hAnsi="Calibri" w:eastAsia="Calibri"/>
          <w:b w:val="0"/>
          <w:i w:val="0"/>
          <w:caps w:val="0"/>
          <w:color w:val="1F2937"/>
          <w:sz w:val="22"/>
        </w:rPr>
        <w:t>3.  Contain. Take down or disable the content item, freeze the related change, stop a defective USSD journey, or isolate a billing file. Containment does not wait for RCA.</w:t>
      </w:r>
    </w:p>
    <w:p>
      <w:pPr>
        <w:spacing w:after="80"/>
        <w:ind w:left="567" w:hanging="283"/>
      </w:pPr>
      <w:r>
        <w:rPr>
          <w:rFonts w:ascii="Calibri" w:hAnsi="Calibri" w:eastAsia="Calibri"/>
          <w:b w:val="0"/>
          <w:i w:val="0"/>
          <w:caps w:val="0"/>
          <w:color w:val="1F2937"/>
          <w:sz w:val="22"/>
        </w:rPr>
        <w:t>4.  Notify (major). Issue the customer notification in Section 7 to Huawei and the Operator. Notify the subscriber according to operator rules (credit, SMS confirmation, or care callback).</w:t>
      </w:r>
    </w:p>
    <w:p>
      <w:pPr>
        <w:spacing w:after="80"/>
        <w:ind w:left="567" w:hanging="283"/>
      </w:pPr>
      <w:r>
        <w:rPr>
          <w:rFonts w:ascii="Calibri" w:hAnsi="Calibri" w:eastAsia="Calibri"/>
          <w:b w:val="0"/>
          <w:i w:val="0"/>
          <w:caps w:val="0"/>
          <w:color w:val="1F2937"/>
          <w:sz w:val="22"/>
        </w:rPr>
        <w:t>5.  Investigate. Root-cause analysis using 5-Why, with evidence (logs, review sheets, change records). Identify detection gap as well as occurrence cause.</w:t>
      </w:r>
    </w:p>
    <w:p>
      <w:pPr>
        <w:spacing w:after="80"/>
        <w:ind w:left="567" w:hanging="283"/>
      </w:pPr>
      <w:r>
        <w:rPr>
          <w:rFonts w:ascii="Calibri" w:hAnsi="Calibri" w:eastAsia="Calibri"/>
          <w:b w:val="0"/>
          <w:i w:val="0"/>
          <w:caps w:val="0"/>
          <w:color w:val="1F2937"/>
          <w:sz w:val="22"/>
        </w:rPr>
        <w:t>6.  Correct. Restore service, refund or credit as required by the Operator agreement, replace content, patch the journey, retrain if human error.</w:t>
      </w:r>
    </w:p>
    <w:p>
      <w:pPr>
        <w:spacing w:after="80"/>
        <w:ind w:left="567" w:hanging="283"/>
      </w:pPr>
      <w:r>
        <w:rPr>
          <w:rFonts w:ascii="Calibri" w:hAnsi="Calibri" w:eastAsia="Calibri"/>
          <w:b w:val="0"/>
          <w:i w:val="0"/>
          <w:caps w:val="0"/>
          <w:color w:val="1F2937"/>
          <w:sz w:val="22"/>
        </w:rPr>
        <w:t>7.  Close. QMRP confirms that the subscriber (or Huawei / Operator) has been answered, that corrective action is in the register, and that effectiveness will be checked. The complainant is told the outcome.</w:t>
      </w:r>
    </w:p>
    <w:p>
      <w:pPr>
        <w:spacing w:after="80"/>
        <w:ind w:left="567" w:hanging="283"/>
      </w:pPr>
      <w:r>
        <w:rPr>
          <w:rFonts w:ascii="Calibri" w:hAnsi="Calibri" w:eastAsia="Calibri"/>
          <w:b w:val="0"/>
          <w:i w:val="0"/>
          <w:caps w:val="0"/>
          <w:color w:val="1F2937"/>
          <w:sz w:val="22"/>
        </w:rPr>
        <w:t>8.  Learn. Systemic causes update AA-VRBT-AV-04 (review), AA-VRBT-QM-2.4.2 (change) or training materials. Repeat Sev 1–2 with the same root cause within 90 days is itself a Sev 2 event.</w:t>
      </w:r>
    </w:p>
    <w:p>
      <w:pPr>
        <w:keepNext/>
        <w:spacing w:before="280" w:after="120"/>
        <w:pBdr>
          <w:bottom w:val="single" w:sz="10" w:space="4" w:color="B88A2E"/>
        </w:pBdr>
      </w:pPr>
      <w:r>
        <w:rPr>
          <w:rFonts w:ascii="Calibri" w:hAnsi="Calibri" w:eastAsia="Calibri"/>
          <w:b/>
          <w:i w:val="0"/>
          <w:caps w:val="0"/>
          <w:color w:val="122B4F"/>
          <w:sz w:val="28"/>
        </w:rPr>
        <w:t>6. Summary report of customer complaints and project quality problems</w:t>
      </w:r>
    </w:p>
    <w:tbl>
      <w:tblPr>
        <w:tblLayout w:type="fixed"/>
        <w:tblLook w:firstColumn="1" w:firstRow="1" w:lastColumn="0" w:lastRow="0" w:noHBand="0" w:noVBand="1" w:val="04A0"/>
        <w:tblW w:w="6120000" w:type="dxa"/>
      </w:tblPr>
      <w:tblGrid>
        <w:gridCol w:w="1872000"/>
        <w:gridCol w:w="4248000"/>
      </w:tblGrid>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Report ID</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AA-QMS-CMP-2026-H1  ·  Period 1 January 2026 – 31 July 2026</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Prepared</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Customer Care Lead  ·  6 August 2026</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Reviewed</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QMRP  ·  8 August 2026</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Population</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VRBT programme (controlled launch) plus referred quality problems from the VRBT project workstream</w:t>
            </w:r>
          </w:p>
        </w:tc>
      </w:tr>
    </w:tbl>
    <w:p>
      <w:pPr>
        <w:spacing w:after="160"/>
      </w:pPr>
    </w:p>
    <w:p>
      <w:pPr>
        <w:keepNext/>
        <w:spacing w:before="200" w:after="120"/>
      </w:pPr>
      <w:r>
        <w:rPr>
          <w:rFonts w:ascii="Calibri" w:hAnsi="Calibri" w:eastAsia="Calibri"/>
          <w:b/>
          <w:i w:val="0"/>
          <w:caps w:val="0"/>
          <w:color w:val="0E6B7A"/>
          <w:sz w:val="24"/>
        </w:rPr>
        <w:t>6.1 Volume summary</w:t>
      </w:r>
    </w:p>
    <w:tbl>
      <w:tblPr>
        <w:jc w:val="center"/>
        <w:tblLayout w:type="fixed"/>
        <w:tblLook w:firstColumn="1" w:firstRow="1" w:lastColumn="0" w:lastRow="0" w:noHBand="0" w:noVBand="1" w:val="04A0"/>
        <w:tblW w:w="6120000" w:type="dxa"/>
      </w:tblPr>
      <w:tblGrid>
        <w:gridCol w:w="1584000"/>
        <w:gridCol w:w="648000"/>
        <w:gridCol w:w="648000"/>
        <w:gridCol w:w="648000"/>
        <w:gridCol w:w="648000"/>
        <w:gridCol w:w="648000"/>
        <w:gridCol w:w="648000"/>
        <w:gridCol w:w="648000"/>
      </w:tblGrid>
      <w:tr>
        <w:trPr>
          <w:cantSplit/>
        </w:trPr>
        <w:tc>
          <w:tcPr>
            <w:tcW w:w="158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Category</w:t>
            </w:r>
          </w:p>
        </w:tc>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Sev 1</w:t>
            </w:r>
          </w:p>
        </w:tc>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Sev 2</w:t>
            </w:r>
          </w:p>
        </w:tc>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Sev 3</w:t>
            </w:r>
          </w:p>
        </w:tc>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Sev 4</w:t>
            </w:r>
          </w:p>
        </w:tc>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Total</w:t>
            </w:r>
          </w:p>
        </w:tc>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Closed</w:t>
            </w:r>
          </w:p>
        </w:tc>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Open</w:t>
            </w:r>
          </w:p>
        </w:tc>
      </w:tr>
      <w:tr>
        <w:trPr>
          <w:cantSplit/>
        </w:trPr>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Subscriber complaints (VRBT)</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r>
      <w:tr>
        <w:trPr>
          <w:cantSplit/>
        </w:trPr>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 Operator quality observations</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r>
      <w:tr>
        <w:trPr>
          <w:cantSplit/>
        </w:trPr>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project quality problems</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7</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7</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r>
      <w:tr>
        <w:trPr>
          <w:cantSplit/>
        </w:trPr>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Regulator / ODPC / CA referrals</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r>
      <w:tr>
        <w:trPr>
          <w:cantSplit/>
        </w:trPr>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Total</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6</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r>
    </w:tbl>
    <w:p>
      <w:pPr>
        <w:spacing w:after="160"/>
      </w:pPr>
    </w:p>
    <w:p>
      <w:pPr>
        <w:spacing w:after="160" w:before="0"/>
        <w:jc w:val="both"/>
      </w:pPr>
      <w:r>
        <w:rPr>
          <w:rFonts w:ascii="Calibri" w:hAnsi="Calibri" w:eastAsia="Calibri"/>
          <w:b w:val="0"/>
          <w:i/>
          <w:caps w:val="0"/>
          <w:color w:val="1F2937"/>
          <w:sz w:val="22"/>
        </w:rPr>
        <w:t>* Two Sev 4 tickets were mystery-shop / UAT callbacks logged through the live care queue to prove the path, not live-subscriber grievances. They are counted to show the queue is exercised.</w:t>
      </w:r>
    </w:p>
    <w:p>
      <w:pPr>
        <w:keepNext/>
        <w:spacing w:before="200" w:after="120"/>
      </w:pPr>
      <w:r>
        <w:rPr>
          <w:rFonts w:ascii="Calibri" w:hAnsi="Calibri" w:eastAsia="Calibri"/>
          <w:b/>
          <w:i w:val="0"/>
          <w:caps w:val="0"/>
          <w:color w:val="0E6B7A"/>
          <w:sz w:val="24"/>
        </w:rPr>
        <w:t>6.2 Register extract (all items in period)</w:t>
      </w:r>
    </w:p>
    <w:tbl>
      <w:tblPr>
        <w:jc w:val="center"/>
        <w:tblLayout w:type="fixed"/>
        <w:tblLook w:firstColumn="1" w:firstRow="1" w:lastColumn="0" w:lastRow="0" w:noHBand="0" w:noVBand="1" w:val="04A0"/>
        <w:tblW w:w="6120000" w:type="dxa"/>
      </w:tblPr>
      <w:tblGrid>
        <w:gridCol w:w="936000"/>
        <w:gridCol w:w="648000"/>
        <w:gridCol w:w="432000"/>
        <w:gridCol w:w="792000"/>
        <w:gridCol w:w="1944000"/>
        <w:gridCol w:w="1368000"/>
      </w:tblGrid>
      <w:tr>
        <w:trPr>
          <w:cantSplit/>
        </w:trPr>
        <w:tc>
          <w:tcPr>
            <w:tcW w:w="93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ID</w:t>
            </w:r>
          </w:p>
        </w:tc>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43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Sev</w:t>
            </w:r>
          </w:p>
        </w:tc>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Source</w:t>
            </w:r>
          </w:p>
        </w:tc>
        <w:tc>
          <w:tcPr>
            <w:tcW w:w="194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Summary</w:t>
            </w:r>
          </w:p>
        </w:tc>
        <w:tc>
          <w:tcPr>
            <w:tcW w:w="136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Closure</w:t>
            </w:r>
          </w:p>
        </w:tc>
      </w:tr>
      <w:tr>
        <w:trPr>
          <w:cantSplit/>
        </w:trPr>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CMP-2026-001</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11 Mar</w:t>
            </w:r>
          </w:p>
        </w:tc>
        <w:tc>
          <w:tcPr>
            <w:tcW w:w="43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w:t>
            </w:r>
          </w:p>
        </w:tc>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Test encode exceeded Huawei duration spec on two clips</w:t>
            </w:r>
          </w:p>
        </w:tc>
        <w:tc>
          <w:tcPr>
            <w:tcW w:w="136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Re-encode profile locked; closed 12 Mar</w:t>
            </w:r>
          </w:p>
        </w:tc>
      </w:tr>
      <w:tr>
        <w:trPr>
          <w:cantSplit/>
        </w:trPr>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CMP-2026-002</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02 Apr</w:t>
            </w:r>
          </w:p>
        </w:tc>
        <w:tc>
          <w:tcPr>
            <w:tcW w:w="43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w:t>
            </w:r>
          </w:p>
        </w:tc>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Metadata language tag missing on ingest</w:t>
            </w:r>
          </w:p>
        </w:tc>
        <w:tc>
          <w:tcPr>
            <w:tcW w:w="136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Schema validation added; closed 03 Apr</w:t>
            </w:r>
          </w:p>
        </w:tc>
      </w:tr>
      <w:tr>
        <w:trPr>
          <w:cantSplit/>
        </w:trPr>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CMP-2026-003</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18 Apr</w:t>
            </w:r>
          </w:p>
        </w:tc>
        <w:tc>
          <w:tcPr>
            <w:tcW w:w="43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w:t>
            </w:r>
          </w:p>
        </w:tc>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Staging poster frame not square on sample asset</w:t>
            </w:r>
          </w:p>
        </w:tc>
        <w:tc>
          <w:tcPr>
            <w:tcW w:w="136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Transcode preset corrected; closed 19 Apr</w:t>
            </w:r>
          </w:p>
        </w:tc>
      </w:tr>
      <w:tr>
        <w:trPr>
          <w:cantSplit/>
        </w:trPr>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CMP-2026-004</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 May</w:t>
            </w:r>
          </w:p>
        </w:tc>
        <w:tc>
          <w:tcPr>
            <w:tcW w:w="43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w:t>
            </w:r>
          </w:p>
        </w:tc>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USSD help text typo on unsubscribe confirmation</w:t>
            </w:r>
          </w:p>
        </w:tc>
        <w:tc>
          <w:tcPr>
            <w:tcW w:w="136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Copy change RFC-2026-017; closed 09 May</w:t>
            </w:r>
          </w:p>
        </w:tc>
      </w:tr>
      <w:tr>
        <w:trPr>
          <w:cantSplit/>
        </w:trPr>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CMP-2026-005</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21 May</w:t>
            </w:r>
          </w:p>
        </w:tc>
        <w:tc>
          <w:tcPr>
            <w:tcW w:w="43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w:t>
            </w:r>
          </w:p>
        </w:tc>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Rights pack incomplete on partner submission (music bed)</w:t>
            </w:r>
          </w:p>
        </w:tc>
        <w:tc>
          <w:tcPr>
            <w:tcW w:w="136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Rejected; partner resubmitted; checklist updated (CA-2026-014)</w:t>
            </w:r>
          </w:p>
        </w:tc>
      </w:tr>
      <w:tr>
        <w:trPr>
          <w:cantSplit/>
        </w:trPr>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CMP-2026-006</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12 Jun</w:t>
            </w:r>
          </w:p>
        </w:tc>
        <w:tc>
          <w:tcPr>
            <w:tcW w:w="43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Mystery shop</w:t>
            </w:r>
          </w:p>
        </w:tc>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Care callback SLA test — hold music only</w:t>
            </w:r>
          </w:p>
        </w:tc>
        <w:tc>
          <w:tcPr>
            <w:tcW w:w="136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Passed; closed same day</w:t>
            </w:r>
          </w:p>
        </w:tc>
      </w:tr>
      <w:tr>
        <w:trPr>
          <w:cantSplit/>
        </w:trPr>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CMP-2026-007</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12 Jun</w:t>
            </w:r>
          </w:p>
        </w:tc>
        <w:tc>
          <w:tcPr>
            <w:tcW w:w="43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Mystery shop</w:t>
            </w:r>
          </w:p>
        </w:tc>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Email acknowledgement path test</w:t>
            </w:r>
          </w:p>
        </w:tc>
        <w:tc>
          <w:tcPr>
            <w:tcW w:w="136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Passed; closed same day</w:t>
            </w:r>
          </w:p>
        </w:tc>
      </w:tr>
      <w:tr>
        <w:trPr>
          <w:cantSplit/>
        </w:trPr>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CMP-2026-008</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27 Jun</w:t>
            </w:r>
          </w:p>
        </w:tc>
        <w:tc>
          <w:tcPr>
            <w:tcW w:w="43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w:t>
            </w:r>
          </w:p>
        </w:tc>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Change RFC missing go-live reviewer name on draft</w:t>
            </w:r>
          </w:p>
        </w:tc>
        <w:tc>
          <w:tcPr>
            <w:tcW w:w="136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Template mandatory field; closed 27 Jun</w:t>
            </w:r>
          </w:p>
        </w:tc>
      </w:tr>
      <w:tr>
        <w:trPr>
          <w:cantSplit/>
        </w:trPr>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CMP-2026-009</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14 Jul</w:t>
            </w:r>
          </w:p>
        </w:tc>
        <w:tc>
          <w:tcPr>
            <w:tcW w:w="43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w:t>
            </w:r>
          </w:p>
        </w:tc>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Duplicate content ID in sandbox catalogue</w:t>
            </w:r>
          </w:p>
        </w:tc>
        <w:tc>
          <w:tcPr>
            <w:tcW w:w="136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Unique-ID constraint; closed 15 Jul</w:t>
            </w:r>
          </w:p>
        </w:tc>
      </w:tr>
      <w:tr>
        <w:trPr>
          <w:cantSplit/>
        </w:trPr>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CMP-2026-010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29 Jul</w:t>
            </w:r>
          </w:p>
        </w:tc>
        <w:tc>
          <w:tcPr>
            <w:tcW w:w="43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w:t>
            </w:r>
          </w:p>
        </w:tc>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Partner query on takedown turnaround — information only</w:t>
            </w:r>
          </w:p>
        </w:tc>
        <w:tc>
          <w:tcPr>
            <w:tcW w:w="136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Answered; no defect; closed 29 Jul</w:t>
            </w:r>
          </w:p>
        </w:tc>
      </w:tr>
    </w:tbl>
    <w:p>
      <w:pPr>
        <w:spacing w:after="160"/>
      </w:pPr>
    </w:p>
    <w:p>
      <w:pPr>
        <w:keepNext/>
        <w:spacing w:before="200" w:after="120"/>
      </w:pPr>
      <w:r>
        <w:rPr>
          <w:rFonts w:ascii="Calibri" w:hAnsi="Calibri" w:eastAsia="Calibri"/>
          <w:b/>
          <w:i w:val="0"/>
          <w:caps w:val="0"/>
          <w:color w:val="0E6B7A"/>
          <w:sz w:val="24"/>
        </w:rPr>
        <w:t>6.3 Analysis</w:t>
      </w:r>
    </w:p>
    <w:p>
      <w:pPr>
        <w:spacing w:after="160" w:before="0"/>
        <w:jc w:val="both"/>
      </w:pPr>
      <w:r>
        <w:rPr>
          <w:rFonts w:ascii="Calibri" w:hAnsi="Calibri" w:eastAsia="Calibri"/>
          <w:b w:val="0"/>
          <w:i w:val="0"/>
          <w:caps w:val="0"/>
          <w:color w:val="1F2937"/>
          <w:sz w:val="22"/>
        </w:rPr>
        <w:t>There were no Sev 1 or Sev 2 (major) quality issues and no live-subscriber VRBT complaints in the period. Project quality problems were concentrated in ingest metadata, encode presets and completeness of rights documentation — all detected before production by the Content Compliance and change-management gates. Corrective actions CA-2026-014 and template hardening of the RFC form are closed and effective. The complaint rate KPI in AA-VRBT-QM-2.2.1 remains at target. After public launch this report will be issued monthly with operator ticket IDs retained for audit.</w:t>
      </w:r>
    </w:p>
    <w:p>
      <w:pPr>
        <w:keepNext/>
        <w:spacing w:before="280" w:after="120"/>
        <w:pBdr>
          <w:bottom w:val="single" w:sz="10" w:space="4" w:color="B88A2E"/>
        </w:pBdr>
      </w:pPr>
      <w:r>
        <w:rPr>
          <w:rFonts w:ascii="Calibri" w:hAnsi="Calibri" w:eastAsia="Calibri"/>
          <w:b/>
          <w:i w:val="0"/>
          <w:caps w:val="0"/>
          <w:color w:val="122B4F"/>
          <w:sz w:val="28"/>
        </w:rPr>
        <w:t>7. Customer notification of major quality issues</w:t>
      </w:r>
    </w:p>
    <w:p>
      <w:pPr>
        <w:keepNext/>
        <w:spacing w:before="200" w:after="120"/>
      </w:pPr>
      <w:r>
        <w:rPr>
          <w:rFonts w:ascii="Calibri" w:hAnsi="Calibri" w:eastAsia="Calibri"/>
          <w:b/>
          <w:i w:val="0"/>
          <w:caps w:val="0"/>
          <w:color w:val="0E6B7A"/>
          <w:sz w:val="24"/>
        </w:rPr>
        <w:t>7.1 Notification rules</w:t>
      </w:r>
    </w:p>
    <w:p>
      <w:pPr>
        <w:spacing w:after="60" w:before="0"/>
        <w:ind w:left="567" w:hanging="227"/>
      </w:pPr>
      <w:r>
        <w:rPr>
          <w:rFonts w:ascii="Calibri" w:hAnsi="Calibri" w:eastAsia="Calibri"/>
          <w:b w:val="0"/>
          <w:i w:val="0"/>
          <w:caps w:val="0"/>
          <w:color w:val="1F2937"/>
          <w:sz w:val="22"/>
        </w:rPr>
        <w:t>•  Sev 1: oral/bridge notice immediately, written notice within one (1) hour.</w:t>
      </w:r>
    </w:p>
    <w:p>
      <w:pPr>
        <w:spacing w:after="60" w:before="0"/>
        <w:ind w:left="567" w:hanging="227"/>
      </w:pPr>
      <w:r>
        <w:rPr>
          <w:rFonts w:ascii="Calibri" w:hAnsi="Calibri" w:eastAsia="Calibri"/>
          <w:b w:val="0"/>
          <w:i w:val="0"/>
          <w:caps w:val="0"/>
          <w:color w:val="1F2937"/>
          <w:sz w:val="22"/>
        </w:rPr>
        <w:t>•  Sev 2: written notice within four (4) hours.</w:t>
      </w:r>
    </w:p>
    <w:p>
      <w:pPr>
        <w:spacing w:after="60" w:before="0"/>
        <w:ind w:left="567" w:hanging="227"/>
      </w:pPr>
      <w:r>
        <w:rPr>
          <w:rFonts w:ascii="Calibri" w:hAnsi="Calibri" w:eastAsia="Calibri"/>
          <w:b w:val="0"/>
          <w:i w:val="0"/>
          <w:caps w:val="0"/>
          <w:color w:val="1F2937"/>
          <w:sz w:val="22"/>
        </w:rPr>
        <w:t>•  Recipients: Huawei Account and TQC/CEG nominated contacts; Operator Product Owner and Care; Advanta CEO (Sev 1).</w:t>
      </w:r>
    </w:p>
    <w:p>
      <w:pPr>
        <w:spacing w:after="60" w:before="0"/>
        <w:ind w:left="567" w:hanging="227"/>
      </w:pPr>
      <w:r>
        <w:rPr>
          <w:rFonts w:ascii="Calibri" w:hAnsi="Calibri" w:eastAsia="Calibri"/>
          <w:b w:val="0"/>
          <w:i w:val="0"/>
          <w:caps w:val="0"/>
          <w:color w:val="1F2937"/>
          <w:sz w:val="22"/>
        </w:rPr>
        <w:t>•  Channel: named email distribution list plus the Joint Governance emergency bridge for Sev 1.</w:t>
      </w:r>
    </w:p>
    <w:p>
      <w:pPr>
        <w:spacing w:after="60" w:before="0"/>
        <w:ind w:left="567" w:hanging="227"/>
      </w:pPr>
      <w:r>
        <w:rPr>
          <w:rFonts w:ascii="Calibri" w:hAnsi="Calibri" w:eastAsia="Calibri"/>
          <w:b w:val="0"/>
          <w:i w:val="0"/>
          <w:caps w:val="0"/>
          <w:color w:val="1F2937"/>
          <w:sz w:val="22"/>
        </w:rPr>
        <w:t>•  Follow-up: containment update every four hours until contained; RCA report within the SLA in Section 4.</w:t>
      </w:r>
    </w:p>
    <w:p>
      <w:pPr>
        <w:spacing w:after="60" w:before="0"/>
        <w:ind w:left="567" w:hanging="227"/>
      </w:pPr>
      <w:r>
        <w:rPr>
          <w:rFonts w:ascii="Calibri" w:hAnsi="Calibri" w:eastAsia="Calibri"/>
          <w:b w:val="0"/>
          <w:i w:val="0"/>
          <w:caps w:val="0"/>
          <w:color w:val="1F2937"/>
          <w:sz w:val="22"/>
        </w:rPr>
        <w:t>•  Subscriber notice: in accordance with Operator rules; Advanta never publicly discloses Huawei-related personal data in a notice (see AA-VRBT-PP-4.1.3).</w:t>
      </w:r>
    </w:p>
    <w:p>
      <w:pPr>
        <w:keepNext/>
        <w:spacing w:before="200" w:after="120"/>
      </w:pPr>
      <w:r>
        <w:rPr>
          <w:rFonts w:ascii="Calibri" w:hAnsi="Calibri" w:eastAsia="Calibri"/>
          <w:b/>
          <w:i w:val="0"/>
          <w:caps w:val="0"/>
          <w:color w:val="0E6B7A"/>
          <w:sz w:val="24"/>
        </w:rPr>
        <w:t>7.2 Notification record — template (controlled)</w:t>
      </w:r>
    </w:p>
    <w:tbl>
      <w:tblPr>
        <w:tblLayout w:type="fixed"/>
        <w:tblLook w:firstColumn="1" w:firstRow="1" w:lastColumn="0" w:lastRow="0" w:noHBand="0" w:noVBand="1" w:val="04A0"/>
        <w:tblW w:w="6120000" w:type="dxa"/>
      </w:tblPr>
      <w:tblGrid>
        <w:gridCol w:w="6120000"/>
      </w:tblGrid>
      <w:tr>
        <w:tc>
          <w:tcPr>
            <w:tcW w:w="6120000" w:type="dxa"/>
            <w:shd w:fill="E8F2F4" w:val="clear"/>
            <w:tcBorders>
              <w:top w:val="single" w:sz="8" w:space="0" w:color="0E6B7A"/>
              <w:left w:val="single" w:sz="8" w:space="0" w:color="0E6B7A"/>
              <w:bottom w:val="single" w:sz="8" w:space="0" w:color="0E6B7A"/>
              <w:right w:val="single" w:sz="8" w:space="0" w:color="0E6B7A"/>
            </w:tcBorders>
            <w:tcMar>
              <w:top w:w="100" w:type="dxa"/>
              <w:left w:w="140" w:type="dxa"/>
              <w:bottom w:w="100" w:type="dxa"/>
              <w:right w:w="140" w:type="dxa"/>
            </w:tcMar>
          </w:tcPr>
          <w:p>
            <w:pPr>
              <w:spacing w:after="80"/>
            </w:pPr>
            <w:r>
              <w:rPr>
                <w:rFonts w:ascii="Calibri" w:hAnsi="Calibri" w:eastAsia="Calibri"/>
                <w:b/>
                <w:i w:val="0"/>
                <w:caps w:val="0"/>
                <w:color w:val="0E6B7A"/>
                <w:sz w:val="18"/>
              </w:rPr>
              <w:t>FORM AA-QMS-NQ-001 — MAJOR QUALITY ISSUE CUSTOMER NOTIFICATION</w:t>
            </w:r>
          </w:p>
          <w:p>
            <w:pPr>
              <w:spacing w:after="0"/>
              <w:jc w:val="both"/>
            </w:pPr>
            <w:r>
              <w:rPr>
                <w:rFonts w:ascii="Calibri" w:hAnsi="Calibri" w:eastAsia="Calibri"/>
                <w:b w:val="0"/>
                <w:i w:val="0"/>
                <w:caps w:val="0"/>
                <w:color w:val="1F2937"/>
                <w:sz w:val="20"/>
              </w:rPr>
              <w:t>Issue ID: AA-VRBT-CMP-____    Severity: 1 / 2    Date/time (EAT): ________    Notified by: ________</w:t>
              <w:br/>
              <w:t>Huawei contacts notified: ________    Operator contacts notified: ________    Method: email / bridge / both</w:t>
              <w:br/>
              <w:t>What happened (facts only): ________</w:t>
              <w:br/>
              <w:t>Who / what is affected (no excess personal data): ________</w:t>
              <w:br/>
              <w:t>Containment taken or in progress: ________</w:t>
              <w:br/>
              <w:t>Subscriber impact and credits (if known): ________</w:t>
              <w:br/>
              <w:t>Next update time: ________    RCA owner: ________</w:t>
              <w:br/>
              <w:t>Public disclosure proposed? Yes / No — if Yes, Huawei written consent required before any public statement.</w:t>
            </w:r>
          </w:p>
        </w:tc>
      </w:tr>
    </w:tbl>
    <w:p>
      <w:pPr>
        <w:spacing w:after="160"/>
      </w:pPr>
    </w:p>
    <w:p>
      <w:pPr>
        <w:keepNext/>
        <w:spacing w:before="200" w:after="120"/>
      </w:pPr>
      <w:r>
        <w:rPr>
          <w:rFonts w:ascii="Calibri" w:hAnsi="Calibri" w:eastAsia="Calibri"/>
          <w:b/>
          <w:i w:val="0"/>
          <w:caps w:val="0"/>
          <w:color w:val="0E6B7A"/>
          <w:sz w:val="24"/>
        </w:rPr>
        <w:t>7.3 Notification records in the period</w:t>
      </w:r>
    </w:p>
    <w:p>
      <w:pPr>
        <w:spacing w:after="160" w:before="0"/>
        <w:jc w:val="both"/>
      </w:pPr>
      <w:r>
        <w:rPr>
          <w:rFonts w:ascii="Calibri" w:hAnsi="Calibri" w:eastAsia="Calibri"/>
          <w:b w:val="0"/>
          <w:i w:val="0"/>
          <w:caps w:val="0"/>
          <w:color w:val="1F2937"/>
          <w:sz w:val="22"/>
        </w:rPr>
        <w:t>No Sev 1 or Sev 2 VRBT issue occurred between 1 January and 31 July 2026. Accordingly there is no live major-issue notice to produce. To demonstrate that the notification machinery exists and is understood, Advanta conducted a tabletop drill on 8 August 2026. The drill record is retained as evidence of capability.</w:t>
      </w:r>
    </w:p>
    <w:tbl>
      <w:tblPr>
        <w:jc w:val="center"/>
        <w:tblLayout w:type="fixed"/>
        <w:tblLook w:firstColumn="1" w:firstRow="1" w:lastColumn="0" w:lastRow="0" w:noHBand="0" w:noVBand="1" w:val="04A0"/>
        <w:tblW w:w="6119999" w:type="dxa"/>
      </w:tblPr>
      <w:tblGrid>
        <w:gridCol w:w="1440000"/>
        <w:gridCol w:w="1007999"/>
        <w:gridCol w:w="1944000"/>
        <w:gridCol w:w="1728000"/>
      </w:tblGrid>
      <w:tr>
        <w:trPr>
          <w:cantSplit/>
        </w:trPr>
        <w:tc>
          <w:tcPr>
            <w:tcW w:w="144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Record</w:t>
            </w:r>
          </w:p>
        </w:tc>
        <w:tc>
          <w:tcPr>
            <w:tcW w:w="1007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94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Scenario</w:t>
            </w:r>
          </w:p>
        </w:tc>
        <w:tc>
          <w:tcPr>
            <w:tcW w:w="17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Result</w:t>
            </w:r>
          </w:p>
        </w:tc>
      </w:tr>
      <w:tr>
        <w:trPr>
          <w:cantSplit/>
        </w:trPr>
        <w:tc>
          <w:tcPr>
            <w:tcW w:w="14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AA-QMS-NQ-DRILL-2026-01</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8 August 2026</w:t>
            </w:r>
          </w:p>
        </w:tc>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Sev 2: licensed clip published with uncleared backing-vocal sample; hypothetical 1,200 subscribers</w:t>
            </w:r>
          </w:p>
        </w:tc>
        <w:tc>
          <w:tcPr>
            <w:tcW w:w="17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Notice drafted in 18 minutes; Huawei and Operator distribution lists reached in the drill mailbox; takedown path confirmed; public-statement block confirmed (Huawei consent gate)</w:t>
            </w:r>
          </w:p>
        </w:tc>
      </w:tr>
    </w:tbl>
    <w:p>
      <w:pPr>
        <w:spacing w:after="160"/>
      </w:pPr>
    </w:p>
    <w:p>
      <w:pPr>
        <w:keepNext/>
        <w:spacing w:before="200" w:after="120"/>
      </w:pPr>
      <w:r>
        <w:rPr>
          <w:rFonts w:ascii="Calibri" w:hAnsi="Calibri" w:eastAsia="Calibri"/>
          <w:b/>
          <w:i w:val="0"/>
          <w:caps w:val="0"/>
          <w:color w:val="0E6B7A"/>
          <w:sz w:val="24"/>
        </w:rPr>
        <w:t>7.4 Specimen notice produced in the drill (redacted)</w:t>
      </w:r>
    </w:p>
    <w:p>
      <w:pPr>
        <w:spacing w:after="160" w:before="0"/>
        <w:jc w:val="both"/>
      </w:pPr>
      <w:r>
        <w:rPr>
          <w:rFonts w:ascii="Calibri" w:hAnsi="Calibri" w:eastAsia="Calibri"/>
          <w:b w:val="0"/>
          <w:i w:val="0"/>
          <w:caps w:val="0"/>
          <w:color w:val="1F2937"/>
          <w:sz w:val="22"/>
        </w:rPr>
        <w:t>From: quality@advanta.africa</w:t>
      </w:r>
    </w:p>
    <w:p>
      <w:pPr>
        <w:spacing w:after="160" w:before="0"/>
        <w:jc w:val="both"/>
      </w:pPr>
      <w:r>
        <w:rPr>
          <w:rFonts w:ascii="Calibri" w:hAnsi="Calibri" w:eastAsia="Calibri"/>
          <w:b w:val="0"/>
          <w:i w:val="0"/>
          <w:caps w:val="0"/>
          <w:color w:val="1F2937"/>
          <w:sz w:val="22"/>
        </w:rPr>
        <w:t>To: Huawei Account; Huawei TQC/CEG; Operator Product Owner</w:t>
      </w:r>
    </w:p>
    <w:p>
      <w:pPr>
        <w:spacing w:after="160" w:before="0"/>
        <w:jc w:val="both"/>
      </w:pPr>
      <w:r>
        <w:rPr>
          <w:rFonts w:ascii="Calibri" w:hAnsi="Calibri" w:eastAsia="Calibri"/>
          <w:b w:val="0"/>
          <w:i w:val="0"/>
          <w:caps w:val="0"/>
          <w:color w:val="1F2937"/>
          <w:sz w:val="22"/>
        </w:rPr>
        <w:t>Cc: Advanta QMRP; Content Compliance Officer; CEO</w:t>
      </w:r>
    </w:p>
    <w:p>
      <w:pPr>
        <w:spacing w:after="160" w:before="0"/>
        <w:jc w:val="both"/>
      </w:pPr>
      <w:r>
        <w:rPr>
          <w:rFonts w:ascii="Calibri" w:hAnsi="Calibri" w:eastAsia="Calibri"/>
          <w:b w:val="0"/>
          <w:i w:val="0"/>
          <w:caps w:val="0"/>
          <w:color w:val="1F2937"/>
          <w:sz w:val="22"/>
        </w:rPr>
        <w:t>Subject: [DRILL] AA-VRBT-CMP-DRILL-2026-01 — Sev 2 major quality issue notification — do not action</w:t>
      </w:r>
    </w:p>
    <w:p>
      <w:pPr>
        <w:spacing w:after="160" w:before="0"/>
        <w:jc w:val="both"/>
      </w:pPr>
      <w:r>
        <w:rPr>
          <w:rFonts w:ascii="Calibri" w:hAnsi="Calibri" w:eastAsia="Calibri"/>
          <w:b w:val="0"/>
          <w:i w:val="0"/>
          <w:caps w:val="0"/>
          <w:color w:val="1F2937"/>
          <w:sz w:val="22"/>
        </w:rPr>
        <w:t>This is a drill. At 10:05 EAT on 8 August 2026 Advanta Africa identified a hypothetical production VRBT clip (Content ID VRBT-KE-000418) that may contain an uncleared audio sample. Hypothetical impact: approximately 1,200 active subscriptions. Containment: clip disabled in the catalogue at 10:11 EAT; new subscriptions blocked; existing subscribers mapped to a silent fallback pending Operator instruction. No personal data is attached to this notice. No public statement will be made. RCA owner: Content Compliance Officer. Next update: 14:00 EAT. This drill ended at 10:40 EAT. Live incidents will use this same template without the [DRILL] mark.</w:t>
      </w:r>
    </w:p>
    <w:p>
      <w:pPr>
        <w:keepNext/>
        <w:spacing w:before="280" w:after="120"/>
        <w:pBdr>
          <w:bottom w:val="single" w:sz="10" w:space="4" w:color="B88A2E"/>
        </w:pBdr>
      </w:pPr>
      <w:r>
        <w:rPr>
          <w:rFonts w:ascii="Calibri" w:hAnsi="Calibri" w:eastAsia="Calibri"/>
          <w:b/>
          <w:i w:val="0"/>
          <w:caps w:val="0"/>
          <w:color w:val="122B4F"/>
          <w:sz w:val="28"/>
        </w:rPr>
        <w:t>8. Records retained</w:t>
      </w:r>
    </w:p>
    <w:p>
      <w:pPr>
        <w:spacing w:after="60" w:before="0"/>
        <w:ind w:left="567" w:hanging="227"/>
      </w:pPr>
      <w:r>
        <w:rPr>
          <w:rFonts w:ascii="Calibri" w:hAnsi="Calibri" w:eastAsia="Calibri"/>
          <w:b w:val="0"/>
          <w:i w:val="0"/>
          <w:caps w:val="0"/>
          <w:color w:val="1F2937"/>
          <w:sz w:val="22"/>
        </w:rPr>
        <w:t>•  Complaint and quality-problem tickets and this summary report.</w:t>
      </w:r>
    </w:p>
    <w:p>
      <w:pPr>
        <w:spacing w:after="60" w:before="0"/>
        <w:ind w:left="567" w:hanging="227"/>
      </w:pPr>
      <w:r>
        <w:rPr>
          <w:rFonts w:ascii="Calibri" w:hAnsi="Calibri" w:eastAsia="Calibri"/>
          <w:b w:val="0"/>
          <w:i w:val="0"/>
          <w:caps w:val="0"/>
          <w:color w:val="1F2937"/>
          <w:sz w:val="22"/>
        </w:rPr>
        <w:t>•  Major-issue notices, drill records and distribution-list acknowledgements.</w:t>
      </w:r>
    </w:p>
    <w:p>
      <w:pPr>
        <w:spacing w:after="60" w:before="0"/>
        <w:ind w:left="567" w:hanging="227"/>
      </w:pPr>
      <w:r>
        <w:rPr>
          <w:rFonts w:ascii="Calibri" w:hAnsi="Calibri" w:eastAsia="Calibri"/>
          <w:b w:val="0"/>
          <w:i w:val="0"/>
          <w:caps w:val="0"/>
          <w:color w:val="1F2937"/>
          <w:sz w:val="22"/>
        </w:rPr>
        <w:t>•  RCA reports and corrective-action effectiveness checks.</w:t>
      </w:r>
    </w:p>
    <w:p>
      <w:pPr>
        <w:spacing w:after="60" w:before="0"/>
        <w:ind w:left="567" w:hanging="227"/>
      </w:pPr>
      <w:r>
        <w:rPr>
          <w:rFonts w:ascii="Calibri" w:hAnsi="Calibri" w:eastAsia="Calibri"/>
          <w:b w:val="0"/>
          <w:i w:val="0"/>
          <w:caps w:val="0"/>
          <w:color w:val="1F2937"/>
          <w:sz w:val="22"/>
        </w:rPr>
        <w:t>•  Subscriber credit / goodwill instructions where issued by the Operator.</w:t>
      </w: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Data Protection Officer / Content Compliance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QM 2.3.1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AA-VRBT-QM-2.3.1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