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Privacy Statement and Consent Management</w:t>
      </w:r>
    </w:p>
    <w:p>
      <w:pPr>
        <w:spacing w:after="280"/>
        <w:jc w:val="center"/>
      </w:pPr>
      <w:r>
        <w:rPr>
          <w:rFonts w:ascii="Calibri" w:hAnsi="Calibri" w:eastAsia="Calibri"/>
          <w:b w:val="0"/>
          <w:i/>
          <w:caps w:val="0"/>
          <w:color w:val="0E6B7A"/>
          <w:sz w:val="24"/>
        </w:rPr>
        <w:t>Pre-collection notice, valid consent, and re-consent when the privacy statement is updated</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AA-VRBT-PP-4.1.1</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Privacy Protection — No. 4.1.1  ·  Business Management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Before collecting personal data, a privacy statement is provided and valid consent is obtained, in compliance with the business contract. When the privacy statement is updated, the user is notified through effective means and consent is re-obtained.</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Purpose and questionnaire mapping</w:t>
      </w:r>
    </w:p>
    <w:p>
      <w:pPr>
        <w:spacing w:after="160" w:before="0"/>
        <w:jc w:val="both"/>
      </w:pPr>
      <w:r>
        <w:rPr>
          <w:rFonts w:ascii="Calibri" w:hAnsi="Calibri" w:eastAsia="Calibri"/>
          <w:b w:val="0"/>
          <w:i w:val="0"/>
          <w:caps w:val="0"/>
          <w:color w:val="1F2937"/>
          <w:sz w:val="22"/>
        </w:rPr>
        <w:t>This document is the management document and privacy statement required as evidence for item 4.1.1. It describes how Advanta Africa Ltd provides a privacy statement and obtains valid consent before collecting personal data for the VRBT service, how that practice meets the Huawei business-contract requirements, and how users are notified and asked to re-consent when the statement is updated.</w:t>
      </w:r>
    </w:p>
    <w:tbl>
      <w:tblPr>
        <w:jc w:val="center"/>
        <w:tblLayout w:type="fixed"/>
        <w:tblLook w:firstColumn="1" w:firstRow="1" w:lastColumn="0" w:lastRow="0" w:noHBand="0" w:noVBand="1" w:val="04A0"/>
        <w:tblW w:w="6120000" w:type="dxa"/>
      </w:tblPr>
      <w:tblGrid>
        <w:gridCol w:w="2520000"/>
        <w:gridCol w:w="3600000"/>
      </w:tblGrid>
      <w:tr>
        <w:trPr>
          <w:cantSplit/>
        </w:trPr>
        <w:tc>
          <w:tcPr>
            <w:tcW w:w="252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Review question</w:t>
            </w:r>
          </w:p>
        </w:tc>
        <w:tc>
          <w:tcPr>
            <w:tcW w:w="36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Control</w:t>
            </w:r>
          </w:p>
        </w:tc>
      </w:tr>
      <w:tr>
        <w:trPr>
          <w:cantSplit/>
        </w:trPr>
        <w:tc>
          <w:tcPr>
            <w:tcW w:w="25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 a privacy statement provided before collection?</w:t>
            </w:r>
          </w:p>
        </w:tc>
        <w:tc>
          <w:tcPr>
            <w:tcW w:w="36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USSD/app/web notice plus this full statement, before MSISDN, profile or payment data is stored by Advanta</w:t>
            </w:r>
          </w:p>
        </w:tc>
      </w:tr>
      <w:tr>
        <w:trPr>
          <w:cantSplit/>
        </w:trPr>
        <w:tc>
          <w:tcPr>
            <w:tcW w:w="25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 valid consent obtained from the data subject?</w:t>
            </w:r>
          </w:p>
        </w:tc>
        <w:tc>
          <w:tcPr>
            <w:tcW w:w="36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affirmative opt-in (USSD accept / tick box / recorded Operator consent token), not bundled with unrelated terms, withdrawable</w:t>
            </w:r>
          </w:p>
        </w:tc>
      </w:tr>
      <w:tr>
        <w:trPr>
          <w:cantSplit/>
        </w:trPr>
        <w:tc>
          <w:tcPr>
            <w:tcW w:w="25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Does this comply with the business contract?</w:t>
            </w:r>
          </w:p>
        </w:tc>
        <w:tc>
          <w:tcPr>
            <w:tcW w:w="36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Huawei personal-data clauses, Operator VAS rules, and Kenya Data Protection Act 2019 ss. 25–32</w:t>
            </w:r>
          </w:p>
        </w:tc>
      </w:tr>
      <w:tr>
        <w:trPr>
          <w:cantSplit/>
        </w:trPr>
        <w:tc>
          <w:tcPr>
            <w:tcW w:w="25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When the statement is updated, is the user notified by effective means?</w:t>
            </w:r>
          </w:p>
        </w:tc>
        <w:tc>
          <w:tcPr>
            <w:tcW w:w="36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in-journey notice, SMS to active subscribers, website posting, Operator care scripts</w:t>
            </w:r>
          </w:p>
        </w:tc>
      </w:tr>
      <w:tr>
        <w:trPr>
          <w:cantSplit/>
        </w:trPr>
        <w:tc>
          <w:tcPr>
            <w:tcW w:w="25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 consent re-obtained?</w:t>
            </w:r>
          </w:p>
        </w:tc>
        <w:tc>
          <w:tcPr>
            <w:tcW w:w="36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material updates require a fresh accept; service is not charged until accept is logged</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2. Roles and lawful bases</w:t>
      </w:r>
    </w:p>
    <w:p>
      <w:pPr>
        <w:spacing w:after="60" w:before="0"/>
        <w:ind w:left="567" w:hanging="227"/>
      </w:pPr>
      <w:r>
        <w:rPr>
          <w:rFonts w:ascii="Calibri" w:hAnsi="Calibri" w:eastAsia="Calibri"/>
          <w:b w:val="0"/>
          <w:i w:val="0"/>
          <w:caps w:val="0"/>
          <w:color w:val="1F2937"/>
          <w:sz w:val="22"/>
        </w:rPr>
        <w:t>•  Operator / MNO: typically the data controller for subscriber MSISDN, service subscription and billing.</w:t>
      </w:r>
    </w:p>
    <w:p>
      <w:pPr>
        <w:spacing w:after="60" w:before="0"/>
        <w:ind w:left="567" w:hanging="227"/>
      </w:pPr>
      <w:r>
        <w:rPr>
          <w:rFonts w:ascii="Calibri" w:hAnsi="Calibri" w:eastAsia="Calibri"/>
          <w:b w:val="0"/>
          <w:i w:val="0"/>
          <w:caps w:val="0"/>
          <w:color w:val="1F2937"/>
          <w:sz w:val="22"/>
        </w:rPr>
        <w:t>•  Advanta Africa: data processor for Operator-originated subscriber data; data controller for employee data, content-partner data, and Advanta website/account data.</w:t>
      </w:r>
    </w:p>
    <w:p>
      <w:pPr>
        <w:spacing w:after="60" w:before="0"/>
        <w:ind w:left="567" w:hanging="227"/>
      </w:pPr>
      <w:r>
        <w:rPr>
          <w:rFonts w:ascii="Calibri" w:hAnsi="Calibri" w:eastAsia="Calibri"/>
          <w:b w:val="0"/>
          <w:i w:val="0"/>
          <w:caps w:val="0"/>
          <w:color w:val="1F2937"/>
          <w:sz w:val="22"/>
        </w:rPr>
        <w:t>•  Huawei: platform provider. Advanta does not treat Huawei as a public disclosure channel and does not share Huawei-related personal data with any other party without Huawei’s written consent (AA-VRBT-PP-4.1.3).</w:t>
      </w:r>
    </w:p>
    <w:p>
      <w:pPr>
        <w:spacing w:after="160" w:before="0"/>
        <w:jc w:val="both"/>
      </w:pPr>
      <w:r>
        <w:rPr>
          <w:rFonts w:ascii="Calibri" w:hAnsi="Calibri" w:eastAsia="Calibri"/>
          <w:b w:val="0"/>
          <w:i w:val="0"/>
          <w:caps w:val="0"/>
          <w:color w:val="1F2937"/>
          <w:sz w:val="22"/>
        </w:rPr>
        <w:t>Where Advanta is a processor, it processes only on documented instructions (the Operator agreement and Huawei cooperation terms). Where Advanta is a controller, the primary lawful bases under the Data Protection Act, 2019 are: consent (s. 32) for marketing and optional profile features; contract (s. 30) for service delivery the person has requested; legal obligation for retention required by communications or tax law; and legitimate interests only where a documented assessment shows they are not overridden by the data subject’s rights. Sensitive personal data is not required for VRBT and is not collected.</w:t>
      </w:r>
    </w:p>
    <w:p>
      <w:pPr>
        <w:keepNext/>
        <w:spacing w:before="280" w:after="120"/>
        <w:pBdr>
          <w:bottom w:val="single" w:sz="10" w:space="4" w:color="B88A2E"/>
        </w:pBdr>
      </w:pPr>
      <w:r>
        <w:rPr>
          <w:rFonts w:ascii="Calibri" w:hAnsi="Calibri" w:eastAsia="Calibri"/>
          <w:b/>
          <w:i w:val="0"/>
          <w:caps w:val="0"/>
          <w:color w:val="122B4F"/>
          <w:sz w:val="28"/>
        </w:rPr>
        <w:t>3. Personal data collected for VRBT (minimum necessary)</w:t>
      </w:r>
    </w:p>
    <w:tbl>
      <w:tblPr>
        <w:jc w:val="center"/>
        <w:tblLayout w:type="fixed"/>
        <w:tblLook w:firstColumn="1" w:firstRow="1" w:lastColumn="0" w:lastRow="0" w:noHBand="0" w:noVBand="1" w:val="04A0"/>
        <w:tblW w:w="6119999" w:type="dxa"/>
      </w:tblPr>
      <w:tblGrid>
        <w:gridCol w:w="1512000"/>
        <w:gridCol w:w="1080000"/>
        <w:gridCol w:w="1655999"/>
        <w:gridCol w:w="1872000"/>
      </w:tblGrid>
      <w:tr>
        <w:trPr>
          <w:cantSplit/>
        </w:trPr>
        <w:tc>
          <w:tcPr>
            <w:tcW w:w="151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Data</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Source</w:t>
            </w:r>
          </w:p>
        </w:tc>
        <w:tc>
          <w:tcPr>
            <w:tcW w:w="1655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c>
          <w:tcPr>
            <w:tcW w:w="187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Collected only after notice + consent / instruction</w:t>
            </w:r>
          </w:p>
        </w:tc>
      </w:tr>
      <w:tr>
        <w:trPr>
          <w:cantSplit/>
        </w:trPr>
        <w:tc>
          <w:tcPr>
            <w:tcW w:w="151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MSISDN (calling / called party as applicable)</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Operator / USSD session</w:t>
            </w:r>
          </w:p>
        </w:tc>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Provision of VRBT, charging correlation, unsubscribe</w:t>
            </w:r>
          </w:p>
        </w:tc>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151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Subscription state, content ID, timestamp</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Service platform</w:t>
            </w:r>
          </w:p>
        </w:tc>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Fulfil the requested tune, support, dispute</w:t>
            </w:r>
          </w:p>
        </w:tc>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151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USSD / channel consent log (yes/no, time, version of statement)</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Consent manager</w:t>
            </w:r>
          </w:p>
        </w:tc>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Demonstrate valid consent and version</w:t>
            </w:r>
          </w:p>
        </w:tc>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this is the consent record itself</w:t>
            </w:r>
          </w:p>
        </w:tc>
      </w:tr>
      <w:tr>
        <w:trPr>
          <w:cantSplit/>
        </w:trPr>
        <w:tc>
          <w:tcPr>
            <w:tcW w:w="151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Device type (coarse) where required for video compatibility</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Operator / app</w:t>
            </w:r>
          </w:p>
        </w:tc>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Deliver a playable asset</w:t>
            </w:r>
          </w:p>
        </w:tc>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151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Content-partner contact and KYC</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Partner onboarding</w:t>
            </w:r>
          </w:p>
        </w:tc>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Licensing and payments</w:t>
            </w:r>
          </w:p>
        </w:tc>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partner contract + notice</w:t>
            </w:r>
          </w:p>
        </w:tc>
      </w:tr>
      <w:tr>
        <w:trPr>
          <w:cantSplit/>
        </w:trPr>
        <w:tc>
          <w:tcPr>
            <w:tcW w:w="151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Employee user IDs and access logs</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HR / IAM</w:t>
            </w:r>
          </w:p>
        </w:tc>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Security and accountability</w:t>
            </w:r>
          </w:p>
        </w:tc>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Employment contract / legal obligation</w:t>
            </w:r>
          </w:p>
        </w:tc>
      </w:tr>
      <w:tr>
        <w:trPr>
          <w:cantSplit/>
        </w:trPr>
        <w:tc>
          <w:tcPr>
            <w:tcW w:w="151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Payment card PAN / bank OTP</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t>
            </w:r>
          </w:p>
        </w:tc>
        <w:tc>
          <w:tcPr>
            <w:tcW w:w="1655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Not collected by Advanta for Operator-billed VRBT</w:t>
            </w:r>
          </w:p>
        </w:tc>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Not collected</w:t>
            </w:r>
          </w:p>
        </w:tc>
      </w:tr>
      <w:tr>
        <w:trPr>
          <w:cantSplit/>
        </w:trPr>
        <w:tc>
          <w:tcPr>
            <w:tcW w:w="151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Precise location, contacts, photos, special-category data</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t>
            </w:r>
          </w:p>
        </w:tc>
        <w:tc>
          <w:tcPr>
            <w:tcW w:w="1655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Not required</w:t>
            </w:r>
          </w:p>
        </w:tc>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Not collected</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4. VRBT Privacy Statement (public-facing text)</w:t>
      </w: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ADVANTA AFRICA LTD — VRBT PRIVACY STATEMENT  ·  VERSION 1.0  ·  EFFECTIVE 1 AUGUST 2026</w:t>
            </w:r>
          </w:p>
          <w:p>
            <w:pPr>
              <w:spacing w:after="0"/>
              <w:jc w:val="both"/>
            </w:pPr>
            <w:r>
              <w:rPr>
                <w:rFonts w:ascii="Calibri" w:hAnsi="Calibri" w:eastAsia="Calibri"/>
                <w:b w:val="0"/>
                <w:i w:val="0"/>
                <w:caps w:val="0"/>
                <w:color w:val="1F2937"/>
                <w:sz w:val="20"/>
              </w:rPr>
              <w:t>This is the statement presented to the data subject before Advanta stores VRBT-related personal data. A short-form version appears on USSD (see AA-VRBT-AV-02). The long-form version is at www.advanta.africa/privacy-policy and is issued below for audit.</w:t>
            </w:r>
          </w:p>
        </w:tc>
      </w:tr>
    </w:tbl>
    <w:p>
      <w:pPr>
        <w:spacing w:after="160"/>
      </w:pPr>
    </w:p>
    <w:p>
      <w:pPr>
        <w:keepNext/>
        <w:spacing w:before="200" w:after="120"/>
      </w:pPr>
      <w:r>
        <w:rPr>
          <w:rFonts w:ascii="Calibri" w:hAnsi="Calibri" w:eastAsia="Calibri"/>
          <w:b/>
          <w:i w:val="0"/>
          <w:caps w:val="0"/>
          <w:color w:val="0E6B7A"/>
          <w:sz w:val="24"/>
        </w:rPr>
        <w:t>4.1 Who we are</w:t>
      </w:r>
    </w:p>
    <w:p>
      <w:pPr>
        <w:spacing w:after="160" w:before="0"/>
        <w:jc w:val="both"/>
      </w:pPr>
      <w:r>
        <w:rPr>
          <w:rFonts w:ascii="Calibri" w:hAnsi="Calibri" w:eastAsia="Calibri"/>
          <w:b w:val="0"/>
          <w:i w:val="0"/>
          <w:caps w:val="0"/>
          <w:color w:val="1F2937"/>
          <w:sz w:val="22"/>
        </w:rPr>
        <w:t>Advanta Africa Ltd, Western Heights, 6th Floor, Karuna Road, Westlands, Nairobi, Kenya, telephone +254 111 139 000, email privacy@advanta.africa, is a value-added services and messaging company. For Video Ring Back Tune (VRBT), we provide content operations and technical services in cooperation with Huawei Technologies and with your mobile-network operator. Your operator remains responsible for your mobile subscription. Our Data Protection Officer may be contacted at privacy@advanta.africa.</w:t>
      </w:r>
    </w:p>
    <w:p>
      <w:pPr>
        <w:keepNext/>
        <w:spacing w:before="200" w:after="120"/>
      </w:pPr>
      <w:r>
        <w:rPr>
          <w:rFonts w:ascii="Calibri" w:hAnsi="Calibri" w:eastAsia="Calibri"/>
          <w:b/>
          <w:i w:val="0"/>
          <w:caps w:val="0"/>
          <w:color w:val="0E6B7A"/>
          <w:sz w:val="24"/>
        </w:rPr>
        <w:t>4.2 What we collect and why</w:t>
      </w:r>
    </w:p>
    <w:p>
      <w:pPr>
        <w:spacing w:after="160" w:before="0"/>
        <w:jc w:val="both"/>
      </w:pPr>
      <w:r>
        <w:rPr>
          <w:rFonts w:ascii="Calibri" w:hAnsi="Calibri" w:eastAsia="Calibri"/>
          <w:b w:val="0"/>
          <w:i w:val="0"/>
          <w:caps w:val="0"/>
          <w:color w:val="1F2937"/>
          <w:sz w:val="22"/>
        </w:rPr>
        <w:t>If you subscribe to a VRBT, we process the mobile number used to subscribe, the tune you choose, time and channel of subscription and unsubscription, and technical data needed to play the video to callers on compatible devices. We use this information to provide the service you request, to charge only for services you accepted, to handle complaints, to meet Kenya law, and to meet our contracts with your operator and with Huawei. We do not sell, rent or trade your personal data.</w:t>
      </w:r>
    </w:p>
    <w:p>
      <w:pPr>
        <w:keepNext/>
        <w:spacing w:before="200" w:after="120"/>
      </w:pPr>
      <w:r>
        <w:rPr>
          <w:rFonts w:ascii="Calibri" w:hAnsi="Calibri" w:eastAsia="Calibri"/>
          <w:b/>
          <w:i w:val="0"/>
          <w:caps w:val="0"/>
          <w:color w:val="0E6B7A"/>
          <w:sz w:val="24"/>
        </w:rPr>
        <w:t>4.3 Consent</w:t>
      </w:r>
    </w:p>
    <w:p>
      <w:pPr>
        <w:spacing w:after="160" w:before="0"/>
        <w:jc w:val="both"/>
      </w:pPr>
      <w:r>
        <w:rPr>
          <w:rFonts w:ascii="Calibri" w:hAnsi="Calibri" w:eastAsia="Calibri"/>
          <w:b w:val="0"/>
          <w:i w:val="0"/>
          <w:caps w:val="0"/>
          <w:color w:val="1F2937"/>
          <w:sz w:val="22"/>
        </w:rPr>
        <w:t>We will show you a privacy notice and the price before you are subscribed. You must send a clear YES / ACCEPT (or equivalent Operator double opt-in). Silence, pre-ticked boxes or a marketing SMS alone are not consent. You may withdraw consent at any time by the unsubscribe command in the USSD menu, by sending the published STOP code, or by asking your operator. Withdrawal does not affect processing that was lawful before withdrawal. We keep a log of the notice version you accepted.</w:t>
      </w:r>
    </w:p>
    <w:p>
      <w:pPr>
        <w:keepNext/>
        <w:spacing w:before="200" w:after="120"/>
      </w:pPr>
      <w:r>
        <w:rPr>
          <w:rFonts w:ascii="Calibri" w:hAnsi="Calibri" w:eastAsia="Calibri"/>
          <w:b/>
          <w:i w:val="0"/>
          <w:caps w:val="0"/>
          <w:color w:val="0E6B7A"/>
          <w:sz w:val="24"/>
        </w:rPr>
        <w:t>4.4 Sharing</w:t>
      </w:r>
    </w:p>
    <w:p>
      <w:pPr>
        <w:spacing w:after="160" w:before="0"/>
        <w:jc w:val="both"/>
      </w:pPr>
      <w:r>
        <w:rPr>
          <w:rFonts w:ascii="Calibri" w:hAnsi="Calibri" w:eastAsia="Calibri"/>
          <w:b w:val="0"/>
          <w:i w:val="0"/>
          <w:caps w:val="0"/>
          <w:color w:val="1F2937"/>
          <w:sz w:val="22"/>
        </w:rPr>
        <w:t>We share data with your operator to bill and support the service, and with Huawei only as required to operate the VRBT platform under contract. We do not share Huawei-related or VRBT personal data with any other third party, and we do not publish it, unless Huawei has given prior written consent or Kenya law requires disclosure (for example a court order). If the law requires disclosure, we share the minimum and we record the request. Details: AA-VRBT-PP-4.1.3.</w:t>
      </w:r>
    </w:p>
    <w:p>
      <w:pPr>
        <w:keepNext/>
        <w:spacing w:before="200" w:after="120"/>
      </w:pPr>
      <w:r>
        <w:rPr>
          <w:rFonts w:ascii="Calibri" w:hAnsi="Calibri" w:eastAsia="Calibri"/>
          <w:b/>
          <w:i w:val="0"/>
          <w:caps w:val="0"/>
          <w:color w:val="0E6B7A"/>
          <w:sz w:val="24"/>
        </w:rPr>
        <w:t>4.5 Retention and deletion</w:t>
      </w:r>
    </w:p>
    <w:p>
      <w:pPr>
        <w:spacing w:after="160" w:before="0"/>
        <w:jc w:val="both"/>
      </w:pPr>
      <w:r>
        <w:rPr>
          <w:rFonts w:ascii="Calibri" w:hAnsi="Calibri" w:eastAsia="Calibri"/>
          <w:b w:val="0"/>
          <w:i w:val="0"/>
          <w:caps w:val="0"/>
          <w:color w:val="1F2937"/>
          <w:sz w:val="22"/>
        </w:rPr>
        <w:t>We keep subscription and consent logs only as long as needed to provide the service, resolve disputes and meet legal retention (see the schedule in AA-VRBT-PP-4.1.2). When the period expires, or if you successfully request deletion and no overriding legal duty applies, we delete or irreversibly anonymise the data. Deletion is logged.</w:t>
      </w:r>
    </w:p>
    <w:p>
      <w:pPr>
        <w:keepNext/>
        <w:spacing w:before="200" w:after="120"/>
      </w:pPr>
      <w:r>
        <w:rPr>
          <w:rFonts w:ascii="Calibri" w:hAnsi="Calibri" w:eastAsia="Calibri"/>
          <w:b/>
          <w:i w:val="0"/>
          <w:caps w:val="0"/>
          <w:color w:val="0E6B7A"/>
          <w:sz w:val="24"/>
        </w:rPr>
        <w:t>4.6 Cross-border transfer</w:t>
      </w:r>
    </w:p>
    <w:p>
      <w:pPr>
        <w:spacing w:after="160" w:before="0"/>
        <w:jc w:val="both"/>
      </w:pPr>
      <w:r>
        <w:rPr>
          <w:rFonts w:ascii="Calibri" w:hAnsi="Calibri" w:eastAsia="Calibri"/>
          <w:b w:val="0"/>
          <w:i w:val="0"/>
          <w:caps w:val="0"/>
          <w:color w:val="1F2937"/>
          <w:sz w:val="22"/>
        </w:rPr>
        <w:t>Some platform support may involve transfer of personal data outside Kenya (for example Huawei platform administration). We do so only with a signed cross-border transfer agreement, appropriate safeguards under the Data Protection Act 2019 ss. 48–49 and the 2021 General Regulations, and — where required — your informed consent. A serving copy of data processed in Kenya is retained in Kenya. Details: AA-VRBT-PP-4.1.5.</w:t>
      </w:r>
    </w:p>
    <w:p>
      <w:pPr>
        <w:keepNext/>
        <w:spacing w:before="200" w:after="120"/>
      </w:pPr>
      <w:r>
        <w:rPr>
          <w:rFonts w:ascii="Calibri" w:hAnsi="Calibri" w:eastAsia="Calibri"/>
          <w:b/>
          <w:i w:val="0"/>
          <w:caps w:val="0"/>
          <w:color w:val="0E6B7A"/>
          <w:sz w:val="24"/>
        </w:rPr>
        <w:t>4.7 Your rights</w:t>
      </w:r>
    </w:p>
    <w:p>
      <w:pPr>
        <w:spacing w:after="160" w:before="0"/>
        <w:jc w:val="both"/>
      </w:pPr>
      <w:r>
        <w:rPr>
          <w:rFonts w:ascii="Calibri" w:hAnsi="Calibri" w:eastAsia="Calibri"/>
          <w:b w:val="0"/>
          <w:i w:val="0"/>
          <w:caps w:val="0"/>
          <w:color w:val="1F2937"/>
          <w:sz w:val="22"/>
        </w:rPr>
        <w:t>You may request access, correction, deletion, restriction, objection, portability (where applicable), and withdrawal of consent, and you may complain to the Office of the Data Protection Commissioner (ODPC), Kenya. We will respond within the statutory period. Contact privacy@advanta.africa or +254 111 139 000. If you are an Operator subscriber, you may also use your Operator’s care channels; we will cooperate with the Operator to fulfil the request.</w:t>
      </w:r>
    </w:p>
    <w:p>
      <w:pPr>
        <w:keepNext/>
        <w:spacing w:before="200" w:after="120"/>
      </w:pPr>
      <w:r>
        <w:rPr>
          <w:rFonts w:ascii="Calibri" w:hAnsi="Calibri" w:eastAsia="Calibri"/>
          <w:b/>
          <w:i w:val="0"/>
          <w:caps w:val="0"/>
          <w:color w:val="0E6B7A"/>
          <w:sz w:val="24"/>
        </w:rPr>
        <w:t>4.8 Security</w:t>
      </w:r>
    </w:p>
    <w:p>
      <w:pPr>
        <w:spacing w:after="160" w:before="0"/>
        <w:jc w:val="both"/>
      </w:pPr>
      <w:r>
        <w:rPr>
          <w:rFonts w:ascii="Calibri" w:hAnsi="Calibri" w:eastAsia="Calibri"/>
          <w:b w:val="0"/>
          <w:i w:val="0"/>
          <w:caps w:val="0"/>
          <w:color w:val="1F2937"/>
          <w:sz w:val="22"/>
        </w:rPr>
        <w:t>We apply access control, encryption in transit, environment segregation, logging, staff vetting and training, and supplier due diligence. No method is perfect; we will notify you and the ODPC of a notifiable breach as required by law and by contract.</w:t>
      </w:r>
    </w:p>
    <w:p>
      <w:pPr>
        <w:keepNext/>
        <w:spacing w:before="200" w:after="120"/>
      </w:pPr>
      <w:r>
        <w:rPr>
          <w:rFonts w:ascii="Calibri" w:hAnsi="Calibri" w:eastAsia="Calibri"/>
          <w:b/>
          <w:i w:val="0"/>
          <w:caps w:val="0"/>
          <w:color w:val="0E6B7A"/>
          <w:sz w:val="24"/>
        </w:rPr>
        <w:t>4.9 Children</w:t>
      </w:r>
    </w:p>
    <w:p>
      <w:pPr>
        <w:spacing w:after="160" w:before="0"/>
        <w:jc w:val="both"/>
      </w:pPr>
      <w:r>
        <w:rPr>
          <w:rFonts w:ascii="Calibri" w:hAnsi="Calibri" w:eastAsia="Calibri"/>
          <w:b w:val="0"/>
          <w:i w:val="0"/>
          <w:caps w:val="0"/>
          <w:color w:val="1F2937"/>
          <w:sz w:val="22"/>
        </w:rPr>
        <w:t>VRBT subscriptions are intended for the account holder. We do not knowingly profile children. Content is reviewed to prohibit sexualisation of minors and other child-harmful material (AA-VRBT-QM-2.4.1).</w:t>
      </w:r>
    </w:p>
    <w:p>
      <w:pPr>
        <w:keepNext/>
        <w:spacing w:before="200" w:after="120"/>
      </w:pPr>
      <w:r>
        <w:rPr>
          <w:rFonts w:ascii="Calibri" w:hAnsi="Calibri" w:eastAsia="Calibri"/>
          <w:b/>
          <w:i w:val="0"/>
          <w:caps w:val="0"/>
          <w:color w:val="0E6B7A"/>
          <w:sz w:val="24"/>
        </w:rPr>
        <w:t>4.10 Changes to this statement</w:t>
      </w:r>
    </w:p>
    <w:p>
      <w:pPr>
        <w:spacing w:after="160" w:before="0"/>
        <w:jc w:val="both"/>
      </w:pPr>
      <w:r>
        <w:rPr>
          <w:rFonts w:ascii="Calibri" w:hAnsi="Calibri" w:eastAsia="Calibri"/>
          <w:b w:val="0"/>
          <w:i w:val="0"/>
          <w:caps w:val="0"/>
          <w:color w:val="1F2937"/>
          <w:sz w:val="22"/>
        </w:rPr>
        <w:t>If we make a material change (new purpose, new category of recipient, new cross-border destination, or a change that is less favourable to you), we will notify you through the service journey, by SMS to the MSISDN on the subscription, and by posting the new version with a new version number. We will ask you to accept again. If you do not accept, we will not apply the new purpose to you and we will stop the optional service where consent is the basis. Minor clarifications that do not change processing are posted with the version history and do not require re-consent.</w:t>
      </w:r>
    </w:p>
    <w:p>
      <w:pPr>
        <w:keepNext/>
        <w:spacing w:before="280" w:after="120"/>
        <w:pBdr>
          <w:bottom w:val="single" w:sz="10" w:space="4" w:color="B88A2E"/>
        </w:pBdr>
      </w:pPr>
      <w:r>
        <w:rPr>
          <w:rFonts w:ascii="Calibri" w:hAnsi="Calibri" w:eastAsia="Calibri"/>
          <w:b/>
          <w:i w:val="0"/>
          <w:caps w:val="0"/>
          <w:color w:val="122B4F"/>
          <w:sz w:val="28"/>
        </w:rPr>
        <w:t>5. How valid consent is obtained in practice</w:t>
      </w:r>
    </w:p>
    <w:p>
      <w:pPr>
        <w:keepNext/>
        <w:spacing w:before="200" w:after="120"/>
      </w:pPr>
      <w:r>
        <w:rPr>
          <w:rFonts w:ascii="Calibri" w:hAnsi="Calibri" w:eastAsia="Calibri"/>
          <w:b/>
          <w:i w:val="0"/>
          <w:caps w:val="0"/>
          <w:color w:val="0E6B7A"/>
          <w:sz w:val="24"/>
        </w:rPr>
        <w:t>5.1 USSD (primary VRBT channel)</w:t>
      </w:r>
    </w:p>
    <w:p>
      <w:pPr>
        <w:spacing w:after="80"/>
        <w:ind w:left="567" w:hanging="283"/>
      </w:pPr>
      <w:r>
        <w:rPr>
          <w:rFonts w:ascii="Calibri" w:hAnsi="Calibri" w:eastAsia="Calibri"/>
          <w:b w:val="0"/>
          <w:i w:val="0"/>
          <w:caps w:val="0"/>
          <w:color w:val="1F2937"/>
          <w:sz w:val="22"/>
        </w:rPr>
        <w:t>1.  Customer dials the published code (operator-allocated; currently designed as *860# or the Operator’s designated VRBT code).</w:t>
      </w:r>
    </w:p>
    <w:p>
      <w:pPr>
        <w:spacing w:after="80"/>
        <w:ind w:left="567" w:hanging="283"/>
      </w:pPr>
      <w:r>
        <w:rPr>
          <w:rFonts w:ascii="Calibri" w:hAnsi="Calibri" w:eastAsia="Calibri"/>
          <w:b w:val="0"/>
          <w:i w:val="0"/>
          <w:caps w:val="0"/>
          <w:color w:val="1F2937"/>
          <w:sz w:val="22"/>
        </w:rPr>
        <w:t>2.  Menu shows service name, price (including frequency if subscription), and a one-screen privacy notice with a link/USSD path to the full statement.</w:t>
      </w:r>
    </w:p>
    <w:p>
      <w:pPr>
        <w:spacing w:after="80"/>
        <w:ind w:left="567" w:hanging="283"/>
      </w:pPr>
      <w:r>
        <w:rPr>
          <w:rFonts w:ascii="Calibri" w:hAnsi="Calibri" w:eastAsia="Calibri"/>
          <w:b w:val="0"/>
          <w:i w:val="0"/>
          <w:caps w:val="0"/>
          <w:color w:val="1F2937"/>
          <w:sz w:val="22"/>
        </w:rPr>
        <w:t>3.  Customer selects a tune. A confirmation screen repeats price and “Personal data (your number, your choice of tune and time) will be processed as per the Privacy Statement v1.0. Reply 1 to ACCEPT or 2 to CANCEL.”</w:t>
      </w:r>
    </w:p>
    <w:p>
      <w:pPr>
        <w:spacing w:after="80"/>
        <w:ind w:left="567" w:hanging="283"/>
      </w:pPr>
      <w:r>
        <w:rPr>
          <w:rFonts w:ascii="Calibri" w:hAnsi="Calibri" w:eastAsia="Calibri"/>
          <w:b w:val="0"/>
          <w:i w:val="0"/>
          <w:caps w:val="0"/>
          <w:color w:val="1F2937"/>
          <w:sz w:val="22"/>
        </w:rPr>
        <w:t>4.  Only an explicit ACCEPT creates a subscription. The consent manager stores MSISDN (or Operator token), timestamp, channel, statement version, tariff presented, and content ID.</w:t>
      </w:r>
    </w:p>
    <w:p>
      <w:pPr>
        <w:spacing w:after="80"/>
        <w:ind w:left="567" w:hanging="283"/>
      </w:pPr>
      <w:r>
        <w:rPr>
          <w:rFonts w:ascii="Calibri" w:hAnsi="Calibri" w:eastAsia="Calibri"/>
          <w:b w:val="0"/>
          <w:i w:val="0"/>
          <w:caps w:val="0"/>
          <w:color w:val="1F2937"/>
          <w:sz w:val="22"/>
        </w:rPr>
        <w:t>5.  A confirmation message is sent. Unsubscribe is available on every journey (0 or STOP).</w:t>
      </w:r>
    </w:p>
    <w:p>
      <w:pPr>
        <w:keepNext/>
        <w:spacing w:before="200" w:after="120"/>
      </w:pPr>
      <w:r>
        <w:rPr>
          <w:rFonts w:ascii="Calibri" w:hAnsi="Calibri" w:eastAsia="Calibri"/>
          <w:b/>
          <w:i w:val="0"/>
          <w:caps w:val="0"/>
          <w:color w:val="0E6B7A"/>
          <w:sz w:val="24"/>
        </w:rPr>
        <w:t>5.2 App / web</w:t>
      </w:r>
    </w:p>
    <w:p>
      <w:pPr>
        <w:spacing w:after="160" w:before="0"/>
        <w:jc w:val="both"/>
      </w:pPr>
      <w:r>
        <w:rPr>
          <w:rFonts w:ascii="Calibri" w:hAnsi="Calibri" w:eastAsia="Calibri"/>
          <w:b w:val="0"/>
          <w:i w:val="0"/>
          <w:caps w:val="0"/>
          <w:color w:val="1F2937"/>
          <w:sz w:val="22"/>
        </w:rPr>
        <w:t>Unticked consent box, statement version displayed, ACCEPT button enabled only after scroll or expandable full text, same logging fields as USSD.</w:t>
      </w:r>
    </w:p>
    <w:p>
      <w:pPr>
        <w:keepNext/>
        <w:spacing w:before="200" w:after="120"/>
      </w:pPr>
      <w:r>
        <w:rPr>
          <w:rFonts w:ascii="Calibri" w:hAnsi="Calibri" w:eastAsia="Calibri"/>
          <w:b/>
          <w:i w:val="0"/>
          <w:caps w:val="0"/>
          <w:color w:val="0E6B7A"/>
          <w:sz w:val="24"/>
        </w:rPr>
        <w:t>5.3 Operator-collected consent</w:t>
      </w:r>
    </w:p>
    <w:p>
      <w:pPr>
        <w:spacing w:after="160" w:before="0"/>
        <w:jc w:val="both"/>
      </w:pPr>
      <w:r>
        <w:rPr>
          <w:rFonts w:ascii="Calibri" w:hAnsi="Calibri" w:eastAsia="Calibri"/>
          <w:b w:val="0"/>
          <w:i w:val="0"/>
          <w:caps w:val="0"/>
          <w:color w:val="1F2937"/>
          <w:sz w:val="22"/>
        </w:rPr>
        <w:t>Where the Operator is controller and sends Advanta a consent token, Advanta does not collect a second marketing consent but still presents Advanta’s processor notice at first Advanta-touch point where feasible, and will not process beyond the instruction.</w:t>
      </w:r>
    </w:p>
    <w:p>
      <w:pPr>
        <w:keepNext/>
        <w:spacing w:before="200" w:after="120"/>
      </w:pPr>
      <w:r>
        <w:rPr>
          <w:rFonts w:ascii="Calibri" w:hAnsi="Calibri" w:eastAsia="Calibri"/>
          <w:b/>
          <w:i w:val="0"/>
          <w:caps w:val="0"/>
          <w:color w:val="0E6B7A"/>
          <w:sz w:val="24"/>
        </w:rPr>
        <w:t>5.4 What is not valid consent</w:t>
      </w:r>
    </w:p>
    <w:p>
      <w:pPr>
        <w:spacing w:after="60" w:before="0"/>
        <w:ind w:left="567" w:hanging="227"/>
      </w:pPr>
      <w:r>
        <w:rPr>
          <w:rFonts w:ascii="Calibri" w:hAnsi="Calibri" w:eastAsia="Calibri"/>
          <w:b w:val="0"/>
          <w:i w:val="0"/>
          <w:caps w:val="0"/>
          <w:color w:val="1F2937"/>
          <w:sz w:val="22"/>
        </w:rPr>
        <w:t>•  Pre-ticked boxes, inactivity, payment of an unrelated service, or burying accept in general terms.</w:t>
      </w:r>
    </w:p>
    <w:p>
      <w:pPr>
        <w:spacing w:after="60" w:before="0"/>
        <w:ind w:left="567" w:hanging="227"/>
      </w:pPr>
      <w:r>
        <w:rPr>
          <w:rFonts w:ascii="Calibri" w:hAnsi="Calibri" w:eastAsia="Calibri"/>
          <w:b w:val="0"/>
          <w:i w:val="0"/>
          <w:caps w:val="0"/>
          <w:color w:val="1F2937"/>
          <w:sz w:val="22"/>
        </w:rPr>
        <w:t>•  Consent obtained by misleading price or by omitting that a subscription recurs.</w:t>
      </w:r>
    </w:p>
    <w:p>
      <w:pPr>
        <w:spacing w:after="60" w:before="0"/>
        <w:ind w:left="567" w:hanging="227"/>
      </w:pPr>
      <w:r>
        <w:rPr>
          <w:rFonts w:ascii="Calibri" w:hAnsi="Calibri" w:eastAsia="Calibri"/>
          <w:b w:val="0"/>
          <w:i w:val="0"/>
          <w:caps w:val="0"/>
          <w:color w:val="1F2937"/>
          <w:sz w:val="22"/>
        </w:rPr>
        <w:t>•  Consent from a child where the account holder has not authorised the service.</w:t>
      </w:r>
    </w:p>
    <w:p>
      <w:pPr>
        <w:spacing w:after="60" w:before="0"/>
        <w:ind w:left="567" w:hanging="227"/>
      </w:pPr>
      <w:r>
        <w:rPr>
          <w:rFonts w:ascii="Calibri" w:hAnsi="Calibri" w:eastAsia="Calibri"/>
          <w:b w:val="0"/>
          <w:i w:val="0"/>
          <w:caps w:val="0"/>
          <w:color w:val="1F2937"/>
          <w:sz w:val="22"/>
        </w:rPr>
        <w:t>•  Continuing to process for a new purpose after a material statement change without a new ACCEPT.</w:t>
      </w:r>
    </w:p>
    <w:p>
      <w:pPr>
        <w:keepNext/>
        <w:spacing w:before="280" w:after="120"/>
        <w:pBdr>
          <w:bottom w:val="single" w:sz="10" w:space="4" w:color="B88A2E"/>
        </w:pBdr>
      </w:pPr>
      <w:r>
        <w:rPr>
          <w:rFonts w:ascii="Calibri" w:hAnsi="Calibri" w:eastAsia="Calibri"/>
          <w:b/>
          <w:i w:val="0"/>
          <w:caps w:val="0"/>
          <w:color w:val="122B4F"/>
          <w:sz w:val="28"/>
        </w:rPr>
        <w:t>6. Update and re-consent procedure</w:t>
      </w:r>
    </w:p>
    <w:p>
      <w:pPr>
        <w:spacing w:after="80"/>
        <w:ind w:left="567" w:hanging="283"/>
      </w:pPr>
      <w:r>
        <w:rPr>
          <w:rFonts w:ascii="Calibri" w:hAnsi="Calibri" w:eastAsia="Calibri"/>
          <w:b w:val="0"/>
          <w:i w:val="0"/>
          <w:caps w:val="0"/>
          <w:color w:val="1F2937"/>
          <w:sz w:val="22"/>
        </w:rPr>
        <w:t>1.  DPO drafts the new statement, records whether the change is material, and obtains QMRP/Legal/Huawei-contract check.</w:t>
      </w:r>
    </w:p>
    <w:p>
      <w:pPr>
        <w:spacing w:after="80"/>
        <w:ind w:left="567" w:hanging="283"/>
      </w:pPr>
      <w:r>
        <w:rPr>
          <w:rFonts w:ascii="Calibri" w:hAnsi="Calibri" w:eastAsia="Calibri"/>
          <w:b w:val="0"/>
          <w:i w:val="0"/>
          <w:caps w:val="0"/>
          <w:color w:val="1F2937"/>
          <w:sz w:val="22"/>
        </w:rPr>
        <w:t>2.  Change raised under AA-VRBT-QM-2.4.2 (privacy class).</w:t>
      </w:r>
    </w:p>
    <w:p>
      <w:pPr>
        <w:spacing w:after="80"/>
        <w:ind w:left="567" w:hanging="283"/>
      </w:pPr>
      <w:r>
        <w:rPr>
          <w:rFonts w:ascii="Calibri" w:hAnsi="Calibri" w:eastAsia="Calibri"/>
          <w:b w:val="0"/>
          <w:i w:val="0"/>
          <w:caps w:val="0"/>
          <w:color w:val="1F2937"/>
          <w:sz w:val="22"/>
        </w:rPr>
        <w:t>3.  Effective date set at least seven (7) days after first notification unless a regulator requires faster action.</w:t>
      </w:r>
    </w:p>
    <w:p>
      <w:pPr>
        <w:spacing w:after="80"/>
        <w:ind w:left="567" w:hanging="283"/>
      </w:pPr>
      <w:r>
        <w:rPr>
          <w:rFonts w:ascii="Calibri" w:hAnsi="Calibri" w:eastAsia="Calibri"/>
          <w:b w:val="0"/>
          <w:i w:val="0"/>
          <w:caps w:val="0"/>
          <w:color w:val="1F2937"/>
          <w:sz w:val="22"/>
        </w:rPr>
        <w:t>4.  Effective means of notice: (a) SMS to all active VRBT MSISDNs; (b) blocking interstitial on USSD/app until ACCEPT or CANCEL; (c) website posting; (d) Operator care brief.</w:t>
      </w:r>
    </w:p>
    <w:p>
      <w:pPr>
        <w:spacing w:after="80"/>
        <w:ind w:left="567" w:hanging="283"/>
      </w:pPr>
      <w:r>
        <w:rPr>
          <w:rFonts w:ascii="Calibri" w:hAnsi="Calibri" w:eastAsia="Calibri"/>
          <w:b w:val="0"/>
          <w:i w:val="0"/>
          <w:caps w:val="0"/>
          <w:color w:val="1F2937"/>
          <w:sz w:val="22"/>
        </w:rPr>
        <w:t>5.  Consent manager increments statement version. Old version IDs remain on historic logs.</w:t>
      </w:r>
    </w:p>
    <w:p>
      <w:pPr>
        <w:spacing w:after="80"/>
        <w:ind w:left="567" w:hanging="283"/>
      </w:pPr>
      <w:r>
        <w:rPr>
          <w:rFonts w:ascii="Calibri" w:hAnsi="Calibri" w:eastAsia="Calibri"/>
          <w:b w:val="0"/>
          <w:i w:val="0"/>
          <w:caps w:val="0"/>
          <w:color w:val="1F2937"/>
          <w:sz w:val="22"/>
        </w:rPr>
        <w:t>6.  If the subscriber CANCELS or ignores a material-change interstitial beyond the grace period, optional processing stops; the Operator is instructed to cease charging the Advanta VRBT product.</w:t>
      </w:r>
    </w:p>
    <w:p>
      <w:pPr>
        <w:spacing w:after="80"/>
        <w:ind w:left="567" w:hanging="283"/>
      </w:pPr>
      <w:r>
        <w:rPr>
          <w:rFonts w:ascii="Calibri" w:hAnsi="Calibri" w:eastAsia="Calibri"/>
          <w:b w:val="0"/>
          <w:i w:val="0"/>
          <w:caps w:val="0"/>
          <w:color w:val="1F2937"/>
          <w:sz w:val="22"/>
        </w:rPr>
        <w:t>7.  Evidence pack: copies of SMS, screenshots of interstitial, volume of ACCEPT/CANCEL, and Huawei notification if their processing description changed.</w:t>
      </w:r>
    </w:p>
    <w:p>
      <w:pPr>
        <w:keepNext/>
        <w:spacing w:before="280" w:after="120"/>
        <w:pBdr>
          <w:bottom w:val="single" w:sz="10" w:space="4" w:color="B88A2E"/>
        </w:pBdr>
      </w:pPr>
      <w:r>
        <w:rPr>
          <w:rFonts w:ascii="Calibri" w:hAnsi="Calibri" w:eastAsia="Calibri"/>
          <w:b/>
          <w:i w:val="0"/>
          <w:caps w:val="0"/>
          <w:color w:val="122B4F"/>
          <w:sz w:val="28"/>
        </w:rPr>
        <w:t>7. Contract alignment (Huawei business requirements)</w:t>
      </w:r>
    </w:p>
    <w:p>
      <w:pPr>
        <w:spacing w:after="160" w:before="0"/>
        <w:jc w:val="both"/>
      </w:pPr>
      <w:r>
        <w:rPr>
          <w:rFonts w:ascii="Calibri" w:hAnsi="Calibri" w:eastAsia="Calibri"/>
          <w:b w:val="0"/>
          <w:i w:val="0"/>
          <w:caps w:val="0"/>
          <w:color w:val="1F2937"/>
          <w:sz w:val="22"/>
        </w:rPr>
        <w:t>Advanta’s Huawei cooperation terms require that personal data be processed lawfully, fairly and transparently; that Advanta be able to demonstrate consent or other lawful basis; and that Huawei be informed of processing descriptions that affect the platform. This statement, the consent logs and the ROPA (AA-VRBT-PP-4.1.4) are the demonstration. Advanta will not enable a VRBT feature that collects additional personal data until this statement is updated and, if material, re-consented.</w:t>
      </w:r>
    </w:p>
    <w:p>
      <w:pPr>
        <w:keepNext/>
        <w:spacing w:before="280" w:after="120"/>
        <w:pBdr>
          <w:bottom w:val="single" w:sz="10" w:space="4" w:color="B88A2E"/>
        </w:pBdr>
      </w:pPr>
      <w:r>
        <w:rPr>
          <w:rFonts w:ascii="Calibri" w:hAnsi="Calibri" w:eastAsia="Calibri"/>
          <w:b/>
          <w:i w:val="0"/>
          <w:caps w:val="0"/>
          <w:color w:val="122B4F"/>
          <w:sz w:val="28"/>
        </w:rPr>
        <w:t>8. Specimen consent log (fields)</w:t>
      </w:r>
    </w:p>
    <w:tbl>
      <w:tblPr>
        <w:jc w:val="center"/>
        <w:tblLayout w:type="fixed"/>
        <w:tblLook w:firstColumn="1" w:firstRow="1" w:lastColumn="0" w:lastRow="0" w:noHBand="0" w:noVBand="1" w:val="04A0"/>
        <w:tblW w:w="6120000" w:type="dxa"/>
      </w:tblPr>
      <w:tblGrid>
        <w:gridCol w:w="936000"/>
        <w:gridCol w:w="864000"/>
        <w:gridCol w:w="864000"/>
        <w:gridCol w:w="792000"/>
        <w:gridCol w:w="864000"/>
        <w:gridCol w:w="648000"/>
        <w:gridCol w:w="1152000"/>
      </w:tblGrid>
      <w:tr>
        <w:trPr>
          <w:cantSplit/>
        </w:trPr>
        <w:tc>
          <w:tcPr>
            <w:tcW w:w="93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consent_id</w:t>
            </w:r>
          </w:p>
        </w:tc>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msisdn_token</w:t>
            </w:r>
          </w:p>
        </w:tc>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channel</w:t>
            </w:r>
          </w:p>
        </w:tc>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statement_ver</w:t>
            </w:r>
          </w:p>
        </w:tc>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tariff_shown</w:t>
            </w:r>
          </w:p>
        </w:tc>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action</w:t>
            </w:r>
          </w:p>
        </w:tc>
        <w:tc>
          <w:tcPr>
            <w:tcW w:w="115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timestamp_eat</w:t>
            </w:r>
          </w:p>
        </w:tc>
      </w:tr>
      <w:tr>
        <w:trPr>
          <w:cantSplit/>
        </w:trPr>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CN-2026-000441</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hash-a91c…</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USSD *860#</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KES X / day</w:t>
            </w:r>
          </w:p>
        </w:tc>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ACCEPT</w:t>
            </w:r>
          </w:p>
        </w:tc>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2026-08-12 09:14:22</w:t>
            </w:r>
          </w:p>
        </w:tc>
      </w:tr>
      <w:tr>
        <w:trPr>
          <w:cantSplit/>
        </w:trPr>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CN-2026-000442</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hash-b22e…</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USSD *860#</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KES X / day</w:t>
            </w:r>
          </w:p>
        </w:tc>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CANCEL</w:t>
            </w:r>
          </w:p>
        </w:tc>
        <w:tc>
          <w:tcPr>
            <w:tcW w:w="115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2026-08-12 09:16:01</w:t>
            </w:r>
          </w:p>
        </w:tc>
      </w:tr>
    </w:tbl>
    <w:p>
      <w:pPr>
        <w:spacing w:after="160"/>
      </w:pPr>
    </w:p>
    <w:p>
      <w:pPr>
        <w:spacing w:after="160" w:before="0"/>
        <w:jc w:val="both"/>
      </w:pPr>
      <w:r>
        <w:rPr>
          <w:rFonts w:ascii="Calibri" w:hAnsi="Calibri" w:eastAsia="Calibri"/>
          <w:b w:val="0"/>
          <w:i/>
          <w:caps w:val="0"/>
          <w:color w:val="1F2937"/>
          <w:sz w:val="22"/>
        </w:rPr>
        <w:t>Live MSISDNs are not reproduced in this audit file. On-site inspection may view the consent manager with minimised display.</w:t>
      </w: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Data Protection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PP 4.1.1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AA-VRBT-PP-4.1.1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