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VRBT Marketing and Review Manual</w:t>
      </w:r>
    </w:p>
    <w:p>
      <w:pPr>
        <w:spacing w:after="280"/>
        <w:jc w:val="center"/>
      </w:pPr>
      <w:r>
        <w:rPr>
          <w:rFonts w:ascii="Calibri" w:hAnsi="Calibri" w:eastAsia="Calibri"/>
          <w:b w:val="0"/>
          <w:i/>
          <w:caps w:val="0"/>
          <w:color w:val="0E6B7A"/>
          <w:sz w:val="24"/>
        </w:rPr>
        <w:t>How Advanta Africa markets VRBT content and how every item is reviewed before the public sees it</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AA-VRBT-AV-03</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Audio and Video  ·  Working note: “Manual — how to market &amp; review”</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Operational manual for marketing staff, content partners, reviewers and customer care.</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Purpose of this manual</w:t>
      </w:r>
    </w:p>
    <w:p>
      <w:pPr>
        <w:spacing w:after="160" w:before="0"/>
        <w:jc w:val="both"/>
      </w:pPr>
      <w:r>
        <w:rPr>
          <w:rFonts w:ascii="Calibri" w:hAnsi="Calibri" w:eastAsia="Calibri"/>
          <w:b w:val="0"/>
          <w:i w:val="0"/>
          <w:caps w:val="0"/>
          <w:color w:val="1F2937"/>
          <w:sz w:val="22"/>
        </w:rPr>
        <w:t>This manual tells staff and partners how to market Video Ring Back Tunes and how to review them. It is written for daily use. It does not replace the controlled policies (quality organisation, change management, privacy, licensing and the detailed review procedure AA-VRBT-AV-04); it points to them and sets the working rules.</w:t>
      </w:r>
    </w:p>
    <w:p>
      <w:pPr>
        <w:keepNext/>
        <w:spacing w:before="280" w:after="120"/>
        <w:pBdr>
          <w:bottom w:val="single" w:sz="10" w:space="4" w:color="B88A2E"/>
        </w:pBdr>
      </w:pPr>
      <w:r>
        <w:rPr>
          <w:rFonts w:ascii="Calibri" w:hAnsi="Calibri" w:eastAsia="Calibri"/>
          <w:b/>
          <w:i w:val="0"/>
          <w:caps w:val="0"/>
          <w:color w:val="122B4F"/>
          <w:sz w:val="28"/>
        </w:rPr>
        <w:t>2. What we are selling</w:t>
      </w:r>
    </w:p>
    <w:p>
      <w:pPr>
        <w:spacing w:after="160" w:before="0"/>
        <w:jc w:val="both"/>
      </w:pPr>
      <w:r>
        <w:rPr>
          <w:rFonts w:ascii="Calibri" w:hAnsi="Calibri" w:eastAsia="Calibri"/>
          <w:b w:val="0"/>
          <w:i w:val="0"/>
          <w:caps w:val="0"/>
          <w:color w:val="1F2937"/>
          <w:sz w:val="22"/>
        </w:rPr>
        <w:t>VRBT is a short video that plays to someone who calls a subscriber, while the phone is ringing. It is the video evolution of corporate and consumer caller tunes already operated by Advanta. It is not a full social network, not a live TV channel, and not a silent opt-in. Compatible devices and the USSD or app journey are part of the truth we must tell in every advert.</w:t>
      </w:r>
    </w:p>
    <w:p>
      <w:pPr>
        <w:keepNext/>
        <w:spacing w:before="280" w:after="120"/>
        <w:pBdr>
          <w:bottom w:val="single" w:sz="10" w:space="4" w:color="B88A2E"/>
        </w:pBdr>
      </w:pPr>
      <w:r>
        <w:rPr>
          <w:rFonts w:ascii="Calibri" w:hAnsi="Calibri" w:eastAsia="Calibri"/>
          <w:b/>
          <w:i w:val="0"/>
          <w:caps w:val="0"/>
          <w:color w:val="122B4F"/>
          <w:sz w:val="28"/>
        </w:rPr>
        <w:t>Part I — How to market</w:t>
      </w:r>
    </w:p>
    <w:p>
      <w:pPr>
        <w:keepNext/>
        <w:spacing w:before="200" w:after="120"/>
      </w:pPr>
      <w:r>
        <w:rPr>
          <w:rFonts w:ascii="Calibri" w:hAnsi="Calibri" w:eastAsia="Calibri"/>
          <w:b/>
          <w:i w:val="0"/>
          <w:caps w:val="0"/>
          <w:color w:val="0E6B7A"/>
          <w:sz w:val="24"/>
        </w:rPr>
        <w:t>3. Marketing principles</w:t>
      </w:r>
    </w:p>
    <w:p>
      <w:pPr>
        <w:spacing w:after="80"/>
        <w:ind w:left="567" w:hanging="283"/>
      </w:pPr>
      <w:r>
        <w:rPr>
          <w:rFonts w:ascii="Calibri" w:hAnsi="Calibri" w:eastAsia="Calibri"/>
          <w:b w:val="0"/>
          <w:i w:val="0"/>
          <w:caps w:val="0"/>
          <w:color w:val="1F2937"/>
          <w:sz w:val="22"/>
        </w:rPr>
        <w:t>1.  Truth. Do not claim a video will play on all phones if it will not. Name compatible families or “select devices” as the Operator publishes.</w:t>
      </w:r>
    </w:p>
    <w:p>
      <w:pPr>
        <w:spacing w:after="80"/>
        <w:ind w:left="567" w:hanging="283"/>
      </w:pPr>
      <w:r>
        <w:rPr>
          <w:rFonts w:ascii="Calibri" w:hAnsi="Calibri" w:eastAsia="Calibri"/>
          <w:b w:val="0"/>
          <w:i w:val="0"/>
          <w:caps w:val="0"/>
          <w:color w:val="1F2937"/>
          <w:sz w:val="22"/>
        </w:rPr>
        <w:t>2.  Price. Every call to action that can start a paid subscription must state the price and that it is recurring until stopped, in a prominence comparable to the number or URL (CA advertising rules).</w:t>
      </w:r>
    </w:p>
    <w:p>
      <w:pPr>
        <w:spacing w:after="80"/>
        <w:ind w:left="567" w:hanging="283"/>
      </w:pPr>
      <w:r>
        <w:rPr>
          <w:rFonts w:ascii="Calibri" w:hAnsi="Calibri" w:eastAsia="Calibri"/>
          <w:b w:val="0"/>
          <w:i w:val="0"/>
          <w:caps w:val="0"/>
          <w:color w:val="1F2937"/>
          <w:sz w:val="22"/>
        </w:rPr>
        <w:t>3.  Consent. Marketing may invite a person to dial *860# (or the Operator code). Marketing must not itself subscribe them. No pre-checked web forms.</w:t>
      </w:r>
    </w:p>
    <w:p>
      <w:pPr>
        <w:spacing w:after="80"/>
        <w:ind w:left="567" w:hanging="283"/>
      </w:pPr>
      <w:r>
        <w:rPr>
          <w:rFonts w:ascii="Calibri" w:hAnsi="Calibri" w:eastAsia="Calibri"/>
          <w:b w:val="0"/>
          <w:i w:val="0"/>
          <w:caps w:val="0"/>
          <w:color w:val="1F2937"/>
          <w:sz w:val="22"/>
        </w:rPr>
        <w:t>4.  Time window. Unsolicited SMS marketing only 07:00–19:00 EAT unless the customer initiated at another time or gave express consent for other hours.</w:t>
      </w:r>
    </w:p>
    <w:p>
      <w:pPr>
        <w:spacing w:after="80"/>
        <w:ind w:left="567" w:hanging="283"/>
      </w:pPr>
      <w:r>
        <w:rPr>
          <w:rFonts w:ascii="Calibri" w:hAnsi="Calibri" w:eastAsia="Calibri"/>
          <w:b w:val="0"/>
          <w:i w:val="0"/>
          <w:caps w:val="0"/>
          <w:color w:val="1F2937"/>
          <w:sz w:val="22"/>
        </w:rPr>
        <w:t>5.  STOP. Every marketing SMS includes an opt-out. Honour it against the suppression list.</w:t>
      </w:r>
    </w:p>
    <w:p>
      <w:pPr>
        <w:spacing w:after="80"/>
        <w:ind w:left="567" w:hanging="283"/>
      </w:pPr>
      <w:r>
        <w:rPr>
          <w:rFonts w:ascii="Calibri" w:hAnsi="Calibri" w:eastAsia="Calibri"/>
          <w:b w:val="0"/>
          <w:i w:val="0"/>
          <w:caps w:val="0"/>
          <w:color w:val="1F2937"/>
          <w:sz w:val="22"/>
        </w:rPr>
        <w:t>6.  Minors. Do not target children. Do not use sexualised imagery of anyone who appears under 25 in advertising, even if the talent is an adult.</w:t>
      </w:r>
    </w:p>
    <w:p>
      <w:pPr>
        <w:spacing w:after="80"/>
        <w:ind w:left="567" w:hanging="283"/>
      </w:pPr>
      <w:r>
        <w:rPr>
          <w:rFonts w:ascii="Calibri" w:hAnsi="Calibri" w:eastAsia="Calibri"/>
          <w:b w:val="0"/>
          <w:i w:val="0"/>
          <w:caps w:val="0"/>
          <w:color w:val="1F2937"/>
          <w:sz w:val="22"/>
        </w:rPr>
        <w:t>7.  Culture and faith. Do not mock religion, ethnicity, or sacred symbols in ads. Humour is allowed; contempt is not.</w:t>
      </w:r>
    </w:p>
    <w:p>
      <w:pPr>
        <w:spacing w:after="80"/>
        <w:ind w:left="567" w:hanging="283"/>
      </w:pPr>
      <w:r>
        <w:rPr>
          <w:rFonts w:ascii="Calibri" w:hAnsi="Calibri" w:eastAsia="Calibri"/>
          <w:b w:val="0"/>
          <w:i w:val="0"/>
          <w:caps w:val="0"/>
          <w:color w:val="1F2937"/>
          <w:sz w:val="22"/>
        </w:rPr>
        <w:t>8.  Huawei and Operator brands. Use only approved marks. Do not disclose Huawei personal data or internal metrics in public marketing (AA-VRBT-PP-4.1.3).</w:t>
      </w:r>
    </w:p>
    <w:p>
      <w:pPr>
        <w:spacing w:after="80"/>
        <w:ind w:left="567" w:hanging="283"/>
      </w:pPr>
      <w:r>
        <w:rPr>
          <w:rFonts w:ascii="Calibri" w:hAnsi="Calibri" w:eastAsia="Calibri"/>
          <w:b w:val="0"/>
          <w:i w:val="0"/>
          <w:caps w:val="0"/>
          <w:color w:val="1F2937"/>
          <w:sz w:val="22"/>
        </w:rPr>
        <w:t>9.  Partners. Influencers must use the same price and consent rules; they need a written brief; they must not imply the Operator “gave them your number”.</w:t>
      </w:r>
    </w:p>
    <w:p>
      <w:pPr>
        <w:spacing w:after="80"/>
        <w:ind w:left="567" w:hanging="283"/>
      </w:pPr>
      <w:r>
        <w:rPr>
          <w:rFonts w:ascii="Calibri" w:hAnsi="Calibri" w:eastAsia="Calibri"/>
          <w:b w:val="0"/>
          <w:i w:val="0"/>
          <w:caps w:val="0"/>
          <w:color w:val="1F2937"/>
          <w:sz w:val="22"/>
        </w:rPr>
        <w:t>10.  Evidence. Keep a copy of every creative, the approval ID, and the media plan for six (6) years.</w:t>
      </w:r>
    </w:p>
    <w:p>
      <w:pPr>
        <w:keepNext/>
        <w:spacing w:before="200" w:after="120"/>
      </w:pPr>
      <w:r>
        <w:rPr>
          <w:rFonts w:ascii="Calibri" w:hAnsi="Calibri" w:eastAsia="Calibri"/>
          <w:b/>
          <w:i w:val="0"/>
          <w:caps w:val="0"/>
          <w:color w:val="0E6B7A"/>
          <w:sz w:val="24"/>
        </w:rPr>
        <w:t>4. Allowed and forbidden claims</w:t>
      </w:r>
    </w:p>
    <w:tbl>
      <w:tblPr>
        <w:jc w:val="center"/>
        <w:tblLayout w:type="fixed"/>
        <w:tblLook w:firstColumn="1" w:firstRow="1" w:lastColumn="0" w:lastRow="0" w:noHBand="0" w:noVBand="1" w:val="04A0"/>
        <w:tblW w:w="6120000" w:type="dxa"/>
      </w:tblPr>
      <w:tblGrid>
        <w:gridCol w:w="3060000"/>
        <w:gridCol w:w="3060000"/>
      </w:tblGrid>
      <w:tr>
        <w:trPr>
          <w:cantSplit/>
        </w:trPr>
        <w:tc>
          <w:tcPr>
            <w:tcW w:w="306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Allowed</w:t>
            </w:r>
          </w:p>
        </w:tc>
        <w:tc>
          <w:tcPr>
            <w:tcW w:w="306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Forbidden</w:t>
            </w:r>
          </w:p>
        </w:tc>
      </w:tr>
      <w:tr>
        <w:trPr>
          <w:cantSplit/>
        </w:trPr>
        <w:tc>
          <w:tcPr>
            <w:tcW w:w="30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“Dial *860# to choose a video caller tune. KES X/day. Stop any time.”</w:t>
            </w:r>
          </w:p>
        </w:tc>
        <w:tc>
          <w:tcPr>
            <w:tcW w:w="30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“Free forever” if it is not; “works on every Kenyan phone” if untrue</w:t>
            </w:r>
          </w:p>
        </w:tc>
      </w:tr>
      <w:tr>
        <w:trPr>
          <w:cantSplit/>
        </w:trPr>
        <w:tc>
          <w:tcPr>
            <w:tcW w:w="30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“Selected Neon, Samsung, OPPO, Redmi models; more coming.”</w:t>
            </w:r>
          </w:p>
        </w:tc>
        <w:tc>
          <w:tcPr>
            <w:tcW w:w="30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Showing a competitor Operator’s UI as if it were ours</w:t>
            </w:r>
          </w:p>
        </w:tc>
      </w:tr>
      <w:tr>
        <w:trPr>
          <w:cantSplit/>
        </w:trPr>
        <w:tc>
          <w:tcPr>
            <w:tcW w:w="30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Artist-authorised stills from a licensed clip</w:t>
            </w:r>
          </w:p>
        </w:tc>
        <w:tc>
          <w:tcPr>
            <w:tcW w:w="30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Uncleared music, football footage, or a private person’s photo</w:t>
            </w:r>
          </w:p>
        </w:tc>
      </w:tr>
      <w:tr>
        <w:trPr>
          <w:cantSplit/>
        </w:trPr>
        <w:tc>
          <w:tcPr>
            <w:tcW w:w="30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“Platform technology by Huawei” if the contract allows the credit</w:t>
            </w:r>
          </w:p>
        </w:tc>
        <w:tc>
          <w:tcPr>
            <w:tcW w:w="30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Publishing Huawei staff names, emails or subscriber lists</w:t>
            </w:r>
          </w:p>
        </w:tc>
      </w:tr>
    </w:tbl>
    <w:p>
      <w:pPr>
        <w:spacing w:after="160"/>
      </w:pPr>
    </w:p>
    <w:p>
      <w:pPr>
        <w:keepNext/>
        <w:spacing w:before="200" w:after="120"/>
      </w:pPr>
      <w:r>
        <w:rPr>
          <w:rFonts w:ascii="Calibri" w:hAnsi="Calibri" w:eastAsia="Calibri"/>
          <w:b/>
          <w:i w:val="0"/>
          <w:caps w:val="0"/>
          <w:color w:val="0E6B7A"/>
          <w:sz w:val="24"/>
        </w:rPr>
        <w:t>5. Marketing channels and extra rules</w:t>
      </w:r>
    </w:p>
    <w:p>
      <w:pPr>
        <w:spacing w:after="60" w:before="0"/>
        <w:ind w:left="567" w:hanging="227"/>
      </w:pPr>
      <w:r>
        <w:rPr>
          <w:rFonts w:ascii="Calibri" w:hAnsi="Calibri" w:eastAsia="Calibri"/>
          <w:b w:val="0"/>
          <w:i w:val="0"/>
          <w:caps w:val="0"/>
          <w:color w:val="1F2937"/>
          <w:sz w:val="22"/>
        </w:rPr>
        <w:t>•  USSD: follow AA-VRBT-AV-02 only; no extra promotional screens that hide price.</w:t>
      </w:r>
    </w:p>
    <w:p>
      <w:pPr>
        <w:spacing w:after="60" w:before="0"/>
        <w:ind w:left="567" w:hanging="227"/>
      </w:pPr>
      <w:r>
        <w:rPr>
          <w:rFonts w:ascii="Calibri" w:hAnsi="Calibri" w:eastAsia="Calibri"/>
          <w:b w:val="0"/>
          <w:i w:val="0"/>
          <w:caps w:val="0"/>
          <w:color w:val="1F2937"/>
          <w:sz w:val="22"/>
        </w:rPr>
        <w:t>•  SMS: CA window; Sender ID approved; one product per message unless price remains clear.</w:t>
      </w:r>
    </w:p>
    <w:p>
      <w:pPr>
        <w:spacing w:after="60" w:before="0"/>
        <w:ind w:left="567" w:hanging="227"/>
      </w:pPr>
      <w:r>
        <w:rPr>
          <w:rFonts w:ascii="Calibri" w:hAnsi="Calibri" w:eastAsia="Calibri"/>
          <w:b w:val="0"/>
          <w:i w:val="0"/>
          <w:caps w:val="0"/>
          <w:color w:val="1F2937"/>
          <w:sz w:val="22"/>
        </w:rPr>
        <w:t>•  Radio/TV/print: tariff 75% prominence rule as applied by CA guidelines relative to the short code.</w:t>
      </w:r>
    </w:p>
    <w:p>
      <w:pPr>
        <w:spacing w:after="60" w:before="0"/>
        <w:ind w:left="567" w:hanging="227"/>
      </w:pPr>
      <w:r>
        <w:rPr>
          <w:rFonts w:ascii="Calibri" w:hAnsi="Calibri" w:eastAsia="Calibri"/>
          <w:b w:val="0"/>
          <w:i w:val="0"/>
          <w:caps w:val="0"/>
          <w:color w:val="1F2937"/>
          <w:sz w:val="22"/>
        </w:rPr>
        <w:t>•  Social: paid ads must geo-target 18+; comments that reveal a subscriber’s number must be hidden and reported.</w:t>
      </w:r>
    </w:p>
    <w:p>
      <w:pPr>
        <w:spacing w:after="60" w:before="0"/>
        <w:ind w:left="567" w:hanging="227"/>
      </w:pPr>
      <w:r>
        <w:rPr>
          <w:rFonts w:ascii="Calibri" w:hAnsi="Calibri" w:eastAsia="Calibri"/>
          <w:b w:val="0"/>
          <w:i w:val="0"/>
          <w:caps w:val="0"/>
          <w:color w:val="1F2937"/>
          <w:sz w:val="22"/>
        </w:rPr>
        <w:t>•  Retail / below-the-line: agents may demonstrate on a company device; they may not take a customer’s phone and subscribe it for them without the customer pressing ACCEPT.</w:t>
      </w:r>
    </w:p>
    <w:p>
      <w:pPr>
        <w:spacing w:after="60" w:before="0"/>
        <w:ind w:left="567" w:hanging="227"/>
      </w:pPr>
      <w:r>
        <w:rPr>
          <w:rFonts w:ascii="Calibri" w:hAnsi="Calibri" w:eastAsia="Calibri"/>
          <w:b w:val="0"/>
          <w:i w:val="0"/>
          <w:caps w:val="0"/>
          <w:color w:val="1F2937"/>
          <w:sz w:val="22"/>
        </w:rPr>
        <w:t>•  Enterprise / corporate VRBT: B2B contract plus notice to employees of the corporate customer if their calling line will play a brand video.</w:t>
      </w:r>
    </w:p>
    <w:p>
      <w:pPr>
        <w:keepNext/>
        <w:spacing w:before="200" w:after="120"/>
      </w:pPr>
      <w:r>
        <w:rPr>
          <w:rFonts w:ascii="Calibri" w:hAnsi="Calibri" w:eastAsia="Calibri"/>
          <w:b/>
          <w:i w:val="0"/>
          <w:caps w:val="0"/>
          <w:color w:val="0E6B7A"/>
          <w:sz w:val="24"/>
        </w:rPr>
        <w:t>6. Marketing approval path</w:t>
      </w:r>
    </w:p>
    <w:p>
      <w:pPr>
        <w:spacing w:after="80"/>
        <w:ind w:left="567" w:hanging="283"/>
      </w:pPr>
      <w:r>
        <w:rPr>
          <w:rFonts w:ascii="Calibri" w:hAnsi="Calibri" w:eastAsia="Calibri"/>
          <w:b w:val="0"/>
          <w:i w:val="0"/>
          <w:caps w:val="0"/>
          <w:color w:val="1F2937"/>
          <w:sz w:val="22"/>
        </w:rPr>
        <w:t>1.  Draft creative + media plan.</w:t>
      </w:r>
    </w:p>
    <w:p>
      <w:pPr>
        <w:spacing w:after="80"/>
        <w:ind w:left="567" w:hanging="283"/>
      </w:pPr>
      <w:r>
        <w:rPr>
          <w:rFonts w:ascii="Calibri" w:hAnsi="Calibri" w:eastAsia="Calibri"/>
          <w:b w:val="0"/>
          <w:i w:val="0"/>
          <w:caps w:val="0"/>
          <w:color w:val="1F2937"/>
          <w:sz w:val="22"/>
        </w:rPr>
        <w:t>2.  Product Lead checks claims and compatibility language.</w:t>
      </w:r>
    </w:p>
    <w:p>
      <w:pPr>
        <w:spacing w:after="80"/>
        <w:ind w:left="567" w:hanging="283"/>
      </w:pPr>
      <w:r>
        <w:rPr>
          <w:rFonts w:ascii="Calibri" w:hAnsi="Calibri" w:eastAsia="Calibri"/>
          <w:b w:val="0"/>
          <w:i w:val="0"/>
          <w:caps w:val="0"/>
          <w:color w:val="1F2937"/>
          <w:sz w:val="22"/>
        </w:rPr>
        <w:t>3.  CCO checks content stills, music, culture, IP.</w:t>
      </w:r>
    </w:p>
    <w:p>
      <w:pPr>
        <w:spacing w:after="80"/>
        <w:ind w:left="567" w:hanging="283"/>
      </w:pPr>
      <w:r>
        <w:rPr>
          <w:rFonts w:ascii="Calibri" w:hAnsi="Calibri" w:eastAsia="Calibri"/>
          <w:b w:val="0"/>
          <w:i w:val="0"/>
          <w:caps w:val="0"/>
          <w:color w:val="1F2937"/>
          <w:sz w:val="22"/>
        </w:rPr>
        <w:t>4.  DPO checks any personal data or tracking pixels.</w:t>
      </w:r>
    </w:p>
    <w:p>
      <w:pPr>
        <w:spacing w:after="80"/>
        <w:ind w:left="567" w:hanging="283"/>
      </w:pPr>
      <w:r>
        <w:rPr>
          <w:rFonts w:ascii="Calibri" w:hAnsi="Calibri" w:eastAsia="Calibri"/>
          <w:b w:val="0"/>
          <w:i w:val="0"/>
          <w:caps w:val="0"/>
          <w:color w:val="1F2937"/>
          <w:sz w:val="22"/>
        </w:rPr>
        <w:t>5.  QMRP (or delegate) records the approval. Change RFC if the journey copy changes.</w:t>
      </w:r>
    </w:p>
    <w:p>
      <w:pPr>
        <w:spacing w:after="80"/>
        <w:ind w:left="567" w:hanging="283"/>
      </w:pPr>
      <w:r>
        <w:rPr>
          <w:rFonts w:ascii="Calibri" w:hAnsi="Calibri" w:eastAsia="Calibri"/>
          <w:b w:val="0"/>
          <w:i w:val="0"/>
          <w:caps w:val="0"/>
          <w:color w:val="1F2937"/>
          <w:sz w:val="22"/>
        </w:rPr>
        <w:t>6.  Only then may media be booked.</w:t>
      </w:r>
    </w:p>
    <w:p>
      <w:pPr>
        <w:keepNext/>
        <w:spacing w:before="280" w:after="120"/>
        <w:pBdr>
          <w:bottom w:val="single" w:sz="10" w:space="4" w:color="B88A2E"/>
        </w:pBdr>
      </w:pPr>
      <w:r>
        <w:rPr>
          <w:rFonts w:ascii="Calibri" w:hAnsi="Calibri" w:eastAsia="Calibri"/>
          <w:b/>
          <w:i w:val="0"/>
          <w:caps w:val="0"/>
          <w:color w:val="122B4F"/>
          <w:sz w:val="28"/>
        </w:rPr>
        <w:t>Part II — How to review</w:t>
      </w:r>
    </w:p>
    <w:p>
      <w:pPr>
        <w:keepNext/>
        <w:spacing w:before="200" w:after="120"/>
      </w:pPr>
      <w:r>
        <w:rPr>
          <w:rFonts w:ascii="Calibri" w:hAnsi="Calibri" w:eastAsia="Calibri"/>
          <w:b/>
          <w:i w:val="0"/>
          <w:caps w:val="0"/>
          <w:color w:val="0E6B7A"/>
          <w:sz w:val="24"/>
        </w:rPr>
        <w:t>7. Review in one page</w:t>
      </w:r>
    </w:p>
    <w:p>
      <w:pPr>
        <w:spacing w:after="160" w:before="0"/>
        <w:jc w:val="both"/>
      </w:pPr>
      <w:r>
        <w:rPr>
          <w:rFonts w:ascii="Calibri" w:hAnsi="Calibri" w:eastAsia="Calibri"/>
          <w:b w:val="0"/>
          <w:i w:val="0"/>
          <w:caps w:val="0"/>
          <w:color w:val="1F2937"/>
          <w:sz w:val="22"/>
        </w:rPr>
        <w:t>Every audio or video item, and every material edit, is reviewed before staging/production using the dedicated Content Compliance function (AA-VRBT-QM-2.4.1). Dual control: reviewer then CCO. The submitter cannot approve their own work. Game/e-book style interactive VRBT follows the same domains.</w:t>
      </w:r>
    </w:p>
    <w:p>
      <w:pPr>
        <w:keepNext/>
        <w:spacing w:before="200" w:after="120"/>
      </w:pPr>
      <w:r>
        <w:rPr>
          <w:rFonts w:ascii="Calibri" w:hAnsi="Calibri" w:eastAsia="Calibri"/>
          <w:b/>
          <w:i w:val="0"/>
          <w:caps w:val="0"/>
          <w:color w:val="0E6B7A"/>
          <w:sz w:val="24"/>
        </w:rPr>
        <w:t>8. Step-by-step for a reviewer</w:t>
      </w:r>
    </w:p>
    <w:p>
      <w:pPr>
        <w:spacing w:after="80"/>
        <w:ind w:left="567" w:hanging="283"/>
      </w:pPr>
      <w:r>
        <w:rPr>
          <w:rFonts w:ascii="Calibri" w:hAnsi="Calibri" w:eastAsia="Calibri"/>
          <w:b w:val="0"/>
          <w:i w:val="0"/>
          <w:caps w:val="0"/>
          <w:color w:val="1F2937"/>
          <w:sz w:val="22"/>
        </w:rPr>
        <w:t>1.  Confirm the rights pack is complete (AA-VRBT-AV-01). If not, reject — do not “review anyway”.</w:t>
      </w:r>
    </w:p>
    <w:p>
      <w:pPr>
        <w:spacing w:after="80"/>
        <w:ind w:left="567" w:hanging="283"/>
      </w:pPr>
      <w:r>
        <w:rPr>
          <w:rFonts w:ascii="Calibri" w:hAnsi="Calibri" w:eastAsia="Calibri"/>
          <w:b w:val="0"/>
          <w:i w:val="0"/>
          <w:caps w:val="0"/>
          <w:color w:val="1F2937"/>
          <w:sz w:val="22"/>
        </w:rPr>
        <w:t>2.  Watch/listen to the entire item at full volume, not only the first three seconds.</w:t>
      </w:r>
    </w:p>
    <w:p>
      <w:pPr>
        <w:spacing w:after="80"/>
        <w:ind w:left="567" w:hanging="283"/>
      </w:pPr>
      <w:r>
        <w:rPr>
          <w:rFonts w:ascii="Calibri" w:hAnsi="Calibri" w:eastAsia="Calibri"/>
          <w:b w:val="0"/>
          <w:i w:val="0"/>
          <w:caps w:val="0"/>
          <w:color w:val="1F2937"/>
          <w:sz w:val="22"/>
        </w:rPr>
        <w:t>3.  Score the six domains: laws &amp; regulations; intellectual property; ethics &amp; morality; religious culture; values; privacy-in-content.</w:t>
      </w:r>
    </w:p>
    <w:p>
      <w:pPr>
        <w:spacing w:after="80"/>
        <w:ind w:left="567" w:hanging="283"/>
      </w:pPr>
      <w:r>
        <w:rPr>
          <w:rFonts w:ascii="Calibri" w:hAnsi="Calibri" w:eastAsia="Calibri"/>
          <w:b w:val="0"/>
          <w:i w:val="0"/>
          <w:caps w:val="0"/>
          <w:color w:val="1F2937"/>
          <w:sz w:val="22"/>
        </w:rPr>
        <w:t>4.  Check metadata: title, genre, age rating, language, composer credits.</w:t>
      </w:r>
    </w:p>
    <w:p>
      <w:pPr>
        <w:spacing w:after="80"/>
        <w:ind w:left="567" w:hanging="283"/>
      </w:pPr>
      <w:r>
        <w:rPr>
          <w:rFonts w:ascii="Calibri" w:hAnsi="Calibri" w:eastAsia="Calibri"/>
          <w:b w:val="0"/>
          <w:i w:val="0"/>
          <w:caps w:val="0"/>
          <w:color w:val="1F2937"/>
          <w:sz w:val="22"/>
        </w:rPr>
        <w:t>5.  Check technical envelope: duration, resolution, loudness, poster frame.</w:t>
      </w:r>
    </w:p>
    <w:p>
      <w:pPr>
        <w:spacing w:after="80"/>
        <w:ind w:left="567" w:hanging="283"/>
      </w:pPr>
      <w:r>
        <w:rPr>
          <w:rFonts w:ascii="Calibri" w:hAnsi="Calibri" w:eastAsia="Calibri"/>
          <w:b w:val="0"/>
          <w:i w:val="0"/>
          <w:caps w:val="0"/>
          <w:color w:val="1F2937"/>
          <w:sz w:val="22"/>
        </w:rPr>
        <w:t>6.  Decide: Approve / Approve with conditions / Reject / Escalate to legal.</w:t>
      </w:r>
    </w:p>
    <w:p>
      <w:pPr>
        <w:spacing w:after="80"/>
        <w:ind w:left="567" w:hanging="283"/>
      </w:pPr>
      <w:r>
        <w:rPr>
          <w:rFonts w:ascii="Calibri" w:hAnsi="Calibri" w:eastAsia="Calibri"/>
          <w:b w:val="0"/>
          <w:i w:val="0"/>
          <w:caps w:val="0"/>
          <w:color w:val="1F2937"/>
          <w:sz w:val="22"/>
        </w:rPr>
        <w:t>7.  Write the reason. A rejection without a reason is incomplete.</w:t>
      </w:r>
    </w:p>
    <w:p>
      <w:pPr>
        <w:spacing w:after="80"/>
        <w:ind w:left="567" w:hanging="283"/>
      </w:pPr>
      <w:r>
        <w:rPr>
          <w:rFonts w:ascii="Calibri" w:hAnsi="Calibri" w:eastAsia="Calibri"/>
          <w:b w:val="0"/>
          <w:i w:val="0"/>
          <w:caps w:val="0"/>
          <w:color w:val="1F2937"/>
          <w:sz w:val="22"/>
        </w:rPr>
        <w:t>8.  Hand to CCO. After CCO approval, Product may raise the go-live RFC (AA-VRBT-QM-2.4.2).</w:t>
      </w:r>
    </w:p>
    <w:p>
      <w:pPr>
        <w:keepNext/>
        <w:spacing w:before="200" w:after="120"/>
      </w:pPr>
      <w:r>
        <w:rPr>
          <w:rFonts w:ascii="Calibri" w:hAnsi="Calibri" w:eastAsia="Calibri"/>
          <w:b/>
          <w:i w:val="0"/>
          <w:caps w:val="0"/>
          <w:color w:val="0E6B7A"/>
          <w:sz w:val="24"/>
        </w:rPr>
        <w:t>9. Red flags — reject or escalate immediately</w:t>
      </w:r>
    </w:p>
    <w:p>
      <w:pPr>
        <w:spacing w:after="60" w:before="0"/>
        <w:ind w:left="567" w:hanging="227"/>
      </w:pPr>
      <w:r>
        <w:rPr>
          <w:rFonts w:ascii="Calibri" w:hAnsi="Calibri" w:eastAsia="Calibri"/>
          <w:b w:val="0"/>
          <w:i w:val="0"/>
          <w:caps w:val="0"/>
          <w:color w:val="1F2937"/>
          <w:sz w:val="22"/>
        </w:rPr>
        <w:t>•  Any sexual content involving a person who is, or appears to be, under 18 — escalate to CEO/Legal; do not merely reject quietly if it appears criminal.</w:t>
      </w:r>
    </w:p>
    <w:p>
      <w:pPr>
        <w:spacing w:after="60" w:before="0"/>
        <w:ind w:left="567" w:hanging="227"/>
      </w:pPr>
      <w:r>
        <w:rPr>
          <w:rFonts w:ascii="Calibri" w:hAnsi="Calibri" w:eastAsia="Calibri"/>
          <w:b w:val="0"/>
          <w:i w:val="0"/>
          <w:caps w:val="0"/>
          <w:color w:val="1F2937"/>
          <w:sz w:val="22"/>
        </w:rPr>
        <w:t>•  Hate speech, ethnic incitement, or terrorist propaganda.</w:t>
      </w:r>
    </w:p>
    <w:p>
      <w:pPr>
        <w:spacing w:after="60" w:before="0"/>
        <w:ind w:left="567" w:hanging="227"/>
      </w:pPr>
      <w:r>
        <w:rPr>
          <w:rFonts w:ascii="Calibri" w:hAnsi="Calibri" w:eastAsia="Calibri"/>
          <w:b w:val="0"/>
          <w:i w:val="0"/>
          <w:caps w:val="0"/>
          <w:color w:val="1F2937"/>
          <w:sz w:val="22"/>
        </w:rPr>
        <w:t>•  Obvious unlicensed commercial music or sports footage.</w:t>
      </w:r>
    </w:p>
    <w:p>
      <w:pPr>
        <w:spacing w:after="60" w:before="0"/>
        <w:ind w:left="567" w:hanging="227"/>
      </w:pPr>
      <w:r>
        <w:rPr>
          <w:rFonts w:ascii="Calibri" w:hAnsi="Calibri" w:eastAsia="Calibri"/>
          <w:b w:val="0"/>
          <w:i w:val="0"/>
          <w:caps w:val="0"/>
          <w:color w:val="1F2937"/>
          <w:sz w:val="22"/>
        </w:rPr>
        <w:t>•  Gambling pitches, unlicensed financial advice, or miracle-health claims.</w:t>
      </w:r>
    </w:p>
    <w:p>
      <w:pPr>
        <w:spacing w:after="60" w:before="0"/>
        <w:ind w:left="567" w:hanging="227"/>
      </w:pPr>
      <w:r>
        <w:rPr>
          <w:rFonts w:ascii="Calibri" w:hAnsi="Calibri" w:eastAsia="Calibri"/>
          <w:b w:val="0"/>
          <w:i w:val="0"/>
          <w:caps w:val="0"/>
          <w:color w:val="1F2937"/>
          <w:sz w:val="22"/>
        </w:rPr>
        <w:t>•  Political campaign material outside Operator-approved election rules.</w:t>
      </w:r>
    </w:p>
    <w:p>
      <w:pPr>
        <w:spacing w:after="60" w:before="0"/>
        <w:ind w:left="567" w:hanging="227"/>
      </w:pPr>
      <w:r>
        <w:rPr>
          <w:rFonts w:ascii="Calibri" w:hAnsi="Calibri" w:eastAsia="Calibri"/>
          <w:b w:val="0"/>
          <w:i w:val="0"/>
          <w:caps w:val="0"/>
          <w:color w:val="1F2937"/>
          <w:sz w:val="22"/>
        </w:rPr>
        <w:t>•  Hidden frames, URLs that phish, or malware-like QR codes.</w:t>
      </w:r>
    </w:p>
    <w:p>
      <w:pPr>
        <w:keepNext/>
        <w:spacing w:before="200" w:after="120"/>
      </w:pPr>
      <w:r>
        <w:rPr>
          <w:rFonts w:ascii="Calibri" w:hAnsi="Calibri" w:eastAsia="Calibri"/>
          <w:b/>
          <w:i w:val="0"/>
          <w:caps w:val="0"/>
          <w:color w:val="0E6B7A"/>
          <w:sz w:val="24"/>
        </w:rPr>
        <w:t>10. After go-live</w:t>
      </w:r>
    </w:p>
    <w:p>
      <w:pPr>
        <w:spacing w:after="160" w:before="0"/>
        <w:jc w:val="both"/>
      </w:pPr>
      <w:r>
        <w:rPr>
          <w:rFonts w:ascii="Calibri" w:hAnsi="Calibri" w:eastAsia="Calibri"/>
          <w:b w:val="0"/>
          <w:i w:val="0"/>
          <w:caps w:val="0"/>
          <w:color w:val="1F2937"/>
          <w:sz w:val="22"/>
        </w:rPr>
        <w:t>10% monthly re-sample of the live catalogue. Public complaints about a clip are Sev 2 if offensive content is confirmed in production. Takedown first, argue later. Marketing must stop using stills of a taken-down clip the same day.</w:t>
      </w:r>
    </w:p>
    <w:p>
      <w:pPr>
        <w:keepNext/>
        <w:spacing w:before="280" w:after="120"/>
        <w:pBdr>
          <w:bottom w:val="single" w:sz="10" w:space="4" w:color="B88A2E"/>
        </w:pBdr>
      </w:pPr>
      <w:r>
        <w:rPr>
          <w:rFonts w:ascii="Calibri" w:hAnsi="Calibri" w:eastAsia="Calibri"/>
          <w:b/>
          <w:i w:val="0"/>
          <w:caps w:val="0"/>
          <w:color w:val="122B4F"/>
          <w:sz w:val="28"/>
        </w:rPr>
        <w:t>11. Roles at a glance</w:t>
      </w:r>
    </w:p>
    <w:tbl>
      <w:tblPr>
        <w:jc w:val="center"/>
        <w:tblLayout w:type="fixed"/>
        <w:tblLook w:firstColumn="1" w:firstRow="1" w:lastColumn="0" w:lastRow="0" w:noHBand="0" w:noVBand="1" w:val="04A0"/>
        <w:tblW w:w="6120000" w:type="dxa"/>
      </w:tblPr>
      <w:tblGrid>
        <w:gridCol w:w="2160000"/>
        <w:gridCol w:w="3960000"/>
      </w:tblGrid>
      <w:tr>
        <w:trPr>
          <w:cantSplit/>
        </w:trPr>
        <w:tc>
          <w:tcPr>
            <w:tcW w:w="216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Task</w:t>
            </w:r>
          </w:p>
        </w:tc>
        <w:tc>
          <w:tcPr>
            <w:tcW w:w="396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Who</w:t>
            </w:r>
          </w:p>
        </w:tc>
      </w:tr>
      <w:tr>
        <w:trPr>
          <w:cantSplit/>
        </w:trPr>
        <w:tc>
          <w:tcPr>
            <w:tcW w:w="21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Write ads</w:t>
            </w:r>
          </w:p>
        </w:tc>
        <w:tc>
          <w:tcPr>
            <w:tcW w:w="39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Marketing / Product</w:t>
            </w:r>
          </w:p>
        </w:tc>
      </w:tr>
      <w:tr>
        <w:trPr>
          <w:cantSplit/>
        </w:trPr>
        <w:tc>
          <w:tcPr>
            <w:tcW w:w="21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Approve ads</w:t>
            </w:r>
          </w:p>
        </w:tc>
        <w:tc>
          <w:tcPr>
            <w:tcW w:w="39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Product + CCO + DPO as Section 6</w:t>
            </w:r>
          </w:p>
        </w:tc>
      </w:tr>
      <w:tr>
        <w:trPr>
          <w:cantSplit/>
        </w:trPr>
        <w:tc>
          <w:tcPr>
            <w:tcW w:w="21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License content</w:t>
            </w:r>
          </w:p>
        </w:tc>
        <w:tc>
          <w:tcPr>
            <w:tcW w:w="39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Legal + CCO rights pack</w:t>
            </w:r>
          </w:p>
        </w:tc>
      </w:tr>
      <w:tr>
        <w:trPr>
          <w:cantSplit/>
        </w:trPr>
        <w:tc>
          <w:tcPr>
            <w:tcW w:w="21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Review content</w:t>
            </w:r>
          </w:p>
        </w:tc>
        <w:tc>
          <w:tcPr>
            <w:tcW w:w="39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Review Team + CCO</w:t>
            </w:r>
          </w:p>
        </w:tc>
      </w:tr>
      <w:tr>
        <w:trPr>
          <w:cantSplit/>
        </w:trPr>
        <w:tc>
          <w:tcPr>
            <w:tcW w:w="21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Go-live</w:t>
            </w:r>
          </w:p>
        </w:tc>
        <w:tc>
          <w:tcPr>
            <w:tcW w:w="39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chair, Technical Lead, CCO</w:t>
            </w:r>
          </w:p>
        </w:tc>
      </w:tr>
      <w:tr>
        <w:trPr>
          <w:cantSplit/>
        </w:trPr>
        <w:tc>
          <w:tcPr>
            <w:tcW w:w="21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Care scripts for ads and STOP</w:t>
            </w:r>
          </w:p>
        </w:tc>
        <w:tc>
          <w:tcPr>
            <w:tcW w:w="39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Customer Care Lead</w:t>
            </w:r>
          </w:p>
        </w:tc>
      </w:tr>
      <w:tr>
        <w:trPr>
          <w:cantSplit/>
        </w:trPr>
        <w:tc>
          <w:tcPr>
            <w:tcW w:w="21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audit questions on this manual</w:t>
            </w:r>
          </w:p>
        </w:tc>
        <w:tc>
          <w:tcPr>
            <w:tcW w:w="39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VRBT Product Lead / Content Compliance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DPO / QMRP</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AV-03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AA-VRBT-AV-03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