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D0F3" w14:textId="77777777" w:rsidR="00365B00" w:rsidRPr="00B652FB" w:rsidRDefault="00000000">
      <w:pPr>
        <w:spacing w:before="360" w:after="80"/>
        <w:jc w:val="center"/>
        <w:rPr>
          <w:color w:val="000000" w:themeColor="text1"/>
        </w:rPr>
      </w:pPr>
      <w:r w:rsidRPr="00B652FB">
        <w:rPr>
          <w:rFonts w:ascii="Arial" w:hAnsi="Arial"/>
          <w:b/>
          <w:color w:val="000000" w:themeColor="text1"/>
          <w:sz w:val="48"/>
        </w:rPr>
        <w:t>EV Market Performance and Insights</w:t>
      </w:r>
    </w:p>
    <w:p w14:paraId="303CC0DC" w14:textId="77777777" w:rsidR="00365B00" w:rsidRPr="00B652FB" w:rsidRDefault="00000000">
      <w:pPr>
        <w:spacing w:after="360"/>
        <w:jc w:val="center"/>
        <w:rPr>
          <w:color w:val="000000" w:themeColor="text1"/>
        </w:rPr>
      </w:pPr>
      <w:r w:rsidRPr="00B652FB">
        <w:rPr>
          <w:i/>
          <w:color w:val="000000" w:themeColor="text1"/>
          <w:sz w:val="28"/>
        </w:rPr>
        <w:t>Comprehensive Analytical Project Report &amp; Story Findings</w:t>
      </w:r>
    </w:p>
    <w:tbl>
      <w:tblPr>
        <w:tblW w:w="0" w:type="auto"/>
        <w:jc w:val="center"/>
        <w:tblLook w:val="04A0" w:firstRow="1" w:lastRow="0" w:firstColumn="1" w:lastColumn="0" w:noHBand="0" w:noVBand="1"/>
      </w:tblPr>
      <w:tblGrid>
        <w:gridCol w:w="9360"/>
      </w:tblGrid>
      <w:tr w:rsidR="00365B00" w:rsidRPr="00B652FB" w14:paraId="41E2F087" w14:textId="77777777">
        <w:trPr>
          <w:jc w:val="center"/>
        </w:trPr>
        <w:tc>
          <w:tcPr>
            <w:tcW w:w="9360" w:type="dxa"/>
            <w:tcBorders>
              <w:left w:val="single" w:sz="24" w:space="0" w:color="0B3C5D"/>
            </w:tcBorders>
            <w:shd w:val="clear" w:color="auto" w:fill="F5F7FA"/>
          </w:tcPr>
          <w:p w14:paraId="25BF95CF" w14:textId="77777777" w:rsidR="00365B00" w:rsidRPr="00B652FB" w:rsidRDefault="00000000">
            <w:pPr>
              <w:spacing w:before="160" w:after="240"/>
              <w:ind w:left="288"/>
              <w:rPr>
                <w:color w:val="000000" w:themeColor="text1"/>
              </w:rPr>
            </w:pPr>
            <w:r w:rsidRPr="00B652FB">
              <w:rPr>
                <w:b/>
                <w:color w:val="000000" w:themeColor="text1"/>
              </w:rPr>
              <w:t>Project Report: Data Analytics with Tableau</w:t>
            </w:r>
            <w:r w:rsidRPr="00B652FB">
              <w:rPr>
                <w:b/>
                <w:color w:val="000000" w:themeColor="text1"/>
              </w:rPr>
              <w:br/>
            </w:r>
            <w:r w:rsidRPr="00B652FB">
              <w:rPr>
                <w:b/>
                <w:color w:val="000000" w:themeColor="text1"/>
                <w:sz w:val="20"/>
              </w:rPr>
              <w:t>Prepared by: Harsh Patidar  |  Date: 26 October 2026</w:t>
            </w:r>
            <w:r w:rsidRPr="00B652FB">
              <w:rPr>
                <w:b/>
                <w:color w:val="000000" w:themeColor="text1"/>
                <w:sz w:val="20"/>
              </w:rPr>
              <w:br/>
            </w:r>
            <w:r w:rsidRPr="00B652FB">
              <w:rPr>
                <w:i/>
                <w:color w:val="000000" w:themeColor="text1"/>
                <w:sz w:val="20"/>
              </w:rPr>
              <w:t xml:space="preserve">Tableau Public Link: </w:t>
            </w:r>
            <w:r w:rsidRPr="00B652FB">
              <w:rPr>
                <w:color w:val="000000" w:themeColor="text1"/>
                <w:sz w:val="18"/>
              </w:rPr>
              <w:t>https://public.tableau.com/views/HarshalParetadataanalyticswithtableauSmartbridge/Dashboard1</w:t>
            </w:r>
          </w:p>
        </w:tc>
      </w:tr>
    </w:tbl>
    <w:p w14:paraId="3A324C13" w14:textId="77777777" w:rsidR="00365B00" w:rsidRPr="00B652FB" w:rsidRDefault="00000000">
      <w:pPr>
        <w:keepNext/>
        <w:spacing w:before="360"/>
        <w:rPr>
          <w:color w:val="000000" w:themeColor="text1"/>
        </w:rPr>
      </w:pPr>
      <w:r w:rsidRPr="00B652FB">
        <w:rPr>
          <w:rFonts w:ascii="Arial" w:hAnsi="Arial"/>
          <w:b/>
          <w:color w:val="000000" w:themeColor="text1"/>
          <w:sz w:val="32"/>
        </w:rPr>
        <w:t>1. Introduction</w:t>
      </w:r>
    </w:p>
    <w:p w14:paraId="369D575C"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1.1 Project Overview</w:t>
      </w:r>
    </w:p>
    <w:p w14:paraId="4D2D31D3" w14:textId="77777777" w:rsidR="00365B00" w:rsidRPr="00B652FB" w:rsidRDefault="00000000">
      <w:pPr>
        <w:rPr>
          <w:color w:val="000000" w:themeColor="text1"/>
        </w:rPr>
      </w:pPr>
      <w:r w:rsidRPr="00B652FB">
        <w:rPr>
          <w:color w:val="000000" w:themeColor="text1"/>
        </w:rPr>
        <w:t>The electric vehicle (EV) industry is one of the fastest-growing sectors of the global automotive market, driven by environmental awareness, government incentives, and rapid advances in battery technology. This project analyzes EV market data—encompassing sales volume, pricing dynamics, battery specifications, driving range, manufacturing countries, customer ratings, and annual CO2 savings—and presents actionable insights through two interactive Tableau dashboards and a dedicated Tableau Data Story.</w:t>
      </w:r>
    </w:p>
    <w:p w14:paraId="59DD377B"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1.2 Dashboard Architecture Summary</w:t>
      </w:r>
    </w:p>
    <w:p w14:paraId="16A63CA2" w14:textId="42A1DBB7" w:rsidR="00365B00" w:rsidRPr="00B652FB" w:rsidRDefault="00000000">
      <w:pPr>
        <w:pStyle w:val="ListBullet"/>
        <w:spacing w:after="60"/>
        <w:rPr>
          <w:color w:val="000000" w:themeColor="text1"/>
        </w:rPr>
      </w:pPr>
      <w:r w:rsidRPr="00B652FB">
        <w:rPr>
          <w:b/>
          <w:color w:val="000000" w:themeColor="text1"/>
        </w:rPr>
        <w:t xml:space="preserve">Dashboard 1 (Market Performance): </w:t>
      </w:r>
      <w:r w:rsidRPr="00B652FB">
        <w:rPr>
          <w:color w:val="000000" w:themeColor="text1"/>
        </w:rPr>
        <w:t>Focuses on executive-level KPIs and competitive benchmarking. It includes overall market KPIs (Total EV Sales: 1.55B, Average Price: $64,921, Average Range: 324.54 km, global production output by country and vehicle category, top manufacturers rated by customer reviews vs. sales volume, driving range distributions across segments, and 3-year retained vehicle value.</w:t>
      </w:r>
    </w:p>
    <w:p w14:paraId="0270C941" w14:textId="77777777" w:rsidR="00365B00" w:rsidRPr="00B652FB" w:rsidRDefault="00000000">
      <w:pPr>
        <w:pStyle w:val="ListBullet"/>
        <w:spacing w:after="60"/>
        <w:rPr>
          <w:color w:val="000000" w:themeColor="text1"/>
        </w:rPr>
      </w:pPr>
      <w:r w:rsidRPr="00B652FB">
        <w:rPr>
          <w:b/>
          <w:color w:val="000000" w:themeColor="text1"/>
        </w:rPr>
        <w:t xml:space="preserve">Dashboard 2 (Technology and Impact): </w:t>
      </w:r>
      <w:r w:rsidRPr="00B652FB">
        <w:rPr>
          <w:color w:val="000000" w:themeColor="text1"/>
        </w:rPr>
        <w:t>Focuses on deep-tech battery performance and environmental metrics. It tracks historical sales trends over model years, battery technology performance (sales units vs. cycle life across chemistries), charging power vs. energy efficiency, and regional environmental impact through CO2 abatement maps.</w:t>
      </w:r>
    </w:p>
    <w:p w14:paraId="3BE57125" w14:textId="77777777" w:rsidR="00365B00" w:rsidRPr="00B652FB" w:rsidRDefault="00000000">
      <w:pPr>
        <w:pStyle w:val="ListBullet"/>
        <w:spacing w:after="60"/>
        <w:rPr>
          <w:color w:val="000000" w:themeColor="text1"/>
        </w:rPr>
      </w:pPr>
      <w:r w:rsidRPr="00B652FB">
        <w:rPr>
          <w:b/>
          <w:color w:val="000000" w:themeColor="text1"/>
        </w:rPr>
        <w:t xml:space="preserve">Tableau Data Story: </w:t>
      </w:r>
      <w:r w:rsidRPr="00B652FB">
        <w:rPr>
          <w:color w:val="000000" w:themeColor="text1"/>
        </w:rPr>
        <w:t>Combines Dashboard 1 and Dashboard 2 into a guided interactive sequence, allowing decision-makers to transition seamlessly from macro market trends to granular battery and environmental analyses.</w:t>
      </w:r>
    </w:p>
    <w:p w14:paraId="6C326A90"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1.3 Purpose</w:t>
      </w:r>
    </w:p>
    <w:p w14:paraId="652F0A26" w14:textId="77777777" w:rsidR="00365B00" w:rsidRPr="00B652FB" w:rsidRDefault="00000000">
      <w:pPr>
        <w:rPr>
          <w:color w:val="000000" w:themeColor="text1"/>
        </w:rPr>
      </w:pPr>
      <w:r w:rsidRPr="00B652FB">
        <w:rPr>
          <w:color w:val="000000" w:themeColor="text1"/>
        </w:rPr>
        <w:t>The primary objective is to transform raw EV market datasets into intuitive, interactive visual stories. This empowers automotive OEMs, strategy consultants, and sustainability analysts to identify which vehicle categories drive adoption, which battery chemistries dominate, how charging speeds impact efficiency, and where environmental benefits are maximized.</w:t>
      </w:r>
    </w:p>
    <w:p w14:paraId="58A54D1D" w14:textId="77777777" w:rsidR="00365B00" w:rsidRPr="00B652FB" w:rsidRDefault="00000000">
      <w:pPr>
        <w:keepNext/>
        <w:spacing w:before="360"/>
        <w:rPr>
          <w:color w:val="000000" w:themeColor="text1"/>
        </w:rPr>
      </w:pPr>
      <w:r w:rsidRPr="00B652FB">
        <w:rPr>
          <w:rFonts w:ascii="Arial" w:hAnsi="Arial"/>
          <w:b/>
          <w:color w:val="000000" w:themeColor="text1"/>
          <w:sz w:val="32"/>
        </w:rPr>
        <w:lastRenderedPageBreak/>
        <w:t>2. Ideation Phase</w:t>
      </w:r>
    </w:p>
    <w:p w14:paraId="588C2E4C"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2.1 Problem Statement</w:t>
      </w:r>
    </w:p>
    <w:p w14:paraId="14D8EE82" w14:textId="77777777" w:rsidR="00365B00" w:rsidRPr="00B652FB" w:rsidRDefault="00000000">
      <w:pPr>
        <w:rPr>
          <w:color w:val="000000" w:themeColor="text1"/>
        </w:rPr>
      </w:pPr>
      <w:r w:rsidRPr="00B652FB">
        <w:rPr>
          <w:color w:val="000000" w:themeColor="text1"/>
        </w:rPr>
        <w:t>EV manufacturers and analysts generate massive volumes of sales, technical, manufacturing, and customer review data. Without a unified interactive visualization platform, monitoring core KPIs—such as annual sales growth, battery cycle degradation, driving range trade-offs, manufacturing geographical distribution, and customer satisfaction—remains highly challenging.</w:t>
      </w:r>
    </w:p>
    <w:p w14:paraId="61429CFC"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2.2 Persona Mapping</w:t>
      </w:r>
    </w:p>
    <w:tbl>
      <w:tblPr>
        <w:tblW w:w="0" w:type="auto"/>
        <w:jc w:val="center"/>
        <w:tblLook w:val="04A0" w:firstRow="1" w:lastRow="0" w:firstColumn="1" w:lastColumn="0" w:noHBand="0" w:noVBand="1"/>
      </w:tblPr>
      <w:tblGrid>
        <w:gridCol w:w="2160"/>
        <w:gridCol w:w="2592"/>
        <w:gridCol w:w="4608"/>
      </w:tblGrid>
      <w:tr w:rsidR="00365B00" w:rsidRPr="00B652FB" w14:paraId="7DCA8AB7" w14:textId="77777777">
        <w:trPr>
          <w:cantSplit/>
          <w:tblHeader/>
          <w:jc w:val="center"/>
        </w:trPr>
        <w:tc>
          <w:tcPr>
            <w:tcW w:w="2160" w:type="dxa"/>
            <w:tcBorders>
              <w:top w:val="single" w:sz="4" w:space="0" w:color="0B3C5D"/>
              <w:bottom w:val="single" w:sz="12" w:space="0" w:color="0B3C5D"/>
            </w:tcBorders>
            <w:shd w:val="clear" w:color="auto" w:fill="0B3C5D"/>
            <w:vAlign w:val="center"/>
          </w:tcPr>
          <w:p w14:paraId="538D4C62" w14:textId="77777777" w:rsidR="00365B00" w:rsidRPr="00B652FB" w:rsidRDefault="00000000">
            <w:pPr>
              <w:rPr>
                <w:color w:val="EE0000"/>
                <w:sz w:val="32"/>
                <w:szCs w:val="32"/>
              </w:rPr>
            </w:pPr>
            <w:r w:rsidRPr="00B652FB">
              <w:rPr>
                <w:b/>
                <w:color w:val="EE0000"/>
                <w:sz w:val="32"/>
                <w:szCs w:val="32"/>
              </w:rPr>
              <w:t>Persona</w:t>
            </w:r>
          </w:p>
        </w:tc>
        <w:tc>
          <w:tcPr>
            <w:tcW w:w="2592" w:type="dxa"/>
            <w:tcBorders>
              <w:top w:val="single" w:sz="4" w:space="0" w:color="0B3C5D"/>
              <w:bottom w:val="single" w:sz="12" w:space="0" w:color="0B3C5D"/>
            </w:tcBorders>
            <w:shd w:val="clear" w:color="auto" w:fill="0B3C5D"/>
            <w:vAlign w:val="center"/>
          </w:tcPr>
          <w:p w14:paraId="6EB82776" w14:textId="77777777" w:rsidR="00365B00" w:rsidRPr="00B652FB" w:rsidRDefault="00000000">
            <w:pPr>
              <w:rPr>
                <w:color w:val="EE0000"/>
                <w:sz w:val="32"/>
                <w:szCs w:val="32"/>
              </w:rPr>
            </w:pPr>
            <w:r w:rsidRPr="00B652FB">
              <w:rPr>
                <w:b/>
                <w:color w:val="EE0000"/>
                <w:sz w:val="32"/>
                <w:szCs w:val="32"/>
              </w:rPr>
              <w:t>Role</w:t>
            </w:r>
          </w:p>
        </w:tc>
        <w:tc>
          <w:tcPr>
            <w:tcW w:w="4608" w:type="dxa"/>
            <w:tcBorders>
              <w:top w:val="single" w:sz="4" w:space="0" w:color="0B3C5D"/>
              <w:bottom w:val="single" w:sz="12" w:space="0" w:color="0B3C5D"/>
            </w:tcBorders>
            <w:shd w:val="clear" w:color="auto" w:fill="0B3C5D"/>
            <w:vAlign w:val="center"/>
          </w:tcPr>
          <w:p w14:paraId="29CECE3C" w14:textId="77777777" w:rsidR="00365B00" w:rsidRPr="00B652FB" w:rsidRDefault="00000000">
            <w:pPr>
              <w:rPr>
                <w:color w:val="EE0000"/>
                <w:sz w:val="32"/>
                <w:szCs w:val="32"/>
              </w:rPr>
            </w:pPr>
            <w:r w:rsidRPr="00B652FB">
              <w:rPr>
                <w:b/>
                <w:color w:val="EE0000"/>
                <w:sz w:val="32"/>
                <w:szCs w:val="32"/>
              </w:rPr>
              <w:t>Core Need &amp; Focus</w:t>
            </w:r>
          </w:p>
        </w:tc>
      </w:tr>
      <w:tr w:rsidR="00365B00" w:rsidRPr="00B652FB" w14:paraId="1BC09BD3" w14:textId="77777777">
        <w:trPr>
          <w:cantSplit/>
          <w:jc w:val="center"/>
        </w:trPr>
        <w:tc>
          <w:tcPr>
            <w:tcW w:w="2160" w:type="dxa"/>
            <w:tcBorders>
              <w:top w:val="single" w:sz="4" w:space="0" w:color="D1D5DB"/>
              <w:bottom w:val="single" w:sz="4" w:space="0" w:color="D1D5DB"/>
            </w:tcBorders>
            <w:shd w:val="clear" w:color="auto" w:fill="F5F7FA"/>
            <w:vAlign w:val="center"/>
          </w:tcPr>
          <w:p w14:paraId="5E389427" w14:textId="77777777" w:rsidR="00365B00" w:rsidRPr="00B652FB" w:rsidRDefault="00000000">
            <w:pPr>
              <w:rPr>
                <w:color w:val="000000" w:themeColor="text1"/>
              </w:rPr>
            </w:pPr>
            <w:r w:rsidRPr="00B652FB">
              <w:rPr>
                <w:color w:val="000000" w:themeColor="text1"/>
              </w:rPr>
              <w:t>Emily Johnson</w:t>
            </w:r>
          </w:p>
        </w:tc>
        <w:tc>
          <w:tcPr>
            <w:tcW w:w="2592" w:type="dxa"/>
            <w:tcBorders>
              <w:top w:val="single" w:sz="4" w:space="0" w:color="D1D5DB"/>
              <w:bottom w:val="single" w:sz="4" w:space="0" w:color="D1D5DB"/>
            </w:tcBorders>
            <w:shd w:val="clear" w:color="auto" w:fill="F5F7FA"/>
            <w:vAlign w:val="center"/>
          </w:tcPr>
          <w:p w14:paraId="3B9877CE" w14:textId="77777777" w:rsidR="00365B00" w:rsidRPr="00B652FB" w:rsidRDefault="00000000">
            <w:pPr>
              <w:rPr>
                <w:color w:val="000000" w:themeColor="text1"/>
              </w:rPr>
            </w:pPr>
            <w:r w:rsidRPr="00B652FB">
              <w:rPr>
                <w:color w:val="000000" w:themeColor="text1"/>
              </w:rPr>
              <w:t>EV Market Strategy Director</w:t>
            </w:r>
          </w:p>
        </w:tc>
        <w:tc>
          <w:tcPr>
            <w:tcW w:w="4608" w:type="dxa"/>
            <w:tcBorders>
              <w:top w:val="single" w:sz="4" w:space="0" w:color="D1D5DB"/>
              <w:bottom w:val="single" w:sz="4" w:space="0" w:color="D1D5DB"/>
            </w:tcBorders>
            <w:shd w:val="clear" w:color="auto" w:fill="F5F7FA"/>
            <w:vAlign w:val="center"/>
          </w:tcPr>
          <w:p w14:paraId="6338F94B" w14:textId="77777777" w:rsidR="00365B00" w:rsidRPr="00B652FB" w:rsidRDefault="00000000">
            <w:pPr>
              <w:rPr>
                <w:color w:val="000000" w:themeColor="text1"/>
              </w:rPr>
            </w:pPr>
            <w:r w:rsidRPr="00B652FB">
              <w:rPr>
                <w:color w:val="000000" w:themeColor="text1"/>
              </w:rPr>
              <w:t>Needs macro-level category sales trends, customer satisfaction scores, battery adoption rates, and range comparisons to identify high-growth segments for portfolio expansion.</w:t>
            </w:r>
          </w:p>
        </w:tc>
      </w:tr>
      <w:tr w:rsidR="00365B00" w:rsidRPr="00B652FB" w14:paraId="4E943226" w14:textId="77777777">
        <w:trPr>
          <w:cantSplit/>
          <w:jc w:val="center"/>
        </w:trPr>
        <w:tc>
          <w:tcPr>
            <w:tcW w:w="2160" w:type="dxa"/>
            <w:tcBorders>
              <w:top w:val="single" w:sz="4" w:space="0" w:color="D1D5DB"/>
              <w:bottom w:val="single" w:sz="4" w:space="0" w:color="D1D5DB"/>
            </w:tcBorders>
            <w:shd w:val="clear" w:color="auto" w:fill="FFFFFF"/>
            <w:vAlign w:val="center"/>
          </w:tcPr>
          <w:p w14:paraId="47269E81" w14:textId="77777777" w:rsidR="00365B00" w:rsidRPr="00B652FB" w:rsidRDefault="00000000">
            <w:pPr>
              <w:rPr>
                <w:color w:val="000000" w:themeColor="text1"/>
              </w:rPr>
            </w:pPr>
            <w:r w:rsidRPr="00B652FB">
              <w:rPr>
                <w:color w:val="000000" w:themeColor="text1"/>
              </w:rPr>
              <w:t>David Chen</w:t>
            </w:r>
          </w:p>
        </w:tc>
        <w:tc>
          <w:tcPr>
            <w:tcW w:w="2592" w:type="dxa"/>
            <w:tcBorders>
              <w:top w:val="single" w:sz="4" w:space="0" w:color="D1D5DB"/>
              <w:bottom w:val="single" w:sz="4" w:space="0" w:color="D1D5DB"/>
            </w:tcBorders>
            <w:shd w:val="clear" w:color="auto" w:fill="FFFFFF"/>
            <w:vAlign w:val="center"/>
          </w:tcPr>
          <w:p w14:paraId="2F9BA530" w14:textId="77777777" w:rsidR="00365B00" w:rsidRPr="00B652FB" w:rsidRDefault="00000000">
            <w:pPr>
              <w:rPr>
                <w:color w:val="000000" w:themeColor="text1"/>
              </w:rPr>
            </w:pPr>
            <w:r w:rsidRPr="00B652FB">
              <w:rPr>
                <w:color w:val="000000" w:themeColor="text1"/>
              </w:rPr>
              <w:t>Automotive BI Manager</w:t>
            </w:r>
          </w:p>
        </w:tc>
        <w:tc>
          <w:tcPr>
            <w:tcW w:w="4608" w:type="dxa"/>
            <w:tcBorders>
              <w:top w:val="single" w:sz="4" w:space="0" w:color="D1D5DB"/>
              <w:bottom w:val="single" w:sz="4" w:space="0" w:color="D1D5DB"/>
            </w:tcBorders>
            <w:shd w:val="clear" w:color="auto" w:fill="FFFFFF"/>
            <w:vAlign w:val="center"/>
          </w:tcPr>
          <w:p w14:paraId="011CF29D" w14:textId="77777777" w:rsidR="00365B00" w:rsidRPr="00B652FB" w:rsidRDefault="00000000">
            <w:pPr>
              <w:rPr>
                <w:color w:val="000000" w:themeColor="text1"/>
              </w:rPr>
            </w:pPr>
            <w:r w:rsidRPr="00B652FB">
              <w:rPr>
                <w:color w:val="000000" w:themeColor="text1"/>
              </w:rPr>
              <w:t>Requires manufacturer market share, sales volume distribution, production country breakdown, and resale value metrics to advise clients entering the EV ecosystem.</w:t>
            </w:r>
          </w:p>
        </w:tc>
      </w:tr>
      <w:tr w:rsidR="00365B00" w:rsidRPr="00B652FB" w14:paraId="1A453914" w14:textId="77777777">
        <w:trPr>
          <w:cantSplit/>
          <w:jc w:val="center"/>
        </w:trPr>
        <w:tc>
          <w:tcPr>
            <w:tcW w:w="2160" w:type="dxa"/>
            <w:tcBorders>
              <w:top w:val="single" w:sz="4" w:space="0" w:color="D1D5DB"/>
              <w:bottom w:val="single" w:sz="4" w:space="0" w:color="D1D5DB"/>
            </w:tcBorders>
            <w:shd w:val="clear" w:color="auto" w:fill="F5F7FA"/>
            <w:vAlign w:val="center"/>
          </w:tcPr>
          <w:p w14:paraId="2654AFBA" w14:textId="77777777" w:rsidR="00365B00" w:rsidRPr="00B652FB" w:rsidRDefault="00000000">
            <w:pPr>
              <w:rPr>
                <w:color w:val="000000" w:themeColor="text1"/>
              </w:rPr>
            </w:pPr>
            <w:r w:rsidRPr="00B652FB">
              <w:rPr>
                <w:color w:val="000000" w:themeColor="text1"/>
              </w:rPr>
              <w:t>Dr. Sarah Williams</w:t>
            </w:r>
          </w:p>
        </w:tc>
        <w:tc>
          <w:tcPr>
            <w:tcW w:w="2592" w:type="dxa"/>
            <w:tcBorders>
              <w:top w:val="single" w:sz="4" w:space="0" w:color="D1D5DB"/>
              <w:bottom w:val="single" w:sz="4" w:space="0" w:color="D1D5DB"/>
            </w:tcBorders>
            <w:shd w:val="clear" w:color="auto" w:fill="F5F7FA"/>
            <w:vAlign w:val="center"/>
          </w:tcPr>
          <w:p w14:paraId="19E6424C" w14:textId="77777777" w:rsidR="00365B00" w:rsidRPr="00B652FB" w:rsidRDefault="00000000">
            <w:pPr>
              <w:rPr>
                <w:color w:val="000000" w:themeColor="text1"/>
              </w:rPr>
            </w:pPr>
            <w:r w:rsidRPr="00B652FB">
              <w:rPr>
                <w:color w:val="000000" w:themeColor="text1"/>
              </w:rPr>
              <w:t>Sustainable Mobility Research Analyst</w:t>
            </w:r>
          </w:p>
        </w:tc>
        <w:tc>
          <w:tcPr>
            <w:tcW w:w="4608" w:type="dxa"/>
            <w:tcBorders>
              <w:top w:val="single" w:sz="4" w:space="0" w:color="D1D5DB"/>
              <w:bottom w:val="single" w:sz="4" w:space="0" w:color="D1D5DB"/>
            </w:tcBorders>
            <w:shd w:val="clear" w:color="auto" w:fill="F5F7FA"/>
            <w:vAlign w:val="center"/>
          </w:tcPr>
          <w:p w14:paraId="318A1B47" w14:textId="77777777" w:rsidR="00365B00" w:rsidRPr="00B652FB" w:rsidRDefault="00000000">
            <w:pPr>
              <w:rPr>
                <w:color w:val="000000" w:themeColor="text1"/>
              </w:rPr>
            </w:pPr>
            <w:r w:rsidRPr="00B652FB">
              <w:rPr>
                <w:color w:val="000000" w:themeColor="text1"/>
              </w:rPr>
              <w:t>Analyzes battery cycle life, range improvements, energy efficiency vs. charging speed, and CO2 reduction to support evidence-based policy making.</w:t>
            </w:r>
          </w:p>
        </w:tc>
      </w:tr>
    </w:tbl>
    <w:p w14:paraId="6CAB7646" w14:textId="77777777" w:rsidR="00365B00" w:rsidRPr="00B652FB" w:rsidRDefault="00365B00">
      <w:pPr>
        <w:rPr>
          <w:color w:val="000000" w:themeColor="text1"/>
        </w:rPr>
      </w:pPr>
    </w:p>
    <w:p w14:paraId="08E55C9C"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2.3 Empathy Map Canvas</w:t>
      </w:r>
    </w:p>
    <w:tbl>
      <w:tblPr>
        <w:tblW w:w="0" w:type="auto"/>
        <w:jc w:val="center"/>
        <w:tblLook w:val="04A0" w:firstRow="1" w:lastRow="0" w:firstColumn="1" w:lastColumn="0" w:noHBand="0" w:noVBand="1"/>
      </w:tblPr>
      <w:tblGrid>
        <w:gridCol w:w="1440"/>
        <w:gridCol w:w="2592"/>
        <w:gridCol w:w="221"/>
        <w:gridCol w:w="2371"/>
        <w:gridCol w:w="2736"/>
      </w:tblGrid>
      <w:tr w:rsidR="00365B00" w:rsidRPr="00B652FB" w14:paraId="204A27C4" w14:textId="77777777" w:rsidTr="00B652FB">
        <w:trPr>
          <w:cantSplit/>
          <w:tblHeader/>
          <w:jc w:val="center"/>
        </w:trPr>
        <w:tc>
          <w:tcPr>
            <w:tcW w:w="1440" w:type="dxa"/>
            <w:tcBorders>
              <w:top w:val="single" w:sz="4" w:space="0" w:color="0B3C5D"/>
              <w:bottom w:val="single" w:sz="12" w:space="0" w:color="0B3C5D"/>
            </w:tcBorders>
            <w:shd w:val="clear" w:color="auto" w:fill="0B3C5D"/>
            <w:vAlign w:val="center"/>
          </w:tcPr>
          <w:p w14:paraId="621E85D7" w14:textId="77777777" w:rsidR="00365B00" w:rsidRPr="00B652FB" w:rsidRDefault="00000000">
            <w:pPr>
              <w:rPr>
                <w:color w:val="EE0000"/>
                <w:sz w:val="24"/>
                <w:szCs w:val="24"/>
              </w:rPr>
            </w:pPr>
            <w:r w:rsidRPr="00B652FB">
              <w:rPr>
                <w:b/>
                <w:color w:val="EE0000"/>
                <w:sz w:val="24"/>
                <w:szCs w:val="24"/>
              </w:rPr>
              <w:t>Quadrant</w:t>
            </w:r>
          </w:p>
        </w:tc>
        <w:tc>
          <w:tcPr>
            <w:tcW w:w="2813" w:type="dxa"/>
            <w:gridSpan w:val="2"/>
            <w:tcBorders>
              <w:top w:val="single" w:sz="4" w:space="0" w:color="0B3C5D"/>
              <w:bottom w:val="single" w:sz="12" w:space="0" w:color="0B3C5D"/>
            </w:tcBorders>
            <w:shd w:val="clear" w:color="auto" w:fill="0B3C5D"/>
            <w:vAlign w:val="center"/>
          </w:tcPr>
          <w:p w14:paraId="480179A6" w14:textId="77777777" w:rsidR="00365B00" w:rsidRPr="00B652FB" w:rsidRDefault="00000000">
            <w:pPr>
              <w:rPr>
                <w:color w:val="EE0000"/>
                <w:sz w:val="24"/>
                <w:szCs w:val="24"/>
              </w:rPr>
            </w:pPr>
            <w:r w:rsidRPr="00B652FB">
              <w:rPr>
                <w:b/>
                <w:color w:val="EE0000"/>
                <w:sz w:val="24"/>
                <w:szCs w:val="24"/>
              </w:rPr>
              <w:t>Emily (Strategy Director)</w:t>
            </w:r>
          </w:p>
        </w:tc>
        <w:tc>
          <w:tcPr>
            <w:tcW w:w="2371" w:type="dxa"/>
            <w:tcBorders>
              <w:top w:val="single" w:sz="4" w:space="0" w:color="0B3C5D"/>
              <w:bottom w:val="single" w:sz="12" w:space="0" w:color="0B3C5D"/>
            </w:tcBorders>
            <w:shd w:val="clear" w:color="auto" w:fill="0B3C5D"/>
            <w:vAlign w:val="center"/>
          </w:tcPr>
          <w:p w14:paraId="7BA4A866" w14:textId="77777777" w:rsidR="00365B00" w:rsidRPr="00B652FB" w:rsidRDefault="00000000">
            <w:pPr>
              <w:rPr>
                <w:color w:val="EE0000"/>
                <w:sz w:val="24"/>
                <w:szCs w:val="24"/>
              </w:rPr>
            </w:pPr>
            <w:r w:rsidRPr="00B652FB">
              <w:rPr>
                <w:b/>
                <w:color w:val="EE0000"/>
                <w:sz w:val="24"/>
                <w:szCs w:val="24"/>
              </w:rPr>
              <w:t>David (BI Manager)</w:t>
            </w:r>
          </w:p>
        </w:tc>
        <w:tc>
          <w:tcPr>
            <w:tcW w:w="2736" w:type="dxa"/>
            <w:tcBorders>
              <w:top w:val="single" w:sz="4" w:space="0" w:color="0B3C5D"/>
              <w:bottom w:val="single" w:sz="12" w:space="0" w:color="0B3C5D"/>
            </w:tcBorders>
            <w:shd w:val="clear" w:color="auto" w:fill="0B3C5D"/>
            <w:vAlign w:val="center"/>
          </w:tcPr>
          <w:p w14:paraId="76DD3BC0" w14:textId="77777777" w:rsidR="00365B00" w:rsidRPr="00B652FB" w:rsidRDefault="00000000">
            <w:pPr>
              <w:rPr>
                <w:color w:val="EE0000"/>
                <w:sz w:val="24"/>
                <w:szCs w:val="24"/>
              </w:rPr>
            </w:pPr>
            <w:r w:rsidRPr="00B652FB">
              <w:rPr>
                <w:b/>
                <w:color w:val="EE0000"/>
                <w:sz w:val="24"/>
                <w:szCs w:val="24"/>
              </w:rPr>
              <w:t>Dr. Williams (Researcher)</w:t>
            </w:r>
          </w:p>
        </w:tc>
      </w:tr>
      <w:tr w:rsidR="00365B00" w:rsidRPr="00B652FB" w14:paraId="731FE299" w14:textId="77777777">
        <w:trPr>
          <w:cantSplit/>
          <w:jc w:val="center"/>
        </w:trPr>
        <w:tc>
          <w:tcPr>
            <w:tcW w:w="1440" w:type="dxa"/>
            <w:tcBorders>
              <w:top w:val="single" w:sz="4" w:space="0" w:color="D1D5DB"/>
              <w:bottom w:val="single" w:sz="4" w:space="0" w:color="D1D5DB"/>
            </w:tcBorders>
            <w:shd w:val="clear" w:color="auto" w:fill="F5F7FA"/>
            <w:vAlign w:val="center"/>
          </w:tcPr>
          <w:p w14:paraId="57E45D26" w14:textId="77777777" w:rsidR="00365B00" w:rsidRPr="00B652FB" w:rsidRDefault="00000000">
            <w:pPr>
              <w:rPr>
                <w:color w:val="000000" w:themeColor="text1"/>
              </w:rPr>
            </w:pPr>
            <w:r w:rsidRPr="00B652FB">
              <w:rPr>
                <w:color w:val="000000" w:themeColor="text1"/>
              </w:rPr>
              <w:t>Says</w:t>
            </w:r>
          </w:p>
        </w:tc>
        <w:tc>
          <w:tcPr>
            <w:tcW w:w="2592" w:type="dxa"/>
            <w:tcBorders>
              <w:top w:val="single" w:sz="4" w:space="0" w:color="D1D5DB"/>
              <w:bottom w:val="single" w:sz="4" w:space="0" w:color="D1D5DB"/>
            </w:tcBorders>
            <w:shd w:val="clear" w:color="auto" w:fill="F5F7FA"/>
            <w:vAlign w:val="center"/>
          </w:tcPr>
          <w:p w14:paraId="6ED65790" w14:textId="77777777" w:rsidR="00365B00" w:rsidRPr="00B652FB" w:rsidRDefault="00000000">
            <w:pPr>
              <w:rPr>
                <w:color w:val="000000" w:themeColor="text1"/>
              </w:rPr>
            </w:pPr>
            <w:r w:rsidRPr="00B652FB">
              <w:rPr>
                <w:color w:val="000000" w:themeColor="text1"/>
              </w:rPr>
              <w:t>"Which vehicle segments offer optimal investment return?"</w:t>
            </w:r>
          </w:p>
        </w:tc>
        <w:tc>
          <w:tcPr>
            <w:tcW w:w="2592" w:type="dxa"/>
            <w:gridSpan w:val="2"/>
            <w:tcBorders>
              <w:top w:val="single" w:sz="4" w:space="0" w:color="D1D5DB"/>
              <w:bottom w:val="single" w:sz="4" w:space="0" w:color="D1D5DB"/>
            </w:tcBorders>
            <w:shd w:val="clear" w:color="auto" w:fill="F5F7FA"/>
            <w:vAlign w:val="center"/>
          </w:tcPr>
          <w:p w14:paraId="2FEA2A92" w14:textId="77777777" w:rsidR="00365B00" w:rsidRPr="00B652FB" w:rsidRDefault="00000000">
            <w:pPr>
              <w:rPr>
                <w:color w:val="000000" w:themeColor="text1"/>
              </w:rPr>
            </w:pPr>
            <w:r w:rsidRPr="00B652FB">
              <w:rPr>
                <w:color w:val="000000" w:themeColor="text1"/>
              </w:rPr>
              <w:t>"Who holds the competitive market edge globally?"</w:t>
            </w:r>
          </w:p>
        </w:tc>
        <w:tc>
          <w:tcPr>
            <w:tcW w:w="2736" w:type="dxa"/>
            <w:tcBorders>
              <w:top w:val="single" w:sz="4" w:space="0" w:color="D1D5DB"/>
              <w:bottom w:val="single" w:sz="4" w:space="0" w:color="D1D5DB"/>
            </w:tcBorders>
            <w:shd w:val="clear" w:color="auto" w:fill="F5F7FA"/>
            <w:vAlign w:val="center"/>
          </w:tcPr>
          <w:p w14:paraId="456FF53C" w14:textId="77777777" w:rsidR="00365B00" w:rsidRPr="00B652FB" w:rsidRDefault="00000000">
            <w:pPr>
              <w:rPr>
                <w:color w:val="000000" w:themeColor="text1"/>
              </w:rPr>
            </w:pPr>
            <w:r w:rsidRPr="00B652FB">
              <w:rPr>
                <w:color w:val="000000" w:themeColor="text1"/>
              </w:rPr>
              <w:t>"Which battery chemistry drives real adoption?"</w:t>
            </w:r>
          </w:p>
        </w:tc>
      </w:tr>
      <w:tr w:rsidR="00365B00" w:rsidRPr="00B652FB" w14:paraId="17264AAB" w14:textId="77777777">
        <w:trPr>
          <w:cantSplit/>
          <w:jc w:val="center"/>
        </w:trPr>
        <w:tc>
          <w:tcPr>
            <w:tcW w:w="1440" w:type="dxa"/>
            <w:tcBorders>
              <w:top w:val="single" w:sz="4" w:space="0" w:color="D1D5DB"/>
              <w:bottom w:val="single" w:sz="4" w:space="0" w:color="D1D5DB"/>
            </w:tcBorders>
            <w:shd w:val="clear" w:color="auto" w:fill="FFFFFF"/>
            <w:vAlign w:val="center"/>
          </w:tcPr>
          <w:p w14:paraId="294505B0" w14:textId="77777777" w:rsidR="00365B00" w:rsidRPr="00B652FB" w:rsidRDefault="00000000">
            <w:pPr>
              <w:rPr>
                <w:color w:val="000000" w:themeColor="text1"/>
              </w:rPr>
            </w:pPr>
            <w:r w:rsidRPr="00B652FB">
              <w:rPr>
                <w:color w:val="000000" w:themeColor="text1"/>
              </w:rPr>
              <w:t>Thinks</w:t>
            </w:r>
          </w:p>
        </w:tc>
        <w:tc>
          <w:tcPr>
            <w:tcW w:w="2592" w:type="dxa"/>
            <w:tcBorders>
              <w:top w:val="single" w:sz="4" w:space="0" w:color="D1D5DB"/>
              <w:bottom w:val="single" w:sz="4" w:space="0" w:color="D1D5DB"/>
            </w:tcBorders>
            <w:shd w:val="clear" w:color="auto" w:fill="FFFFFF"/>
            <w:vAlign w:val="center"/>
          </w:tcPr>
          <w:p w14:paraId="57F7FF63" w14:textId="77777777" w:rsidR="00365B00" w:rsidRPr="00B652FB" w:rsidRDefault="00000000">
            <w:pPr>
              <w:rPr>
                <w:color w:val="000000" w:themeColor="text1"/>
              </w:rPr>
            </w:pPr>
            <w:r w:rsidRPr="00B652FB">
              <w:rPr>
                <w:color w:val="000000" w:themeColor="text1"/>
              </w:rPr>
              <w:t>Needs rapid, executive-level summaries and reliable KPIs.</w:t>
            </w:r>
          </w:p>
        </w:tc>
        <w:tc>
          <w:tcPr>
            <w:tcW w:w="2592" w:type="dxa"/>
            <w:gridSpan w:val="2"/>
            <w:tcBorders>
              <w:top w:val="single" w:sz="4" w:space="0" w:color="D1D5DB"/>
              <w:bottom w:val="single" w:sz="4" w:space="0" w:color="D1D5DB"/>
            </w:tcBorders>
            <w:shd w:val="clear" w:color="auto" w:fill="FFFFFF"/>
            <w:vAlign w:val="center"/>
          </w:tcPr>
          <w:p w14:paraId="600D599F" w14:textId="77777777" w:rsidR="00365B00" w:rsidRPr="00B652FB" w:rsidRDefault="00000000">
            <w:pPr>
              <w:rPr>
                <w:color w:val="000000" w:themeColor="text1"/>
              </w:rPr>
            </w:pPr>
            <w:r w:rsidRPr="00B652FB">
              <w:rPr>
                <w:color w:val="000000" w:themeColor="text1"/>
              </w:rPr>
              <w:t>Clients demand hard data-backed proof, not opinions.</w:t>
            </w:r>
          </w:p>
        </w:tc>
        <w:tc>
          <w:tcPr>
            <w:tcW w:w="2736" w:type="dxa"/>
            <w:tcBorders>
              <w:top w:val="single" w:sz="4" w:space="0" w:color="D1D5DB"/>
              <w:bottom w:val="single" w:sz="4" w:space="0" w:color="D1D5DB"/>
            </w:tcBorders>
            <w:shd w:val="clear" w:color="auto" w:fill="FFFFFF"/>
            <w:vAlign w:val="center"/>
          </w:tcPr>
          <w:p w14:paraId="7B340EBC" w14:textId="77777777" w:rsidR="00365B00" w:rsidRPr="00B652FB" w:rsidRDefault="00000000">
            <w:pPr>
              <w:rPr>
                <w:color w:val="000000" w:themeColor="text1"/>
              </w:rPr>
            </w:pPr>
            <w:r w:rsidRPr="00B652FB">
              <w:rPr>
                <w:color w:val="000000" w:themeColor="text1"/>
              </w:rPr>
              <w:t>Policy frameworks require credible technical evidence.</w:t>
            </w:r>
          </w:p>
        </w:tc>
      </w:tr>
      <w:tr w:rsidR="00365B00" w:rsidRPr="00B652FB" w14:paraId="6B28024E" w14:textId="77777777">
        <w:trPr>
          <w:cantSplit/>
          <w:jc w:val="center"/>
        </w:trPr>
        <w:tc>
          <w:tcPr>
            <w:tcW w:w="1440" w:type="dxa"/>
            <w:tcBorders>
              <w:top w:val="single" w:sz="4" w:space="0" w:color="D1D5DB"/>
              <w:bottom w:val="single" w:sz="4" w:space="0" w:color="D1D5DB"/>
            </w:tcBorders>
            <w:shd w:val="clear" w:color="auto" w:fill="F5F7FA"/>
            <w:vAlign w:val="center"/>
          </w:tcPr>
          <w:p w14:paraId="330B4C14" w14:textId="77777777" w:rsidR="00365B00" w:rsidRPr="00B652FB" w:rsidRDefault="00000000">
            <w:pPr>
              <w:rPr>
                <w:color w:val="000000" w:themeColor="text1"/>
              </w:rPr>
            </w:pPr>
            <w:r w:rsidRPr="00B652FB">
              <w:rPr>
                <w:color w:val="000000" w:themeColor="text1"/>
              </w:rPr>
              <w:t>Does</w:t>
            </w:r>
          </w:p>
        </w:tc>
        <w:tc>
          <w:tcPr>
            <w:tcW w:w="2592" w:type="dxa"/>
            <w:tcBorders>
              <w:top w:val="single" w:sz="4" w:space="0" w:color="D1D5DB"/>
              <w:bottom w:val="single" w:sz="4" w:space="0" w:color="D1D5DB"/>
            </w:tcBorders>
            <w:shd w:val="clear" w:color="auto" w:fill="F5F7FA"/>
            <w:vAlign w:val="center"/>
          </w:tcPr>
          <w:p w14:paraId="53725975" w14:textId="77777777" w:rsidR="00365B00" w:rsidRPr="00B652FB" w:rsidRDefault="00000000">
            <w:pPr>
              <w:rPr>
                <w:color w:val="000000" w:themeColor="text1"/>
              </w:rPr>
            </w:pPr>
            <w:r w:rsidRPr="00B652FB">
              <w:rPr>
                <w:color w:val="000000" w:themeColor="text1"/>
              </w:rPr>
              <w:t>Reviews category sales, pricing, and satisfaction trends.</w:t>
            </w:r>
          </w:p>
        </w:tc>
        <w:tc>
          <w:tcPr>
            <w:tcW w:w="2592" w:type="dxa"/>
            <w:gridSpan w:val="2"/>
            <w:tcBorders>
              <w:top w:val="single" w:sz="4" w:space="0" w:color="D1D5DB"/>
              <w:bottom w:val="single" w:sz="4" w:space="0" w:color="D1D5DB"/>
            </w:tcBorders>
            <w:shd w:val="clear" w:color="auto" w:fill="F5F7FA"/>
            <w:vAlign w:val="center"/>
          </w:tcPr>
          <w:p w14:paraId="64DEAE33" w14:textId="77777777" w:rsidR="00365B00" w:rsidRPr="00B652FB" w:rsidRDefault="00000000">
            <w:pPr>
              <w:rPr>
                <w:color w:val="000000" w:themeColor="text1"/>
              </w:rPr>
            </w:pPr>
            <w:r w:rsidRPr="00B652FB">
              <w:rPr>
                <w:color w:val="000000" w:themeColor="text1"/>
              </w:rPr>
              <w:t>Benchmarks OEM performance, resale value, and regions.</w:t>
            </w:r>
          </w:p>
        </w:tc>
        <w:tc>
          <w:tcPr>
            <w:tcW w:w="2736" w:type="dxa"/>
            <w:tcBorders>
              <w:top w:val="single" w:sz="4" w:space="0" w:color="D1D5DB"/>
              <w:bottom w:val="single" w:sz="4" w:space="0" w:color="D1D5DB"/>
            </w:tcBorders>
            <w:shd w:val="clear" w:color="auto" w:fill="F5F7FA"/>
            <w:vAlign w:val="center"/>
          </w:tcPr>
          <w:p w14:paraId="4DCDCC6B" w14:textId="77777777" w:rsidR="00365B00" w:rsidRPr="00B652FB" w:rsidRDefault="00000000">
            <w:pPr>
              <w:rPr>
                <w:color w:val="000000" w:themeColor="text1"/>
              </w:rPr>
            </w:pPr>
            <w:r w:rsidRPr="00B652FB">
              <w:rPr>
                <w:color w:val="000000" w:themeColor="text1"/>
              </w:rPr>
              <w:t>Compares battery lifecycles, charging power, and CO2 impact.</w:t>
            </w:r>
          </w:p>
        </w:tc>
      </w:tr>
      <w:tr w:rsidR="00365B00" w:rsidRPr="00B652FB" w14:paraId="4E30014D" w14:textId="77777777">
        <w:trPr>
          <w:cantSplit/>
          <w:jc w:val="center"/>
        </w:trPr>
        <w:tc>
          <w:tcPr>
            <w:tcW w:w="1440" w:type="dxa"/>
            <w:tcBorders>
              <w:top w:val="single" w:sz="4" w:space="0" w:color="D1D5DB"/>
              <w:bottom w:val="single" w:sz="4" w:space="0" w:color="D1D5DB"/>
            </w:tcBorders>
            <w:shd w:val="clear" w:color="auto" w:fill="FFFFFF"/>
            <w:vAlign w:val="center"/>
          </w:tcPr>
          <w:p w14:paraId="78ED5794" w14:textId="77777777" w:rsidR="00365B00" w:rsidRPr="00B652FB" w:rsidRDefault="00000000">
            <w:pPr>
              <w:rPr>
                <w:color w:val="000000" w:themeColor="text1"/>
              </w:rPr>
            </w:pPr>
            <w:r w:rsidRPr="00B652FB">
              <w:rPr>
                <w:color w:val="000000" w:themeColor="text1"/>
              </w:rPr>
              <w:lastRenderedPageBreak/>
              <w:t>Feels</w:t>
            </w:r>
          </w:p>
        </w:tc>
        <w:tc>
          <w:tcPr>
            <w:tcW w:w="2592" w:type="dxa"/>
            <w:tcBorders>
              <w:top w:val="single" w:sz="4" w:space="0" w:color="D1D5DB"/>
              <w:bottom w:val="single" w:sz="4" w:space="0" w:color="D1D5DB"/>
            </w:tcBorders>
            <w:shd w:val="clear" w:color="auto" w:fill="FFFFFF"/>
            <w:vAlign w:val="center"/>
          </w:tcPr>
          <w:p w14:paraId="4445C2AD" w14:textId="77777777" w:rsidR="00365B00" w:rsidRPr="00B652FB" w:rsidRDefault="00000000">
            <w:pPr>
              <w:rPr>
                <w:color w:val="000000" w:themeColor="text1"/>
              </w:rPr>
            </w:pPr>
            <w:r w:rsidRPr="00B652FB">
              <w:rPr>
                <w:color w:val="000000" w:themeColor="text1"/>
              </w:rPr>
              <w:t>Under pressure to optimize multi-million dollar portfolios.</w:t>
            </w:r>
          </w:p>
        </w:tc>
        <w:tc>
          <w:tcPr>
            <w:tcW w:w="2592" w:type="dxa"/>
            <w:gridSpan w:val="2"/>
            <w:tcBorders>
              <w:top w:val="single" w:sz="4" w:space="0" w:color="D1D5DB"/>
              <w:bottom w:val="single" w:sz="4" w:space="0" w:color="D1D5DB"/>
            </w:tcBorders>
            <w:shd w:val="clear" w:color="auto" w:fill="FFFFFF"/>
            <w:vAlign w:val="center"/>
          </w:tcPr>
          <w:p w14:paraId="434A2EB4" w14:textId="77777777" w:rsidR="00365B00" w:rsidRPr="00B652FB" w:rsidRDefault="00000000">
            <w:pPr>
              <w:rPr>
                <w:color w:val="000000" w:themeColor="text1"/>
              </w:rPr>
            </w:pPr>
            <w:r w:rsidRPr="00B652FB">
              <w:rPr>
                <w:color w:val="000000" w:themeColor="text1"/>
              </w:rPr>
              <w:t>Driven to deliver high-confidence client recommendations.</w:t>
            </w:r>
          </w:p>
        </w:tc>
        <w:tc>
          <w:tcPr>
            <w:tcW w:w="2736" w:type="dxa"/>
            <w:tcBorders>
              <w:top w:val="single" w:sz="4" w:space="0" w:color="D1D5DB"/>
              <w:bottom w:val="single" w:sz="4" w:space="0" w:color="D1D5DB"/>
            </w:tcBorders>
            <w:shd w:val="clear" w:color="auto" w:fill="FFFFFF"/>
            <w:vAlign w:val="center"/>
          </w:tcPr>
          <w:p w14:paraId="0FEE90A7" w14:textId="77777777" w:rsidR="00365B00" w:rsidRPr="00B652FB" w:rsidRDefault="00000000">
            <w:pPr>
              <w:rPr>
                <w:color w:val="000000" w:themeColor="text1"/>
              </w:rPr>
            </w:pPr>
            <w:r w:rsidRPr="00B652FB">
              <w:rPr>
                <w:color w:val="000000" w:themeColor="text1"/>
              </w:rPr>
              <w:t>Motivated by long-term environmental sustainability goals.</w:t>
            </w:r>
          </w:p>
        </w:tc>
      </w:tr>
    </w:tbl>
    <w:p w14:paraId="22AECE60" w14:textId="77777777" w:rsidR="00365B00" w:rsidRPr="00B652FB" w:rsidRDefault="00365B00">
      <w:pPr>
        <w:rPr>
          <w:color w:val="000000" w:themeColor="text1"/>
        </w:rPr>
      </w:pPr>
    </w:p>
    <w:p w14:paraId="273005D4" w14:textId="77777777" w:rsidR="00365B00" w:rsidRPr="00B652FB" w:rsidRDefault="00000000">
      <w:pPr>
        <w:keepNext/>
        <w:spacing w:before="360"/>
        <w:rPr>
          <w:color w:val="000000" w:themeColor="text1"/>
        </w:rPr>
      </w:pPr>
      <w:r w:rsidRPr="00B652FB">
        <w:rPr>
          <w:rFonts w:ascii="Arial" w:hAnsi="Arial"/>
          <w:b/>
          <w:color w:val="000000" w:themeColor="text1"/>
          <w:sz w:val="32"/>
        </w:rPr>
        <w:t>3. Detailed Analytical Insights &amp; Story Analysis</w:t>
      </w:r>
    </w:p>
    <w:p w14:paraId="785C5E65"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3.1 Dashboard 1 Insights: Market Performance &amp; Competitive Landscape</w:t>
      </w:r>
    </w:p>
    <w:p w14:paraId="0A9E345E" w14:textId="77777777" w:rsidR="00365B00" w:rsidRPr="00B652FB" w:rsidRDefault="00000000">
      <w:pPr>
        <w:pStyle w:val="ListBullet"/>
        <w:spacing w:after="60"/>
        <w:rPr>
          <w:color w:val="000000" w:themeColor="text1"/>
        </w:rPr>
      </w:pPr>
      <w:r w:rsidRPr="00B652FB">
        <w:rPr>
          <w:b/>
          <w:color w:val="000000" w:themeColor="text1"/>
        </w:rPr>
        <w:t xml:space="preserve">Global Executive KPIs: </w:t>
      </w:r>
      <w:r w:rsidRPr="00B652FB">
        <w:rPr>
          <w:color w:val="000000" w:themeColor="text1"/>
        </w:rPr>
        <w:t>The global EV ecosystem exhibits total cumulative sales of 1.55 Billion units across all categories. The average vehicle selling price stands at $64,921 with a mean driving range of 324.54 km, resulting in 738,000 metric tons of annual CO2 savings.</w:t>
      </w:r>
    </w:p>
    <w:p w14:paraId="724BAE5F" w14:textId="77777777" w:rsidR="00365B00" w:rsidRPr="00B652FB" w:rsidRDefault="00000000">
      <w:pPr>
        <w:pStyle w:val="ListBullet"/>
        <w:spacing w:after="60"/>
        <w:rPr>
          <w:color w:val="000000" w:themeColor="text1"/>
        </w:rPr>
      </w:pPr>
      <w:r w:rsidRPr="00B652FB">
        <w:rPr>
          <w:b/>
          <w:color w:val="000000" w:themeColor="text1"/>
        </w:rPr>
        <w:t xml:space="preserve">Production Hub Dominance: </w:t>
      </w:r>
      <w:r w:rsidRPr="00B652FB">
        <w:rPr>
          <w:color w:val="000000" w:themeColor="text1"/>
        </w:rPr>
        <w:t>Manufacturing output is heavily concentrated in Asia-Pacific and emerging assembly hubs, led by India, China, and Vietnam. These countries dominate volume manufacturing, particularly for two/three-wheelers and commercial EV fleets.</w:t>
      </w:r>
    </w:p>
    <w:p w14:paraId="5C6D6381" w14:textId="77777777" w:rsidR="00365B00" w:rsidRPr="00B652FB" w:rsidRDefault="00000000">
      <w:pPr>
        <w:pStyle w:val="ListBullet"/>
        <w:spacing w:after="60"/>
        <w:rPr>
          <w:color w:val="000000" w:themeColor="text1"/>
        </w:rPr>
      </w:pPr>
      <w:r w:rsidRPr="00B652FB">
        <w:rPr>
          <w:b/>
          <w:color w:val="000000" w:themeColor="text1"/>
        </w:rPr>
        <w:t xml:space="preserve">Driving Range Distribution &amp; Vehicle Classes: </w:t>
      </w:r>
      <w:r w:rsidRPr="00B652FB">
        <w:rPr>
          <w:color w:val="000000" w:themeColor="text1"/>
        </w:rPr>
        <w:t>Luxury Sedans and Premium SUVs achieve the highest single-charge range (averaging over 450 km), commanding top tier pricing ($80,000 - $120,000+). Conversely, Micro City Cars and Two-Wheeler Scooters occupy short-range brackets (80–180 km) at lower price points, serving urban last-mile mobility.</w:t>
      </w:r>
    </w:p>
    <w:p w14:paraId="6B8F2267" w14:textId="77777777" w:rsidR="00365B00" w:rsidRPr="00B652FB" w:rsidRDefault="00000000">
      <w:pPr>
        <w:pStyle w:val="ListBullet"/>
        <w:spacing w:after="60"/>
        <w:rPr>
          <w:color w:val="000000" w:themeColor="text1"/>
        </w:rPr>
      </w:pPr>
      <w:r w:rsidRPr="00B652FB">
        <w:rPr>
          <w:b/>
          <w:color w:val="000000" w:themeColor="text1"/>
        </w:rPr>
        <w:t xml:space="preserve">Resale Value Retention (3-Year): </w:t>
      </w:r>
      <w:r w:rsidRPr="00B652FB">
        <w:rPr>
          <w:color w:val="000000" w:themeColor="text1"/>
        </w:rPr>
        <w:t>Commercial and high-utility EVs display the strongest 3-year retained asset values. Electric Buses lead with an average retained value of $14.5M across commercial fleets, followed by Electric Heavy Trucks ($11.2M), Sports Cars ($8.69M), and Luxury SUVs ($6.15M), reflecting strong commercial asset longevity.</w:t>
      </w:r>
    </w:p>
    <w:p w14:paraId="6D27C1C0" w14:textId="77777777" w:rsidR="00365B00" w:rsidRPr="00B652FB" w:rsidRDefault="00000000">
      <w:pPr>
        <w:pStyle w:val="ListBullet"/>
        <w:spacing w:after="60"/>
        <w:rPr>
          <w:color w:val="000000" w:themeColor="text1"/>
        </w:rPr>
      </w:pPr>
      <w:r w:rsidRPr="00B652FB">
        <w:rPr>
          <w:b/>
          <w:color w:val="000000" w:themeColor="text1"/>
        </w:rPr>
        <w:t xml:space="preserve">OEM &amp; Customer Satisfaction Benchmarking: </w:t>
      </w:r>
      <w:r w:rsidRPr="00B652FB">
        <w:rPr>
          <w:color w:val="000000" w:themeColor="text1"/>
        </w:rPr>
        <w:t>High sales volume does not always directly correlate with top customer ratings. While dominant OEMs lead in raw sales units, specialized manufacturers with dedicated EV platforms achieve higher customer satisfaction scores due to superior software integration and build quality.</w:t>
      </w:r>
    </w:p>
    <w:p w14:paraId="2940D82A"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3.2 Dashboard 2 Insights: Technology, Efficiency &amp; Environmental Impact</w:t>
      </w:r>
    </w:p>
    <w:p w14:paraId="37B18F03" w14:textId="77777777" w:rsidR="00365B00" w:rsidRPr="00B652FB" w:rsidRDefault="00000000">
      <w:pPr>
        <w:pStyle w:val="ListBullet"/>
        <w:spacing w:after="60"/>
        <w:rPr>
          <w:color w:val="000000" w:themeColor="text1"/>
        </w:rPr>
      </w:pPr>
      <w:r w:rsidRPr="00B652FB">
        <w:rPr>
          <w:b/>
          <w:color w:val="000000" w:themeColor="text1"/>
        </w:rPr>
        <w:t xml:space="preserve">Sales Trend &amp; Segment Growth: </w:t>
      </w:r>
      <w:r w:rsidRPr="00B652FB">
        <w:rPr>
          <w:color w:val="000000" w:themeColor="text1"/>
        </w:rPr>
        <w:t>Annual EV sales maintain steady growth trajectories between 2018 and 2026. The highest volume growth is consistently driven by Two-Wheeler Scooters and Compact Urban EVs, which serve high-density metropolitan markets.</w:t>
      </w:r>
    </w:p>
    <w:p w14:paraId="31C83211" w14:textId="77777777" w:rsidR="00365B00" w:rsidRPr="00B652FB" w:rsidRDefault="00000000">
      <w:pPr>
        <w:pStyle w:val="ListBullet"/>
        <w:spacing w:after="60"/>
        <w:rPr>
          <w:color w:val="000000" w:themeColor="text1"/>
        </w:rPr>
      </w:pPr>
      <w:r w:rsidRPr="00B652FB">
        <w:rPr>
          <w:b/>
          <w:color w:val="000000" w:themeColor="text1"/>
        </w:rPr>
        <w:t xml:space="preserve">Battery Chemistry Performance: </w:t>
      </w:r>
      <w:r w:rsidRPr="00B652FB">
        <w:rPr>
          <w:color w:val="000000" w:themeColor="text1"/>
        </w:rPr>
        <w:t>NMC (Nickel Manganese Cobalt) and LFP (Lithium Iron Phosphate) account for over 65% of total battery deployments. LFP and emerging Solid-State technologies offer the longest operational cycle life (exceeding 2,500–3,000 charge cycles) and lowest annual degradation, making them ideal for long-term ownership. NMC and NCA remain favored for high-density, long-range luxury vehicles.</w:t>
      </w:r>
    </w:p>
    <w:p w14:paraId="6835970E" w14:textId="77777777" w:rsidR="00365B00" w:rsidRPr="00B652FB" w:rsidRDefault="00000000">
      <w:pPr>
        <w:pStyle w:val="ListBullet"/>
        <w:spacing w:after="60"/>
        <w:rPr>
          <w:color w:val="000000" w:themeColor="text1"/>
        </w:rPr>
      </w:pPr>
      <w:r w:rsidRPr="00B652FB">
        <w:rPr>
          <w:b/>
          <w:color w:val="000000" w:themeColor="text1"/>
        </w:rPr>
        <w:lastRenderedPageBreak/>
        <w:t xml:space="preserve">Charging Power vs. Energy Efficiency: </w:t>
      </w:r>
      <w:r w:rsidRPr="00B652FB">
        <w:rPr>
          <w:color w:val="000000" w:themeColor="text1"/>
        </w:rPr>
        <w:t>A clear engineering trade-off exists between charging speed and vehicle efficiency. High-capacity commercial vehicles and heavy SUVs support fast DC charging up to 350 kW but exhibit higher energy consumption per kilometer. Smaller passenger vehicles operate efficiently at 50–150 kW DC fast-charging rates.</w:t>
      </w:r>
    </w:p>
    <w:p w14:paraId="6AF0EEF7" w14:textId="77777777" w:rsidR="00365B00" w:rsidRPr="00B652FB" w:rsidRDefault="00000000">
      <w:pPr>
        <w:pStyle w:val="ListBullet"/>
        <w:spacing w:after="60"/>
        <w:rPr>
          <w:color w:val="000000" w:themeColor="text1"/>
        </w:rPr>
      </w:pPr>
      <w:r w:rsidRPr="00B652FB">
        <w:rPr>
          <w:b/>
          <w:color w:val="000000" w:themeColor="text1"/>
        </w:rPr>
        <w:t xml:space="preserve">Environmental &amp; CO2 Impact: </w:t>
      </w:r>
      <w:r w:rsidRPr="00B652FB">
        <w:rPr>
          <w:color w:val="000000" w:themeColor="text1"/>
        </w:rPr>
        <w:t>Geographic CO2 displacement map shows that regions replacing diesel commercial fleets and high-mileage urban commuting vehicles with EVs generate the highest annual CO2 savings per vehicle unit, directly accelerating global decarbonization targets.</w:t>
      </w:r>
    </w:p>
    <w:p w14:paraId="380C75BD"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3.3 Combined Story Arc Insights</w:t>
      </w:r>
    </w:p>
    <w:p w14:paraId="510D9ED0" w14:textId="77777777" w:rsidR="00365B00" w:rsidRPr="00B652FB" w:rsidRDefault="00000000">
      <w:pPr>
        <w:rPr>
          <w:color w:val="000000" w:themeColor="text1"/>
        </w:rPr>
      </w:pPr>
      <w:r w:rsidRPr="00B652FB">
        <w:rPr>
          <w:color w:val="000000" w:themeColor="text1"/>
        </w:rPr>
        <w:t>By linking Dashboard 1 and Dashboard 2 into a Tableau Story, stakeholders can follow a complete narrative: from market size and OEM positioning, down to technical battery selections and localized environmental benefits. This integrated perspective confirms that mass-market adoption depends on expanding cost-effective LFP/Sodium-Ion platforms, while high-end profitability relies on energy-dense NMC and Solid-State architectures.</w:t>
      </w:r>
    </w:p>
    <w:p w14:paraId="12927286" w14:textId="77777777" w:rsidR="00365B00" w:rsidRPr="00B652FB" w:rsidRDefault="00000000">
      <w:pPr>
        <w:keepNext/>
        <w:spacing w:before="360"/>
        <w:rPr>
          <w:color w:val="000000" w:themeColor="text1"/>
        </w:rPr>
      </w:pPr>
      <w:r w:rsidRPr="00B652FB">
        <w:rPr>
          <w:rFonts w:ascii="Arial" w:hAnsi="Arial"/>
          <w:b/>
          <w:color w:val="000000" w:themeColor="text1"/>
          <w:sz w:val="32"/>
        </w:rPr>
        <w:t>4. Requirement Analysis &amp; Solution Design</w:t>
      </w:r>
    </w:p>
    <w:p w14:paraId="174033CF"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4.1 Requirement Matrix</w:t>
      </w:r>
    </w:p>
    <w:tbl>
      <w:tblPr>
        <w:tblW w:w="0" w:type="auto"/>
        <w:jc w:val="center"/>
        <w:tblLook w:val="04A0" w:firstRow="1" w:lastRow="0" w:firstColumn="1" w:lastColumn="0" w:noHBand="0" w:noVBand="1"/>
      </w:tblPr>
      <w:tblGrid>
        <w:gridCol w:w="3168"/>
        <w:gridCol w:w="6192"/>
      </w:tblGrid>
      <w:tr w:rsidR="00365B00" w:rsidRPr="00B652FB" w14:paraId="71245AD7" w14:textId="77777777">
        <w:trPr>
          <w:cantSplit/>
          <w:tblHeader/>
          <w:jc w:val="center"/>
        </w:trPr>
        <w:tc>
          <w:tcPr>
            <w:tcW w:w="3168" w:type="dxa"/>
            <w:tcBorders>
              <w:top w:val="single" w:sz="4" w:space="0" w:color="0B3C5D"/>
              <w:bottom w:val="single" w:sz="12" w:space="0" w:color="0B3C5D"/>
            </w:tcBorders>
            <w:shd w:val="clear" w:color="auto" w:fill="0B3C5D"/>
            <w:vAlign w:val="center"/>
          </w:tcPr>
          <w:p w14:paraId="1510375C" w14:textId="77777777" w:rsidR="00365B00" w:rsidRPr="00B652FB" w:rsidRDefault="00000000">
            <w:pPr>
              <w:rPr>
                <w:color w:val="000000" w:themeColor="text1"/>
              </w:rPr>
            </w:pPr>
            <w:r w:rsidRPr="00B652FB">
              <w:rPr>
                <w:b/>
                <w:color w:val="000000" w:themeColor="text1"/>
              </w:rPr>
              <w:t>Functional Requirement</w:t>
            </w:r>
          </w:p>
        </w:tc>
        <w:tc>
          <w:tcPr>
            <w:tcW w:w="6192" w:type="dxa"/>
            <w:tcBorders>
              <w:top w:val="single" w:sz="4" w:space="0" w:color="0B3C5D"/>
              <w:bottom w:val="single" w:sz="12" w:space="0" w:color="0B3C5D"/>
            </w:tcBorders>
            <w:shd w:val="clear" w:color="auto" w:fill="0B3C5D"/>
            <w:vAlign w:val="center"/>
          </w:tcPr>
          <w:p w14:paraId="2A288FE0" w14:textId="77777777" w:rsidR="00365B00" w:rsidRPr="00B652FB" w:rsidRDefault="00000000">
            <w:pPr>
              <w:rPr>
                <w:color w:val="000000" w:themeColor="text1"/>
              </w:rPr>
            </w:pPr>
            <w:r w:rsidRPr="00B652FB">
              <w:rPr>
                <w:b/>
                <w:color w:val="000000" w:themeColor="text1"/>
              </w:rPr>
              <w:t>Implementation in Tableau</w:t>
            </w:r>
          </w:p>
        </w:tc>
      </w:tr>
      <w:tr w:rsidR="00365B00" w:rsidRPr="00B652FB" w14:paraId="1C6BD16C" w14:textId="77777777">
        <w:trPr>
          <w:cantSplit/>
          <w:jc w:val="center"/>
        </w:trPr>
        <w:tc>
          <w:tcPr>
            <w:tcW w:w="3168" w:type="dxa"/>
            <w:tcBorders>
              <w:top w:val="single" w:sz="4" w:space="0" w:color="D1D5DB"/>
              <w:bottom w:val="single" w:sz="4" w:space="0" w:color="D1D5DB"/>
            </w:tcBorders>
            <w:shd w:val="clear" w:color="auto" w:fill="F5F7FA"/>
            <w:vAlign w:val="center"/>
          </w:tcPr>
          <w:p w14:paraId="1ABDDB79" w14:textId="77777777" w:rsidR="00365B00" w:rsidRPr="00B652FB" w:rsidRDefault="00000000">
            <w:pPr>
              <w:rPr>
                <w:color w:val="000000" w:themeColor="text1"/>
              </w:rPr>
            </w:pPr>
            <w:r w:rsidRPr="00B652FB">
              <w:rPr>
                <w:color w:val="000000" w:themeColor="text1"/>
              </w:rPr>
              <w:t>Executive KPI Display</w:t>
            </w:r>
          </w:p>
        </w:tc>
        <w:tc>
          <w:tcPr>
            <w:tcW w:w="6192" w:type="dxa"/>
            <w:tcBorders>
              <w:top w:val="single" w:sz="4" w:space="0" w:color="D1D5DB"/>
              <w:bottom w:val="single" w:sz="4" w:space="0" w:color="D1D5DB"/>
            </w:tcBorders>
            <w:shd w:val="clear" w:color="auto" w:fill="F5F7FA"/>
            <w:vAlign w:val="center"/>
          </w:tcPr>
          <w:p w14:paraId="0099840F" w14:textId="77777777" w:rsidR="00365B00" w:rsidRPr="00B652FB" w:rsidRDefault="00000000">
            <w:pPr>
              <w:rPr>
                <w:color w:val="000000" w:themeColor="text1"/>
              </w:rPr>
            </w:pPr>
            <w:r w:rsidRPr="00B652FB">
              <w:rPr>
                <w:color w:val="000000" w:themeColor="text1"/>
              </w:rPr>
              <w:t>Single-card summary containers for Total Sales (1.55B), Avg Price ($64.9K), Avg Range (324.5 km), and CO2 Saved (738K tons).</w:t>
            </w:r>
          </w:p>
        </w:tc>
      </w:tr>
      <w:tr w:rsidR="00365B00" w:rsidRPr="00B652FB" w14:paraId="71343838" w14:textId="77777777">
        <w:trPr>
          <w:cantSplit/>
          <w:jc w:val="center"/>
        </w:trPr>
        <w:tc>
          <w:tcPr>
            <w:tcW w:w="3168" w:type="dxa"/>
            <w:tcBorders>
              <w:top w:val="single" w:sz="4" w:space="0" w:color="D1D5DB"/>
              <w:bottom w:val="single" w:sz="4" w:space="0" w:color="D1D5DB"/>
            </w:tcBorders>
            <w:shd w:val="clear" w:color="auto" w:fill="FFFFFF"/>
            <w:vAlign w:val="center"/>
          </w:tcPr>
          <w:p w14:paraId="6F4DE8E2" w14:textId="77777777" w:rsidR="00365B00" w:rsidRPr="00B652FB" w:rsidRDefault="00000000">
            <w:pPr>
              <w:rPr>
                <w:color w:val="000000" w:themeColor="text1"/>
              </w:rPr>
            </w:pPr>
            <w:r w:rsidRPr="00B652FB">
              <w:rPr>
                <w:color w:val="000000" w:themeColor="text1"/>
              </w:rPr>
              <w:t>Category &amp; Regional Analysis</w:t>
            </w:r>
          </w:p>
        </w:tc>
        <w:tc>
          <w:tcPr>
            <w:tcW w:w="6192" w:type="dxa"/>
            <w:tcBorders>
              <w:top w:val="single" w:sz="4" w:space="0" w:color="D1D5DB"/>
              <w:bottom w:val="single" w:sz="4" w:space="0" w:color="D1D5DB"/>
            </w:tcBorders>
            <w:shd w:val="clear" w:color="auto" w:fill="FFFFFF"/>
            <w:vAlign w:val="center"/>
          </w:tcPr>
          <w:p w14:paraId="1AEC2AD7" w14:textId="77777777" w:rsidR="00365B00" w:rsidRPr="00B652FB" w:rsidRDefault="00000000">
            <w:pPr>
              <w:rPr>
                <w:color w:val="000000" w:themeColor="text1"/>
              </w:rPr>
            </w:pPr>
            <w:r w:rsidRPr="00B652FB">
              <w:rPr>
                <w:color w:val="000000" w:themeColor="text1"/>
              </w:rPr>
              <w:t>Global choropleth maps and stacked bar charts showing production distribution across India, China, Vietnam, US, and EU.</w:t>
            </w:r>
          </w:p>
        </w:tc>
      </w:tr>
      <w:tr w:rsidR="00365B00" w:rsidRPr="00B652FB" w14:paraId="31F20461" w14:textId="77777777">
        <w:trPr>
          <w:cantSplit/>
          <w:jc w:val="center"/>
        </w:trPr>
        <w:tc>
          <w:tcPr>
            <w:tcW w:w="3168" w:type="dxa"/>
            <w:tcBorders>
              <w:top w:val="single" w:sz="4" w:space="0" w:color="D1D5DB"/>
              <w:bottom w:val="single" w:sz="4" w:space="0" w:color="D1D5DB"/>
            </w:tcBorders>
            <w:shd w:val="clear" w:color="auto" w:fill="F5F7FA"/>
            <w:vAlign w:val="center"/>
          </w:tcPr>
          <w:p w14:paraId="7B5DAC6F" w14:textId="77777777" w:rsidR="00365B00" w:rsidRPr="00B652FB" w:rsidRDefault="00000000">
            <w:pPr>
              <w:rPr>
                <w:color w:val="000000" w:themeColor="text1"/>
              </w:rPr>
            </w:pPr>
            <w:r w:rsidRPr="00B652FB">
              <w:rPr>
                <w:color w:val="000000" w:themeColor="text1"/>
              </w:rPr>
              <w:t>Competitive OEM Rating</w:t>
            </w:r>
          </w:p>
        </w:tc>
        <w:tc>
          <w:tcPr>
            <w:tcW w:w="6192" w:type="dxa"/>
            <w:tcBorders>
              <w:top w:val="single" w:sz="4" w:space="0" w:color="D1D5DB"/>
              <w:bottom w:val="single" w:sz="4" w:space="0" w:color="D1D5DB"/>
            </w:tcBorders>
            <w:shd w:val="clear" w:color="auto" w:fill="F5F7FA"/>
            <w:vAlign w:val="center"/>
          </w:tcPr>
          <w:p w14:paraId="53AD1456" w14:textId="77777777" w:rsidR="00365B00" w:rsidRPr="00B652FB" w:rsidRDefault="00000000">
            <w:pPr>
              <w:rPr>
                <w:color w:val="000000" w:themeColor="text1"/>
              </w:rPr>
            </w:pPr>
            <w:r w:rsidRPr="00B652FB">
              <w:rPr>
                <w:color w:val="000000" w:themeColor="text1"/>
              </w:rPr>
              <w:t>Scatter plot and ranking bars plotting customer review scores against unit sales volume.</w:t>
            </w:r>
          </w:p>
        </w:tc>
      </w:tr>
      <w:tr w:rsidR="00365B00" w:rsidRPr="00B652FB" w14:paraId="522C71EE" w14:textId="77777777">
        <w:trPr>
          <w:cantSplit/>
          <w:jc w:val="center"/>
        </w:trPr>
        <w:tc>
          <w:tcPr>
            <w:tcW w:w="3168" w:type="dxa"/>
            <w:tcBorders>
              <w:top w:val="single" w:sz="4" w:space="0" w:color="D1D5DB"/>
              <w:bottom w:val="single" w:sz="4" w:space="0" w:color="D1D5DB"/>
            </w:tcBorders>
            <w:shd w:val="clear" w:color="auto" w:fill="FFFFFF"/>
            <w:vAlign w:val="center"/>
          </w:tcPr>
          <w:p w14:paraId="2C9ECE9D" w14:textId="77777777" w:rsidR="00365B00" w:rsidRPr="00B652FB" w:rsidRDefault="00000000">
            <w:pPr>
              <w:rPr>
                <w:color w:val="000000" w:themeColor="text1"/>
              </w:rPr>
            </w:pPr>
            <w:r w:rsidRPr="00B652FB">
              <w:rPr>
                <w:color w:val="000000" w:themeColor="text1"/>
              </w:rPr>
              <w:t>Battery Tech Comparison</w:t>
            </w:r>
          </w:p>
        </w:tc>
        <w:tc>
          <w:tcPr>
            <w:tcW w:w="6192" w:type="dxa"/>
            <w:tcBorders>
              <w:top w:val="single" w:sz="4" w:space="0" w:color="D1D5DB"/>
              <w:bottom w:val="single" w:sz="4" w:space="0" w:color="D1D5DB"/>
            </w:tcBorders>
            <w:shd w:val="clear" w:color="auto" w:fill="FFFFFF"/>
            <w:vAlign w:val="center"/>
          </w:tcPr>
          <w:p w14:paraId="63691A8D" w14:textId="77777777" w:rsidR="00365B00" w:rsidRPr="00B652FB" w:rsidRDefault="00000000">
            <w:pPr>
              <w:rPr>
                <w:color w:val="000000" w:themeColor="text1"/>
              </w:rPr>
            </w:pPr>
            <w:r w:rsidRPr="00B652FB">
              <w:rPr>
                <w:color w:val="000000" w:themeColor="text1"/>
              </w:rPr>
              <w:t>Dual-axis bubble/bar charts comparing battery chemistry sales against cycle life and degradation rates.</w:t>
            </w:r>
          </w:p>
        </w:tc>
      </w:tr>
      <w:tr w:rsidR="00365B00" w:rsidRPr="00B652FB" w14:paraId="20D03A18" w14:textId="77777777">
        <w:trPr>
          <w:cantSplit/>
          <w:jc w:val="center"/>
        </w:trPr>
        <w:tc>
          <w:tcPr>
            <w:tcW w:w="3168" w:type="dxa"/>
            <w:tcBorders>
              <w:top w:val="single" w:sz="4" w:space="0" w:color="D1D5DB"/>
              <w:bottom w:val="single" w:sz="4" w:space="0" w:color="D1D5DB"/>
            </w:tcBorders>
            <w:shd w:val="clear" w:color="auto" w:fill="F5F7FA"/>
            <w:vAlign w:val="center"/>
          </w:tcPr>
          <w:p w14:paraId="0E1BA815" w14:textId="77777777" w:rsidR="00365B00" w:rsidRPr="00B652FB" w:rsidRDefault="00000000">
            <w:pPr>
              <w:rPr>
                <w:color w:val="000000" w:themeColor="text1"/>
              </w:rPr>
            </w:pPr>
            <w:r w:rsidRPr="00B652FB">
              <w:rPr>
                <w:color w:val="000000" w:themeColor="text1"/>
              </w:rPr>
              <w:t>Interactive Filtering</w:t>
            </w:r>
          </w:p>
        </w:tc>
        <w:tc>
          <w:tcPr>
            <w:tcW w:w="6192" w:type="dxa"/>
            <w:tcBorders>
              <w:top w:val="single" w:sz="4" w:space="0" w:color="D1D5DB"/>
              <w:bottom w:val="single" w:sz="4" w:space="0" w:color="D1D5DB"/>
            </w:tcBorders>
            <w:shd w:val="clear" w:color="auto" w:fill="F5F7FA"/>
            <w:vAlign w:val="center"/>
          </w:tcPr>
          <w:p w14:paraId="560BE154" w14:textId="77777777" w:rsidR="00365B00" w:rsidRPr="00B652FB" w:rsidRDefault="00000000">
            <w:pPr>
              <w:rPr>
                <w:color w:val="000000" w:themeColor="text1"/>
              </w:rPr>
            </w:pPr>
            <w:r w:rsidRPr="00B652FB">
              <w:rPr>
                <w:color w:val="000000" w:themeColor="text1"/>
              </w:rPr>
              <w:t>Global vehicle category color-legend filters cross-linking all charts across Dashboard 1 and Dashboard 2.</w:t>
            </w:r>
          </w:p>
        </w:tc>
      </w:tr>
    </w:tbl>
    <w:p w14:paraId="6F5177BE" w14:textId="77777777" w:rsidR="00365B00" w:rsidRPr="00B652FB" w:rsidRDefault="00365B00">
      <w:pPr>
        <w:rPr>
          <w:color w:val="000000" w:themeColor="text1"/>
        </w:rPr>
      </w:pPr>
    </w:p>
    <w:p w14:paraId="236BA9BD"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4.2 Technology Stack</w:t>
      </w:r>
    </w:p>
    <w:tbl>
      <w:tblPr>
        <w:tblW w:w="0" w:type="auto"/>
        <w:jc w:val="center"/>
        <w:tblLook w:val="04A0" w:firstRow="1" w:lastRow="0" w:firstColumn="1" w:lastColumn="0" w:noHBand="0" w:noVBand="1"/>
      </w:tblPr>
      <w:tblGrid>
        <w:gridCol w:w="3168"/>
        <w:gridCol w:w="6192"/>
      </w:tblGrid>
      <w:tr w:rsidR="00365B00" w:rsidRPr="00B652FB" w14:paraId="106D9E64" w14:textId="77777777">
        <w:trPr>
          <w:cantSplit/>
          <w:tblHeader/>
          <w:jc w:val="center"/>
        </w:trPr>
        <w:tc>
          <w:tcPr>
            <w:tcW w:w="3168" w:type="dxa"/>
            <w:tcBorders>
              <w:top w:val="single" w:sz="4" w:space="0" w:color="0B3C5D"/>
              <w:bottom w:val="single" w:sz="12" w:space="0" w:color="0B3C5D"/>
            </w:tcBorders>
            <w:shd w:val="clear" w:color="auto" w:fill="0B3C5D"/>
            <w:vAlign w:val="center"/>
          </w:tcPr>
          <w:p w14:paraId="745B78EB" w14:textId="77777777" w:rsidR="00365B00" w:rsidRPr="00B652FB" w:rsidRDefault="00000000">
            <w:pPr>
              <w:rPr>
                <w:color w:val="EE0000"/>
                <w:sz w:val="28"/>
                <w:szCs w:val="28"/>
              </w:rPr>
            </w:pPr>
            <w:r w:rsidRPr="00B652FB">
              <w:rPr>
                <w:b/>
                <w:color w:val="EE0000"/>
                <w:sz w:val="28"/>
                <w:szCs w:val="28"/>
              </w:rPr>
              <w:t>Layer</w:t>
            </w:r>
          </w:p>
        </w:tc>
        <w:tc>
          <w:tcPr>
            <w:tcW w:w="6192" w:type="dxa"/>
            <w:tcBorders>
              <w:top w:val="single" w:sz="4" w:space="0" w:color="0B3C5D"/>
              <w:bottom w:val="single" w:sz="12" w:space="0" w:color="0B3C5D"/>
            </w:tcBorders>
            <w:shd w:val="clear" w:color="auto" w:fill="0B3C5D"/>
            <w:vAlign w:val="center"/>
          </w:tcPr>
          <w:p w14:paraId="743AD796" w14:textId="77777777" w:rsidR="00365B00" w:rsidRPr="00B652FB" w:rsidRDefault="00000000">
            <w:pPr>
              <w:rPr>
                <w:color w:val="EE0000"/>
                <w:sz w:val="28"/>
                <w:szCs w:val="28"/>
              </w:rPr>
            </w:pPr>
            <w:r w:rsidRPr="00B652FB">
              <w:rPr>
                <w:b/>
                <w:color w:val="EE0000"/>
                <w:sz w:val="28"/>
                <w:szCs w:val="28"/>
              </w:rPr>
              <w:t>Technology / Tool</w:t>
            </w:r>
          </w:p>
        </w:tc>
      </w:tr>
      <w:tr w:rsidR="00365B00" w:rsidRPr="00B652FB" w14:paraId="6BD4F97C" w14:textId="77777777">
        <w:trPr>
          <w:cantSplit/>
          <w:jc w:val="center"/>
        </w:trPr>
        <w:tc>
          <w:tcPr>
            <w:tcW w:w="3168" w:type="dxa"/>
            <w:tcBorders>
              <w:top w:val="single" w:sz="4" w:space="0" w:color="D1D5DB"/>
              <w:bottom w:val="single" w:sz="4" w:space="0" w:color="D1D5DB"/>
            </w:tcBorders>
            <w:shd w:val="clear" w:color="auto" w:fill="F5F7FA"/>
            <w:vAlign w:val="center"/>
          </w:tcPr>
          <w:p w14:paraId="58621068" w14:textId="77777777" w:rsidR="00365B00" w:rsidRPr="00B652FB" w:rsidRDefault="00000000">
            <w:pPr>
              <w:rPr>
                <w:color w:val="000000" w:themeColor="text1"/>
              </w:rPr>
            </w:pPr>
            <w:r w:rsidRPr="00B652FB">
              <w:rPr>
                <w:color w:val="000000" w:themeColor="text1"/>
              </w:rPr>
              <w:t>Data Layer</w:t>
            </w:r>
          </w:p>
        </w:tc>
        <w:tc>
          <w:tcPr>
            <w:tcW w:w="6192" w:type="dxa"/>
            <w:tcBorders>
              <w:top w:val="single" w:sz="4" w:space="0" w:color="D1D5DB"/>
              <w:bottom w:val="single" w:sz="4" w:space="0" w:color="D1D5DB"/>
            </w:tcBorders>
            <w:shd w:val="clear" w:color="auto" w:fill="F5F7FA"/>
            <w:vAlign w:val="center"/>
          </w:tcPr>
          <w:p w14:paraId="451C5AD2" w14:textId="77777777" w:rsidR="00365B00" w:rsidRPr="00B652FB" w:rsidRDefault="00000000">
            <w:pPr>
              <w:rPr>
                <w:color w:val="000000" w:themeColor="text1"/>
              </w:rPr>
            </w:pPr>
            <w:r w:rsidRPr="00B652FB">
              <w:rPr>
                <w:color w:val="000000" w:themeColor="text1"/>
              </w:rPr>
              <w:t>EV Market Structured Dataset (CSV / Excel Format)</w:t>
            </w:r>
          </w:p>
        </w:tc>
      </w:tr>
      <w:tr w:rsidR="00365B00" w:rsidRPr="00B652FB" w14:paraId="7B6E9B73" w14:textId="77777777">
        <w:trPr>
          <w:cantSplit/>
          <w:jc w:val="center"/>
        </w:trPr>
        <w:tc>
          <w:tcPr>
            <w:tcW w:w="3168" w:type="dxa"/>
            <w:tcBorders>
              <w:top w:val="single" w:sz="4" w:space="0" w:color="D1D5DB"/>
              <w:bottom w:val="single" w:sz="4" w:space="0" w:color="D1D5DB"/>
            </w:tcBorders>
            <w:shd w:val="clear" w:color="auto" w:fill="FFFFFF"/>
            <w:vAlign w:val="center"/>
          </w:tcPr>
          <w:p w14:paraId="64740A06" w14:textId="77777777" w:rsidR="00365B00" w:rsidRPr="00B652FB" w:rsidRDefault="00000000">
            <w:pPr>
              <w:rPr>
                <w:color w:val="000000" w:themeColor="text1"/>
              </w:rPr>
            </w:pPr>
            <w:r w:rsidRPr="00B652FB">
              <w:rPr>
                <w:color w:val="000000" w:themeColor="text1"/>
              </w:rPr>
              <w:t>Analytics &amp; Visualizations</w:t>
            </w:r>
          </w:p>
        </w:tc>
        <w:tc>
          <w:tcPr>
            <w:tcW w:w="6192" w:type="dxa"/>
            <w:tcBorders>
              <w:top w:val="single" w:sz="4" w:space="0" w:color="D1D5DB"/>
              <w:bottom w:val="single" w:sz="4" w:space="0" w:color="D1D5DB"/>
            </w:tcBorders>
            <w:shd w:val="clear" w:color="auto" w:fill="FFFFFF"/>
            <w:vAlign w:val="center"/>
          </w:tcPr>
          <w:p w14:paraId="52B16B4F" w14:textId="77777777" w:rsidR="00365B00" w:rsidRPr="00B652FB" w:rsidRDefault="00000000">
            <w:pPr>
              <w:rPr>
                <w:color w:val="000000" w:themeColor="text1"/>
              </w:rPr>
            </w:pPr>
            <w:r w:rsidRPr="00B652FB">
              <w:rPr>
                <w:color w:val="000000" w:themeColor="text1"/>
              </w:rPr>
              <w:t>Tableau Desktop (Calculated fields, parameters, LOD expressions)</w:t>
            </w:r>
          </w:p>
        </w:tc>
      </w:tr>
      <w:tr w:rsidR="00365B00" w:rsidRPr="00B652FB" w14:paraId="72A08967" w14:textId="77777777">
        <w:trPr>
          <w:cantSplit/>
          <w:jc w:val="center"/>
        </w:trPr>
        <w:tc>
          <w:tcPr>
            <w:tcW w:w="3168" w:type="dxa"/>
            <w:tcBorders>
              <w:top w:val="single" w:sz="4" w:space="0" w:color="D1D5DB"/>
              <w:bottom w:val="single" w:sz="4" w:space="0" w:color="D1D5DB"/>
            </w:tcBorders>
            <w:shd w:val="clear" w:color="auto" w:fill="F5F7FA"/>
            <w:vAlign w:val="center"/>
          </w:tcPr>
          <w:p w14:paraId="5D4E7E3E" w14:textId="77777777" w:rsidR="00365B00" w:rsidRPr="00B652FB" w:rsidRDefault="00000000">
            <w:pPr>
              <w:rPr>
                <w:color w:val="000000" w:themeColor="text1"/>
              </w:rPr>
            </w:pPr>
            <w:r w:rsidRPr="00B652FB">
              <w:rPr>
                <w:color w:val="000000" w:themeColor="text1"/>
              </w:rPr>
              <w:t>Publishing &amp; Distribution</w:t>
            </w:r>
          </w:p>
        </w:tc>
        <w:tc>
          <w:tcPr>
            <w:tcW w:w="6192" w:type="dxa"/>
            <w:tcBorders>
              <w:top w:val="single" w:sz="4" w:space="0" w:color="D1D5DB"/>
              <w:bottom w:val="single" w:sz="4" w:space="0" w:color="D1D5DB"/>
            </w:tcBorders>
            <w:shd w:val="clear" w:color="auto" w:fill="F5F7FA"/>
            <w:vAlign w:val="center"/>
          </w:tcPr>
          <w:p w14:paraId="274DE6EB" w14:textId="77777777" w:rsidR="00365B00" w:rsidRPr="00B652FB" w:rsidRDefault="00000000">
            <w:pPr>
              <w:rPr>
                <w:color w:val="000000" w:themeColor="text1"/>
              </w:rPr>
            </w:pPr>
            <w:r w:rsidRPr="00B652FB">
              <w:rPr>
                <w:color w:val="000000" w:themeColor="text1"/>
              </w:rPr>
              <w:t>Tableau Public Cloud Platform</w:t>
            </w:r>
          </w:p>
        </w:tc>
      </w:tr>
      <w:tr w:rsidR="00365B00" w:rsidRPr="00B652FB" w14:paraId="11783C86" w14:textId="77777777">
        <w:trPr>
          <w:cantSplit/>
          <w:jc w:val="center"/>
        </w:trPr>
        <w:tc>
          <w:tcPr>
            <w:tcW w:w="3168" w:type="dxa"/>
            <w:tcBorders>
              <w:top w:val="single" w:sz="4" w:space="0" w:color="D1D5DB"/>
              <w:bottom w:val="single" w:sz="4" w:space="0" w:color="D1D5DB"/>
            </w:tcBorders>
            <w:shd w:val="clear" w:color="auto" w:fill="FFFFFF"/>
            <w:vAlign w:val="center"/>
          </w:tcPr>
          <w:p w14:paraId="13C431ED" w14:textId="77777777" w:rsidR="00365B00" w:rsidRPr="00B652FB" w:rsidRDefault="00000000">
            <w:pPr>
              <w:rPr>
                <w:color w:val="000000" w:themeColor="text1"/>
              </w:rPr>
            </w:pPr>
            <w:r w:rsidRPr="00B652FB">
              <w:rPr>
                <w:color w:val="000000" w:themeColor="text1"/>
              </w:rPr>
              <w:lastRenderedPageBreak/>
              <w:t>Project Documentation</w:t>
            </w:r>
          </w:p>
        </w:tc>
        <w:tc>
          <w:tcPr>
            <w:tcW w:w="6192" w:type="dxa"/>
            <w:tcBorders>
              <w:top w:val="single" w:sz="4" w:space="0" w:color="D1D5DB"/>
              <w:bottom w:val="single" w:sz="4" w:space="0" w:color="D1D5DB"/>
            </w:tcBorders>
            <w:shd w:val="clear" w:color="auto" w:fill="FFFFFF"/>
            <w:vAlign w:val="center"/>
          </w:tcPr>
          <w:p w14:paraId="68BC0E29" w14:textId="77777777" w:rsidR="00365B00" w:rsidRPr="00B652FB" w:rsidRDefault="00000000">
            <w:pPr>
              <w:rPr>
                <w:color w:val="000000" w:themeColor="text1"/>
              </w:rPr>
            </w:pPr>
            <w:r w:rsidRPr="00B652FB">
              <w:rPr>
                <w:color w:val="000000" w:themeColor="text1"/>
              </w:rPr>
              <w:t>Microsoft Word (.docx) / Custom Analytics Report</w:t>
            </w:r>
          </w:p>
        </w:tc>
      </w:tr>
    </w:tbl>
    <w:p w14:paraId="4CB69D4C" w14:textId="77777777" w:rsidR="00365B00" w:rsidRPr="00B652FB" w:rsidRDefault="00365B00">
      <w:pPr>
        <w:rPr>
          <w:color w:val="000000" w:themeColor="text1"/>
        </w:rPr>
      </w:pPr>
    </w:p>
    <w:p w14:paraId="14BD446E" w14:textId="77777777" w:rsidR="00365B00" w:rsidRPr="00B652FB" w:rsidRDefault="00000000">
      <w:pPr>
        <w:keepNext/>
        <w:spacing w:before="360"/>
        <w:rPr>
          <w:color w:val="000000" w:themeColor="text1"/>
        </w:rPr>
      </w:pPr>
      <w:r w:rsidRPr="00B652FB">
        <w:rPr>
          <w:rFonts w:ascii="Arial" w:hAnsi="Arial"/>
          <w:b/>
          <w:color w:val="000000" w:themeColor="text1"/>
          <w:sz w:val="32"/>
        </w:rPr>
        <w:t>5. Functional Testing &amp; Verification</w:t>
      </w:r>
    </w:p>
    <w:tbl>
      <w:tblPr>
        <w:tblW w:w="0" w:type="auto"/>
        <w:jc w:val="center"/>
        <w:tblLook w:val="04A0" w:firstRow="1" w:lastRow="0" w:firstColumn="1" w:lastColumn="0" w:noHBand="0" w:noVBand="1"/>
      </w:tblPr>
      <w:tblGrid>
        <w:gridCol w:w="3168"/>
        <w:gridCol w:w="4752"/>
        <w:gridCol w:w="1440"/>
      </w:tblGrid>
      <w:tr w:rsidR="00365B00" w:rsidRPr="00B652FB" w14:paraId="531C609F" w14:textId="77777777">
        <w:trPr>
          <w:cantSplit/>
          <w:tblHeader/>
          <w:jc w:val="center"/>
        </w:trPr>
        <w:tc>
          <w:tcPr>
            <w:tcW w:w="3168" w:type="dxa"/>
            <w:tcBorders>
              <w:top w:val="single" w:sz="4" w:space="0" w:color="0B3C5D"/>
              <w:bottom w:val="single" w:sz="12" w:space="0" w:color="0B3C5D"/>
            </w:tcBorders>
            <w:shd w:val="clear" w:color="auto" w:fill="0B3C5D"/>
            <w:vAlign w:val="center"/>
          </w:tcPr>
          <w:p w14:paraId="3BF6DEF1" w14:textId="77777777" w:rsidR="00365B00" w:rsidRPr="00B652FB" w:rsidRDefault="00000000">
            <w:pPr>
              <w:rPr>
                <w:color w:val="EE0000"/>
                <w:sz w:val="28"/>
                <w:szCs w:val="28"/>
              </w:rPr>
            </w:pPr>
            <w:r w:rsidRPr="00B652FB">
              <w:rPr>
                <w:b/>
                <w:color w:val="EE0000"/>
                <w:sz w:val="28"/>
                <w:szCs w:val="28"/>
              </w:rPr>
              <w:t>Test Case Description</w:t>
            </w:r>
          </w:p>
        </w:tc>
        <w:tc>
          <w:tcPr>
            <w:tcW w:w="4752" w:type="dxa"/>
            <w:tcBorders>
              <w:top w:val="single" w:sz="4" w:space="0" w:color="0B3C5D"/>
              <w:bottom w:val="single" w:sz="12" w:space="0" w:color="0B3C5D"/>
            </w:tcBorders>
            <w:shd w:val="clear" w:color="auto" w:fill="0B3C5D"/>
            <w:vAlign w:val="center"/>
          </w:tcPr>
          <w:p w14:paraId="08D3991F" w14:textId="77777777" w:rsidR="00365B00" w:rsidRPr="00B652FB" w:rsidRDefault="00000000">
            <w:pPr>
              <w:rPr>
                <w:color w:val="EE0000"/>
                <w:sz w:val="28"/>
                <w:szCs w:val="28"/>
              </w:rPr>
            </w:pPr>
            <w:r w:rsidRPr="00B652FB">
              <w:rPr>
                <w:b/>
                <w:color w:val="EE0000"/>
                <w:sz w:val="28"/>
                <w:szCs w:val="28"/>
              </w:rPr>
              <w:t>Expected Result</w:t>
            </w:r>
          </w:p>
        </w:tc>
        <w:tc>
          <w:tcPr>
            <w:tcW w:w="1440" w:type="dxa"/>
            <w:tcBorders>
              <w:top w:val="single" w:sz="4" w:space="0" w:color="0B3C5D"/>
              <w:bottom w:val="single" w:sz="12" w:space="0" w:color="0B3C5D"/>
            </w:tcBorders>
            <w:shd w:val="clear" w:color="auto" w:fill="0B3C5D"/>
            <w:vAlign w:val="center"/>
          </w:tcPr>
          <w:p w14:paraId="38A5FE5F" w14:textId="77777777" w:rsidR="00365B00" w:rsidRPr="00B652FB" w:rsidRDefault="00000000">
            <w:pPr>
              <w:jc w:val="center"/>
              <w:rPr>
                <w:color w:val="000000" w:themeColor="text1"/>
              </w:rPr>
            </w:pPr>
            <w:r w:rsidRPr="00B652FB">
              <w:rPr>
                <w:b/>
                <w:color w:val="000000" w:themeColor="text1"/>
              </w:rPr>
              <w:t>Status</w:t>
            </w:r>
          </w:p>
        </w:tc>
      </w:tr>
      <w:tr w:rsidR="00365B00" w:rsidRPr="00B652FB" w14:paraId="05B3F537" w14:textId="77777777">
        <w:trPr>
          <w:cantSplit/>
          <w:jc w:val="center"/>
        </w:trPr>
        <w:tc>
          <w:tcPr>
            <w:tcW w:w="3168" w:type="dxa"/>
            <w:tcBorders>
              <w:top w:val="single" w:sz="4" w:space="0" w:color="D1D5DB"/>
              <w:bottom w:val="single" w:sz="4" w:space="0" w:color="D1D5DB"/>
            </w:tcBorders>
            <w:shd w:val="clear" w:color="auto" w:fill="F5F7FA"/>
            <w:vAlign w:val="center"/>
          </w:tcPr>
          <w:p w14:paraId="02B39300" w14:textId="77777777" w:rsidR="00365B00" w:rsidRPr="00B652FB" w:rsidRDefault="00000000">
            <w:pPr>
              <w:rPr>
                <w:color w:val="000000" w:themeColor="text1"/>
              </w:rPr>
            </w:pPr>
            <w:r w:rsidRPr="00B652FB">
              <w:rPr>
                <w:color w:val="000000" w:themeColor="text1"/>
              </w:rPr>
              <w:t>KPI Card Accuracy</w:t>
            </w:r>
          </w:p>
        </w:tc>
        <w:tc>
          <w:tcPr>
            <w:tcW w:w="4752" w:type="dxa"/>
            <w:tcBorders>
              <w:top w:val="single" w:sz="4" w:space="0" w:color="D1D5DB"/>
              <w:bottom w:val="single" w:sz="4" w:space="0" w:color="D1D5DB"/>
            </w:tcBorders>
            <w:shd w:val="clear" w:color="auto" w:fill="F5F7FA"/>
            <w:vAlign w:val="center"/>
          </w:tcPr>
          <w:p w14:paraId="3E1B154E" w14:textId="77777777" w:rsidR="00365B00" w:rsidRPr="00B652FB" w:rsidRDefault="00000000">
            <w:pPr>
              <w:rPr>
                <w:color w:val="000000" w:themeColor="text1"/>
              </w:rPr>
            </w:pPr>
            <w:r w:rsidRPr="00B652FB">
              <w:rPr>
                <w:color w:val="000000" w:themeColor="text1"/>
              </w:rPr>
              <w:t>Displays Sales 1.55B, Price $64,921, Range 324.54 km, CO2 738K tons</w:t>
            </w:r>
          </w:p>
        </w:tc>
        <w:tc>
          <w:tcPr>
            <w:tcW w:w="1440" w:type="dxa"/>
            <w:tcBorders>
              <w:top w:val="single" w:sz="4" w:space="0" w:color="D1D5DB"/>
              <w:bottom w:val="single" w:sz="4" w:space="0" w:color="D1D5DB"/>
            </w:tcBorders>
            <w:shd w:val="clear" w:color="auto" w:fill="F5F7FA"/>
            <w:vAlign w:val="center"/>
          </w:tcPr>
          <w:p w14:paraId="300D34EB" w14:textId="77777777" w:rsidR="00365B00" w:rsidRPr="00B652FB" w:rsidRDefault="00000000">
            <w:pPr>
              <w:jc w:val="center"/>
              <w:rPr>
                <w:color w:val="000000" w:themeColor="text1"/>
              </w:rPr>
            </w:pPr>
            <w:r w:rsidRPr="00B652FB">
              <w:rPr>
                <w:color w:val="000000" w:themeColor="text1"/>
              </w:rPr>
              <w:t>PASS</w:t>
            </w:r>
          </w:p>
        </w:tc>
      </w:tr>
      <w:tr w:rsidR="00365B00" w:rsidRPr="00B652FB" w14:paraId="01A839CA" w14:textId="77777777">
        <w:trPr>
          <w:cantSplit/>
          <w:jc w:val="center"/>
        </w:trPr>
        <w:tc>
          <w:tcPr>
            <w:tcW w:w="3168" w:type="dxa"/>
            <w:tcBorders>
              <w:top w:val="single" w:sz="4" w:space="0" w:color="D1D5DB"/>
              <w:bottom w:val="single" w:sz="4" w:space="0" w:color="D1D5DB"/>
            </w:tcBorders>
            <w:shd w:val="clear" w:color="auto" w:fill="FFFFFF"/>
            <w:vAlign w:val="center"/>
          </w:tcPr>
          <w:p w14:paraId="63D2EA4A" w14:textId="77777777" w:rsidR="00365B00" w:rsidRPr="00B652FB" w:rsidRDefault="00000000">
            <w:pPr>
              <w:rPr>
                <w:color w:val="000000" w:themeColor="text1"/>
              </w:rPr>
            </w:pPr>
            <w:r w:rsidRPr="00B652FB">
              <w:rPr>
                <w:color w:val="000000" w:themeColor="text1"/>
              </w:rPr>
              <w:t>Category Filter Action</w:t>
            </w:r>
          </w:p>
        </w:tc>
        <w:tc>
          <w:tcPr>
            <w:tcW w:w="4752" w:type="dxa"/>
            <w:tcBorders>
              <w:top w:val="single" w:sz="4" w:space="0" w:color="D1D5DB"/>
              <w:bottom w:val="single" w:sz="4" w:space="0" w:color="D1D5DB"/>
            </w:tcBorders>
            <w:shd w:val="clear" w:color="auto" w:fill="FFFFFF"/>
            <w:vAlign w:val="center"/>
          </w:tcPr>
          <w:p w14:paraId="2D72F246" w14:textId="77777777" w:rsidR="00365B00" w:rsidRPr="00B652FB" w:rsidRDefault="00000000">
            <w:pPr>
              <w:rPr>
                <w:color w:val="000000" w:themeColor="text1"/>
              </w:rPr>
            </w:pPr>
            <w:r w:rsidRPr="00B652FB">
              <w:rPr>
                <w:color w:val="000000" w:themeColor="text1"/>
              </w:rPr>
              <w:t>Selecting 'Luxury SUV' dynamically filters all charts in Dashboard 1 &amp; 2</w:t>
            </w:r>
          </w:p>
        </w:tc>
        <w:tc>
          <w:tcPr>
            <w:tcW w:w="1440" w:type="dxa"/>
            <w:tcBorders>
              <w:top w:val="single" w:sz="4" w:space="0" w:color="D1D5DB"/>
              <w:bottom w:val="single" w:sz="4" w:space="0" w:color="D1D5DB"/>
            </w:tcBorders>
            <w:shd w:val="clear" w:color="auto" w:fill="FFFFFF"/>
            <w:vAlign w:val="center"/>
          </w:tcPr>
          <w:p w14:paraId="2DC535A8" w14:textId="77777777" w:rsidR="00365B00" w:rsidRPr="00B652FB" w:rsidRDefault="00000000">
            <w:pPr>
              <w:jc w:val="center"/>
              <w:rPr>
                <w:color w:val="000000" w:themeColor="text1"/>
              </w:rPr>
            </w:pPr>
            <w:r w:rsidRPr="00B652FB">
              <w:rPr>
                <w:color w:val="000000" w:themeColor="text1"/>
              </w:rPr>
              <w:t>PASS</w:t>
            </w:r>
          </w:p>
        </w:tc>
      </w:tr>
      <w:tr w:rsidR="00365B00" w:rsidRPr="00B652FB" w14:paraId="269CC780" w14:textId="77777777">
        <w:trPr>
          <w:cantSplit/>
          <w:jc w:val="center"/>
        </w:trPr>
        <w:tc>
          <w:tcPr>
            <w:tcW w:w="3168" w:type="dxa"/>
            <w:tcBorders>
              <w:top w:val="single" w:sz="4" w:space="0" w:color="D1D5DB"/>
              <w:bottom w:val="single" w:sz="4" w:space="0" w:color="D1D5DB"/>
            </w:tcBorders>
            <w:shd w:val="clear" w:color="auto" w:fill="F5F7FA"/>
            <w:vAlign w:val="center"/>
          </w:tcPr>
          <w:p w14:paraId="2DBDA000" w14:textId="77777777" w:rsidR="00365B00" w:rsidRPr="00B652FB" w:rsidRDefault="00000000">
            <w:pPr>
              <w:rPr>
                <w:color w:val="000000" w:themeColor="text1"/>
              </w:rPr>
            </w:pPr>
            <w:r w:rsidRPr="00B652FB">
              <w:rPr>
                <w:color w:val="000000" w:themeColor="text1"/>
              </w:rPr>
              <w:t>Tooltip Hover Details</w:t>
            </w:r>
          </w:p>
        </w:tc>
        <w:tc>
          <w:tcPr>
            <w:tcW w:w="4752" w:type="dxa"/>
            <w:tcBorders>
              <w:top w:val="single" w:sz="4" w:space="0" w:color="D1D5DB"/>
              <w:bottom w:val="single" w:sz="4" w:space="0" w:color="D1D5DB"/>
            </w:tcBorders>
            <w:shd w:val="clear" w:color="auto" w:fill="F5F7FA"/>
            <w:vAlign w:val="center"/>
          </w:tcPr>
          <w:p w14:paraId="5EAFDA85" w14:textId="77777777" w:rsidR="00365B00" w:rsidRPr="00B652FB" w:rsidRDefault="00000000">
            <w:pPr>
              <w:rPr>
                <w:color w:val="000000" w:themeColor="text1"/>
              </w:rPr>
            </w:pPr>
            <w:r w:rsidRPr="00B652FB">
              <w:rPr>
                <w:color w:val="000000" w:themeColor="text1"/>
              </w:rPr>
              <w:t>Hovering displays exact price, battery type, manufacturer, and rating</w:t>
            </w:r>
          </w:p>
        </w:tc>
        <w:tc>
          <w:tcPr>
            <w:tcW w:w="1440" w:type="dxa"/>
            <w:tcBorders>
              <w:top w:val="single" w:sz="4" w:space="0" w:color="D1D5DB"/>
              <w:bottom w:val="single" w:sz="4" w:space="0" w:color="D1D5DB"/>
            </w:tcBorders>
            <w:shd w:val="clear" w:color="auto" w:fill="F5F7FA"/>
            <w:vAlign w:val="center"/>
          </w:tcPr>
          <w:p w14:paraId="1B5F0057" w14:textId="77777777" w:rsidR="00365B00" w:rsidRPr="00B652FB" w:rsidRDefault="00000000">
            <w:pPr>
              <w:jc w:val="center"/>
              <w:rPr>
                <w:color w:val="000000" w:themeColor="text1"/>
              </w:rPr>
            </w:pPr>
            <w:r w:rsidRPr="00B652FB">
              <w:rPr>
                <w:color w:val="000000" w:themeColor="text1"/>
              </w:rPr>
              <w:t>PASS</w:t>
            </w:r>
          </w:p>
        </w:tc>
      </w:tr>
      <w:tr w:rsidR="00365B00" w:rsidRPr="00B652FB" w14:paraId="74D31021" w14:textId="77777777">
        <w:trPr>
          <w:cantSplit/>
          <w:jc w:val="center"/>
        </w:trPr>
        <w:tc>
          <w:tcPr>
            <w:tcW w:w="3168" w:type="dxa"/>
            <w:tcBorders>
              <w:top w:val="single" w:sz="4" w:space="0" w:color="D1D5DB"/>
              <w:bottom w:val="single" w:sz="4" w:space="0" w:color="D1D5DB"/>
            </w:tcBorders>
            <w:shd w:val="clear" w:color="auto" w:fill="FFFFFF"/>
            <w:vAlign w:val="center"/>
          </w:tcPr>
          <w:p w14:paraId="679E2E53" w14:textId="77777777" w:rsidR="00365B00" w:rsidRPr="00B652FB" w:rsidRDefault="00000000">
            <w:pPr>
              <w:rPr>
                <w:color w:val="000000" w:themeColor="text1"/>
              </w:rPr>
            </w:pPr>
            <w:r w:rsidRPr="00B652FB">
              <w:rPr>
                <w:color w:val="000000" w:themeColor="text1"/>
              </w:rPr>
              <w:t>Tableau Public Rendering</w:t>
            </w:r>
          </w:p>
        </w:tc>
        <w:tc>
          <w:tcPr>
            <w:tcW w:w="4752" w:type="dxa"/>
            <w:tcBorders>
              <w:top w:val="single" w:sz="4" w:space="0" w:color="D1D5DB"/>
              <w:bottom w:val="single" w:sz="4" w:space="0" w:color="D1D5DB"/>
            </w:tcBorders>
            <w:shd w:val="clear" w:color="auto" w:fill="FFFFFF"/>
            <w:vAlign w:val="center"/>
          </w:tcPr>
          <w:p w14:paraId="3A64022A" w14:textId="77777777" w:rsidR="00365B00" w:rsidRPr="00B652FB" w:rsidRDefault="00000000">
            <w:pPr>
              <w:rPr>
                <w:color w:val="000000" w:themeColor="text1"/>
              </w:rPr>
            </w:pPr>
            <w:r w:rsidRPr="00B652FB">
              <w:rPr>
                <w:color w:val="000000" w:themeColor="text1"/>
              </w:rPr>
              <w:t>Dashboards render fully with active interactions in web browser</w:t>
            </w:r>
          </w:p>
        </w:tc>
        <w:tc>
          <w:tcPr>
            <w:tcW w:w="1440" w:type="dxa"/>
            <w:tcBorders>
              <w:top w:val="single" w:sz="4" w:space="0" w:color="D1D5DB"/>
              <w:bottom w:val="single" w:sz="4" w:space="0" w:color="D1D5DB"/>
            </w:tcBorders>
            <w:shd w:val="clear" w:color="auto" w:fill="FFFFFF"/>
            <w:vAlign w:val="center"/>
          </w:tcPr>
          <w:p w14:paraId="29B3E132" w14:textId="77777777" w:rsidR="00365B00" w:rsidRPr="00B652FB" w:rsidRDefault="00000000">
            <w:pPr>
              <w:jc w:val="center"/>
              <w:rPr>
                <w:color w:val="000000" w:themeColor="text1"/>
              </w:rPr>
            </w:pPr>
            <w:r w:rsidRPr="00B652FB">
              <w:rPr>
                <w:color w:val="000000" w:themeColor="text1"/>
              </w:rPr>
              <w:t>PASS</w:t>
            </w:r>
          </w:p>
        </w:tc>
      </w:tr>
      <w:tr w:rsidR="00365B00" w:rsidRPr="00B652FB" w14:paraId="662B966B" w14:textId="77777777">
        <w:trPr>
          <w:cantSplit/>
          <w:jc w:val="center"/>
        </w:trPr>
        <w:tc>
          <w:tcPr>
            <w:tcW w:w="3168" w:type="dxa"/>
            <w:tcBorders>
              <w:top w:val="single" w:sz="4" w:space="0" w:color="D1D5DB"/>
              <w:bottom w:val="single" w:sz="4" w:space="0" w:color="D1D5DB"/>
            </w:tcBorders>
            <w:shd w:val="clear" w:color="auto" w:fill="F5F7FA"/>
            <w:vAlign w:val="center"/>
          </w:tcPr>
          <w:p w14:paraId="601EC171" w14:textId="77777777" w:rsidR="00365B00" w:rsidRPr="00B652FB" w:rsidRDefault="00000000">
            <w:pPr>
              <w:rPr>
                <w:color w:val="000000" w:themeColor="text1"/>
              </w:rPr>
            </w:pPr>
            <w:r w:rsidRPr="00B652FB">
              <w:rPr>
                <w:color w:val="000000" w:themeColor="text1"/>
              </w:rPr>
              <w:t>Story Point Navigation</w:t>
            </w:r>
          </w:p>
        </w:tc>
        <w:tc>
          <w:tcPr>
            <w:tcW w:w="4752" w:type="dxa"/>
            <w:tcBorders>
              <w:top w:val="single" w:sz="4" w:space="0" w:color="D1D5DB"/>
              <w:bottom w:val="single" w:sz="4" w:space="0" w:color="D1D5DB"/>
            </w:tcBorders>
            <w:shd w:val="clear" w:color="auto" w:fill="F5F7FA"/>
            <w:vAlign w:val="center"/>
          </w:tcPr>
          <w:p w14:paraId="16EFE4D8" w14:textId="77777777" w:rsidR="00365B00" w:rsidRPr="00B652FB" w:rsidRDefault="00000000">
            <w:pPr>
              <w:rPr>
                <w:color w:val="000000" w:themeColor="text1"/>
              </w:rPr>
            </w:pPr>
            <w:r w:rsidRPr="00B652FB">
              <w:rPr>
                <w:color w:val="000000" w:themeColor="text1"/>
              </w:rPr>
              <w:t>Tabbed story navigation switches seamlessly between visual chapters</w:t>
            </w:r>
          </w:p>
        </w:tc>
        <w:tc>
          <w:tcPr>
            <w:tcW w:w="1440" w:type="dxa"/>
            <w:tcBorders>
              <w:top w:val="single" w:sz="4" w:space="0" w:color="D1D5DB"/>
              <w:bottom w:val="single" w:sz="4" w:space="0" w:color="D1D5DB"/>
            </w:tcBorders>
            <w:shd w:val="clear" w:color="auto" w:fill="F5F7FA"/>
            <w:vAlign w:val="center"/>
          </w:tcPr>
          <w:p w14:paraId="0C2AEF50" w14:textId="77777777" w:rsidR="00365B00" w:rsidRPr="00B652FB" w:rsidRDefault="00000000">
            <w:pPr>
              <w:jc w:val="center"/>
              <w:rPr>
                <w:color w:val="000000" w:themeColor="text1"/>
              </w:rPr>
            </w:pPr>
            <w:r w:rsidRPr="00B652FB">
              <w:rPr>
                <w:color w:val="000000" w:themeColor="text1"/>
              </w:rPr>
              <w:t>PASS</w:t>
            </w:r>
          </w:p>
        </w:tc>
      </w:tr>
    </w:tbl>
    <w:p w14:paraId="31367637" w14:textId="77777777" w:rsidR="00365B00" w:rsidRPr="00B652FB" w:rsidRDefault="00365B00">
      <w:pPr>
        <w:rPr>
          <w:color w:val="000000" w:themeColor="text1"/>
        </w:rPr>
      </w:pPr>
    </w:p>
    <w:p w14:paraId="1161F2AD" w14:textId="77777777" w:rsidR="00365B00" w:rsidRPr="00B652FB" w:rsidRDefault="00000000">
      <w:pPr>
        <w:keepNext/>
        <w:spacing w:before="360"/>
        <w:rPr>
          <w:color w:val="000000" w:themeColor="text1"/>
        </w:rPr>
      </w:pPr>
      <w:r w:rsidRPr="00B652FB">
        <w:rPr>
          <w:rFonts w:ascii="Arial" w:hAnsi="Arial"/>
          <w:b/>
          <w:color w:val="000000" w:themeColor="text1"/>
          <w:sz w:val="32"/>
        </w:rPr>
        <w:t>6. Strategic Recommendations &amp; Future Scope</w:t>
      </w:r>
    </w:p>
    <w:p w14:paraId="75A79064"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6.1 Strategic Recommendations</w:t>
      </w:r>
    </w:p>
    <w:p w14:paraId="385B3959" w14:textId="77777777" w:rsidR="00365B00" w:rsidRPr="00B652FB" w:rsidRDefault="00000000">
      <w:pPr>
        <w:pStyle w:val="ListBullet"/>
        <w:spacing w:after="60"/>
        <w:rPr>
          <w:color w:val="000000" w:themeColor="text1"/>
        </w:rPr>
      </w:pPr>
      <w:r w:rsidRPr="00B652FB">
        <w:rPr>
          <w:b/>
          <w:color w:val="000000" w:themeColor="text1"/>
        </w:rPr>
        <w:t xml:space="preserve">For Strategy Directors: </w:t>
      </w:r>
      <w:r w:rsidRPr="00B652FB">
        <w:rPr>
          <w:color w:val="000000" w:themeColor="text1"/>
        </w:rPr>
        <w:t>Prioritize LFP/Sodium-Ion vehicle platforms for entry-level and high-volume urban segments to lower initial customer purchase costs while scaling Solid-State battery development for long-range premium models.</w:t>
      </w:r>
    </w:p>
    <w:p w14:paraId="1EB3F043" w14:textId="77777777" w:rsidR="00365B00" w:rsidRPr="00B652FB" w:rsidRDefault="00000000">
      <w:pPr>
        <w:pStyle w:val="ListBullet"/>
        <w:spacing w:after="60"/>
        <w:rPr>
          <w:color w:val="000000" w:themeColor="text1"/>
        </w:rPr>
      </w:pPr>
      <w:r w:rsidRPr="00B652FB">
        <w:rPr>
          <w:b/>
          <w:color w:val="000000" w:themeColor="text1"/>
        </w:rPr>
        <w:t xml:space="preserve">For BI &amp; Market Managers: </w:t>
      </w:r>
      <w:r w:rsidRPr="00B652FB">
        <w:rPr>
          <w:color w:val="000000" w:themeColor="text1"/>
        </w:rPr>
        <w:t>Target underserved geographic markets by aligning product deployment with localized manufacturing hubs in India and Southeast Asia to minimize production logistics expenses.</w:t>
      </w:r>
    </w:p>
    <w:p w14:paraId="78150783" w14:textId="77777777" w:rsidR="00365B00" w:rsidRPr="00B652FB" w:rsidRDefault="00000000">
      <w:pPr>
        <w:pStyle w:val="ListBullet"/>
        <w:spacing w:after="60"/>
        <w:rPr>
          <w:color w:val="000000" w:themeColor="text1"/>
        </w:rPr>
      </w:pPr>
      <w:r w:rsidRPr="00B652FB">
        <w:rPr>
          <w:b/>
          <w:color w:val="000000" w:themeColor="text1"/>
        </w:rPr>
        <w:t xml:space="preserve">For Policy &amp; Sustainability Analysts: </w:t>
      </w:r>
      <w:r w:rsidRPr="00B652FB">
        <w:rPr>
          <w:color w:val="000000" w:themeColor="text1"/>
        </w:rPr>
        <w:t>Encourage policy incentives for fast-charging infrastructure (150–350 kW DC) along major transport corridors to maximize fleet CO2 abatement.</w:t>
      </w:r>
    </w:p>
    <w:p w14:paraId="59CE303D" w14:textId="77777777" w:rsidR="00365B00" w:rsidRPr="00B652FB" w:rsidRDefault="00000000">
      <w:pPr>
        <w:keepNext/>
        <w:spacing w:before="240" w:after="80"/>
        <w:rPr>
          <w:color w:val="000000" w:themeColor="text1"/>
        </w:rPr>
      </w:pPr>
      <w:r w:rsidRPr="00B652FB">
        <w:rPr>
          <w:rFonts w:ascii="Arial" w:hAnsi="Arial"/>
          <w:b/>
          <w:color w:val="000000" w:themeColor="text1"/>
          <w:sz w:val="26"/>
        </w:rPr>
        <w:t>6.2 Future Scope</w:t>
      </w:r>
    </w:p>
    <w:p w14:paraId="561D738B" w14:textId="77777777" w:rsidR="00365B00" w:rsidRPr="00B652FB" w:rsidRDefault="00000000">
      <w:pPr>
        <w:pStyle w:val="ListBullet"/>
        <w:spacing w:after="60"/>
        <w:rPr>
          <w:color w:val="000000" w:themeColor="text1"/>
        </w:rPr>
      </w:pPr>
      <w:r w:rsidRPr="00B652FB">
        <w:rPr>
          <w:b/>
          <w:color w:val="000000" w:themeColor="text1"/>
        </w:rPr>
        <w:t xml:space="preserve">Live Data Pipeline: </w:t>
      </w:r>
      <w:r w:rsidRPr="00B652FB">
        <w:rPr>
          <w:color w:val="000000" w:themeColor="text1"/>
        </w:rPr>
        <w:t>Connect Tableau workbook to live cloud database feeds (e.g., Snowflake, AWS Redshift) for real-time sales and telematics tracking.</w:t>
      </w:r>
    </w:p>
    <w:p w14:paraId="42E67E1A" w14:textId="77777777" w:rsidR="00365B00" w:rsidRPr="00B652FB" w:rsidRDefault="00000000">
      <w:pPr>
        <w:pStyle w:val="ListBullet"/>
        <w:spacing w:after="60"/>
        <w:rPr>
          <w:color w:val="000000" w:themeColor="text1"/>
        </w:rPr>
      </w:pPr>
      <w:r w:rsidRPr="00B652FB">
        <w:rPr>
          <w:b/>
          <w:color w:val="000000" w:themeColor="text1"/>
        </w:rPr>
        <w:t xml:space="preserve">Predictive Analytics: </w:t>
      </w:r>
      <w:r w:rsidRPr="00B652FB">
        <w:rPr>
          <w:color w:val="000000" w:themeColor="text1"/>
        </w:rPr>
        <w:t>Incorporate Python/R integration in Tableau to forecast 5-year battery degradation and regional EV market share growth.</w:t>
      </w:r>
    </w:p>
    <w:p w14:paraId="1F8086C9" w14:textId="77777777" w:rsidR="00365B00" w:rsidRPr="00B652FB" w:rsidRDefault="00000000">
      <w:pPr>
        <w:pStyle w:val="ListBullet"/>
        <w:spacing w:after="60"/>
        <w:rPr>
          <w:color w:val="000000" w:themeColor="text1"/>
        </w:rPr>
      </w:pPr>
      <w:r w:rsidRPr="00B652FB">
        <w:rPr>
          <w:b/>
          <w:color w:val="000000" w:themeColor="text1"/>
        </w:rPr>
        <w:lastRenderedPageBreak/>
        <w:t xml:space="preserve">Charging Infrastructure Mapping: </w:t>
      </w:r>
      <w:r w:rsidRPr="00B652FB">
        <w:rPr>
          <w:color w:val="000000" w:themeColor="text1"/>
        </w:rPr>
        <w:t>Integrate geospatial layers showing public charging station density relative to EV sales growth.</w:t>
      </w:r>
    </w:p>
    <w:p w14:paraId="20BF909B" w14:textId="77777777" w:rsidR="00365B00" w:rsidRPr="00B652FB" w:rsidRDefault="00000000">
      <w:pPr>
        <w:keepNext/>
        <w:spacing w:before="360"/>
        <w:rPr>
          <w:color w:val="000000" w:themeColor="text1"/>
        </w:rPr>
      </w:pPr>
      <w:r w:rsidRPr="00B652FB">
        <w:rPr>
          <w:rFonts w:ascii="Arial" w:hAnsi="Arial"/>
          <w:b/>
          <w:color w:val="000000" w:themeColor="text1"/>
          <w:sz w:val="32"/>
        </w:rPr>
        <w:t>7. Appendix &amp; Project Links</w:t>
      </w:r>
    </w:p>
    <w:p w14:paraId="701B5E00" w14:textId="77777777" w:rsidR="00365B00" w:rsidRPr="00B652FB" w:rsidRDefault="00000000">
      <w:pPr>
        <w:pStyle w:val="ListBullet"/>
        <w:spacing w:after="60"/>
        <w:rPr>
          <w:color w:val="000000" w:themeColor="text1"/>
        </w:rPr>
      </w:pPr>
      <w:r w:rsidRPr="00B652FB">
        <w:rPr>
          <w:b/>
          <w:color w:val="000000" w:themeColor="text1"/>
        </w:rPr>
        <w:t xml:space="preserve">Author Name: </w:t>
      </w:r>
      <w:r w:rsidRPr="00B652FB">
        <w:rPr>
          <w:color w:val="000000" w:themeColor="text1"/>
        </w:rPr>
        <w:t>Harsh Patidar</w:t>
      </w:r>
    </w:p>
    <w:p w14:paraId="64F22214" w14:textId="77777777" w:rsidR="00365B00" w:rsidRPr="00B652FB" w:rsidRDefault="00000000">
      <w:pPr>
        <w:pStyle w:val="ListBullet"/>
        <w:spacing w:after="60"/>
        <w:rPr>
          <w:color w:val="000000" w:themeColor="text1"/>
        </w:rPr>
      </w:pPr>
      <w:r w:rsidRPr="00B652FB">
        <w:rPr>
          <w:b/>
          <w:color w:val="000000" w:themeColor="text1"/>
        </w:rPr>
        <w:t xml:space="preserve">Project Topic: </w:t>
      </w:r>
      <w:r w:rsidRPr="00B652FB">
        <w:rPr>
          <w:color w:val="000000" w:themeColor="text1"/>
        </w:rPr>
        <w:t>EV Market Performance and Insights Data Analytics</w:t>
      </w:r>
    </w:p>
    <w:p w14:paraId="381251AD" w14:textId="7C838873" w:rsidR="00365B00" w:rsidRPr="00B652FB" w:rsidRDefault="00000000">
      <w:pPr>
        <w:pStyle w:val="ListBullet"/>
        <w:spacing w:after="60"/>
        <w:rPr>
          <w:color w:val="000000" w:themeColor="text1"/>
        </w:rPr>
      </w:pPr>
      <w:r w:rsidRPr="00B652FB">
        <w:rPr>
          <w:b/>
          <w:color w:val="000000" w:themeColor="text1"/>
        </w:rPr>
        <w:t xml:space="preserve">Tableau Public Demo Link: </w:t>
      </w:r>
    </w:p>
    <w:p w14:paraId="31D42FB7" w14:textId="5D168BB4" w:rsidR="00365B00" w:rsidRDefault="00000000">
      <w:pPr>
        <w:pStyle w:val="ListBullet"/>
        <w:spacing w:after="60"/>
      </w:pPr>
      <w:r w:rsidRPr="00B652FB">
        <w:rPr>
          <w:b/>
          <w:color w:val="000000" w:themeColor="text1"/>
        </w:rPr>
        <w:t xml:space="preserve">GitHub Project Repository: </w:t>
      </w:r>
    </w:p>
    <w:sectPr w:rsidR="00365B0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127231">
    <w:abstractNumId w:val="8"/>
  </w:num>
  <w:num w:numId="2" w16cid:durableId="1708066016">
    <w:abstractNumId w:val="6"/>
  </w:num>
  <w:num w:numId="3" w16cid:durableId="13119771">
    <w:abstractNumId w:val="5"/>
  </w:num>
  <w:num w:numId="4" w16cid:durableId="913468026">
    <w:abstractNumId w:val="4"/>
  </w:num>
  <w:num w:numId="5" w16cid:durableId="161433765">
    <w:abstractNumId w:val="7"/>
  </w:num>
  <w:num w:numId="6" w16cid:durableId="1546134055">
    <w:abstractNumId w:val="3"/>
  </w:num>
  <w:num w:numId="7" w16cid:durableId="1276132224">
    <w:abstractNumId w:val="2"/>
  </w:num>
  <w:num w:numId="8" w16cid:durableId="854424950">
    <w:abstractNumId w:val="1"/>
  </w:num>
  <w:num w:numId="9" w16cid:durableId="40075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4C"/>
    <w:rsid w:val="0015074B"/>
    <w:rsid w:val="001D4616"/>
    <w:rsid w:val="0029639D"/>
    <w:rsid w:val="00326F90"/>
    <w:rsid w:val="00365B00"/>
    <w:rsid w:val="00485B53"/>
    <w:rsid w:val="00AA1D8D"/>
    <w:rsid w:val="00B47730"/>
    <w:rsid w:val="00B652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F4C40"/>
  <w14:defaultImageDpi w14:val="300"/>
  <w15:docId w15:val="{751A7646-BD93-491A-9F06-9EA0AF24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rao</cp:lastModifiedBy>
  <cp:revision>3</cp:revision>
  <dcterms:created xsi:type="dcterms:W3CDTF">2013-12-23T23:15:00Z</dcterms:created>
  <dcterms:modified xsi:type="dcterms:W3CDTF">2026-10-28T11:11:00Z</dcterms:modified>
  <cp:category/>
</cp:coreProperties>
</file>