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38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20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21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21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1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AMUW2mUgF+M+qrheEtlyiAB318a1n+s2k3/zwmZ6Fm9nVN3U+7GNoFXi7wEW0hWrQawwh5hgumPsWtgUzhPss8sh0Od2uDoaFhaseaZIsEvBR7LaQlrXs0AYUkpGp56QnIlpRu4OGniu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