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y comprobación de los scripts de orden de ejecución.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la aplicación, en los apartados del Modelo, Vista y Controlador.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dos procedimientos anónimos para generar los XML de forma automatizada.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comprobado que la GUI de MAC no es la más óptima en comparación con Windows.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4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de la aplicación Java: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de la Vista “Registrarse”.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diferentes validaciones.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varias funciones.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Realizados los diferentes elementos de CRUD.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8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Creacion de Vistas.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Acabado la parte de generar XML.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Código refactorizado.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Generación de clases.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B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traspaso de las imágenes utilizadas en las ventanas a la base de datos mediante URLs.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la ventana para visualizar todas las jornadas, mediante la selección de una ComboBox.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ventana para visualizar los jugadores de cada equipo, haciendo uso de una sola ventana y botones para visualizar a los jugadores.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XML, DTD y XSD mediante el equipo docente.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paquete de generación de XML.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D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17/05/2023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diferentes vistas de la aplicación (PlayOffs, Perfil, Clasificación, Panel de Administrador, Partidos).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problemas relacionados con Base de Datos (Modelo ER, Creates, Vistas, etc ).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con el Controlador de la aplicación.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5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31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31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31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5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5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59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AMUW2mUbdxw/4RCYjm/67oFfAQ2lv/lZOg3NQYflPxU5FjnZD0CodxRTnBN8ozhS8qvhKkiL7kVaKE83vk3EOMY8IkjslF4vs+2zmZyIdEd9OEcjJseBI3tYp/Q2zKOBIqHvMyxiFMXy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