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228" w:after="348"/>
        <w:rPr>
          <w:sz w:val="44"/>
          <w:szCs w:val="44"/>
        </w:rPr>
      </w:pPr>
      <w:r>
        <w:rPr>
          <w:sz w:val="44"/>
          <w:szCs w:val="44"/>
        </w:rPr>
        <w:t>Optimizing the Household Waste Segregation Policy in the Municipality of Bacolod: An Agent-based Modeling and Deep Reinforcement Learning Approach</w:t>
      </w:r>
    </w:p>
    <w:tbl>
      <w:tblPr>
        <w:tblW w:w="5000" w:type="pct"/>
        <w:jc w:val="start"/>
        <w:tblInd w:w="0" w:type="dxa"/>
        <w:tblLayout w:type="fixed"/>
        <w:tblCellMar>
          <w:top w:w="55" w:type="dxa"/>
          <w:start w:w="55" w:type="dxa"/>
          <w:bottom w:w="55" w:type="dxa"/>
          <w:end w:w="55" w:type="dxa"/>
        </w:tblCellMar>
      </w:tblPr>
      <w:tblGrid>
        <w:gridCol w:w="3373"/>
        <w:gridCol w:w="3373"/>
        <w:gridCol w:w="3374"/>
      </w:tblGrid>
      <w:tr>
        <w:trPr/>
        <w:tc>
          <w:tcPr>
            <w:tcW w:w="3373" w:type="dxa"/>
            <w:tcBorders/>
          </w:tcPr>
          <w:p>
            <w:pPr>
              <w:pStyle w:val="TableContents"/>
              <w:spacing w:lineRule="auto" w:line="240"/>
              <w:rPr>
                <w:sz w:val="20"/>
                <w:szCs w:val="20"/>
              </w:rPr>
            </w:pPr>
            <w:r>
              <w:rPr>
                <w:sz w:val="20"/>
                <w:szCs w:val="20"/>
              </w:rPr>
              <w:t>Jemar John J. Lumingkit</w:t>
            </w:r>
          </w:p>
          <w:p>
            <w:pPr>
              <w:pStyle w:val="TableContents"/>
              <w:spacing w:lineRule="auto" w:line="240"/>
              <w:rPr>
                <w:sz w:val="20"/>
                <w:szCs w:val="20"/>
              </w:rPr>
            </w:pPr>
            <w:r>
              <w:rPr>
                <w:sz w:val="20"/>
                <w:szCs w:val="20"/>
              </w:rPr>
              <w:t>Department of Computer Science</w:t>
            </w:r>
          </w:p>
          <w:p>
            <w:pPr>
              <w:pStyle w:val="TableContents"/>
              <w:spacing w:lineRule="auto" w:line="240"/>
              <w:rPr>
                <w:sz w:val="20"/>
                <w:szCs w:val="20"/>
              </w:rPr>
            </w:pPr>
            <w:r>
              <w:rPr>
                <w:sz w:val="20"/>
                <w:szCs w:val="20"/>
              </w:rPr>
              <w:t>Mindanao State University – Iligan Institute of Technology</w:t>
            </w:r>
          </w:p>
          <w:p>
            <w:pPr>
              <w:pStyle w:val="TableContents"/>
              <w:spacing w:lineRule="auto" w:line="240"/>
              <w:rPr>
                <w:sz w:val="20"/>
                <w:szCs w:val="20"/>
              </w:rPr>
            </w:pPr>
            <w:r>
              <w:rPr>
                <w:sz w:val="20"/>
                <w:szCs w:val="20"/>
              </w:rPr>
              <w:t>Iligan City, Philippines</w:t>
            </w:r>
          </w:p>
          <w:p>
            <w:pPr>
              <w:pStyle w:val="TableContents"/>
              <w:spacing w:lineRule="auto" w:line="240"/>
              <w:rPr/>
            </w:pPr>
            <w:r>
              <w:rPr>
                <w:rStyle w:val="Hyperlink"/>
                <w:sz w:val="20"/>
                <w:szCs w:val="20"/>
              </w:rPr>
              <w:t>jemarjohn.lumingkit@g.msuiit.edu.ph</w:t>
            </w:r>
          </w:p>
        </w:tc>
        <w:tc>
          <w:tcPr>
            <w:tcW w:w="3373" w:type="dxa"/>
            <w:tcBorders/>
          </w:tcPr>
          <w:p>
            <w:pPr>
              <w:pStyle w:val="TableContents"/>
              <w:spacing w:lineRule="auto" w:line="240"/>
              <w:rPr>
                <w:sz w:val="20"/>
                <w:szCs w:val="20"/>
              </w:rPr>
            </w:pPr>
            <w:hyperlink r:id="rId2">
              <w:r>
                <w:rPr>
                  <w:rStyle w:val="ListLabel91"/>
                  <w:sz w:val="20"/>
                  <w:szCs w:val="20"/>
                </w:rPr>
                <w:t>Hussam M. Bansao</w:t>
              </w:r>
            </w:hyperlink>
          </w:p>
          <w:p>
            <w:pPr>
              <w:pStyle w:val="TableContents"/>
              <w:spacing w:lineRule="auto" w:line="240"/>
              <w:rPr>
                <w:sz w:val="20"/>
                <w:szCs w:val="20"/>
              </w:rPr>
            </w:pPr>
            <w:r>
              <w:rPr>
                <w:sz w:val="20"/>
                <w:szCs w:val="20"/>
              </w:rPr>
              <w:t>Department of Computer Science</w:t>
            </w:r>
          </w:p>
          <w:p>
            <w:pPr>
              <w:pStyle w:val="TableContents"/>
              <w:spacing w:lineRule="auto" w:line="240"/>
              <w:rPr>
                <w:sz w:val="20"/>
                <w:szCs w:val="20"/>
              </w:rPr>
            </w:pPr>
            <w:r>
              <w:rPr>
                <w:sz w:val="20"/>
                <w:szCs w:val="20"/>
              </w:rPr>
              <w:t>Mindanao State University – Iligan Institute of Technology</w:t>
            </w:r>
          </w:p>
          <w:p>
            <w:pPr>
              <w:pStyle w:val="TableContents"/>
              <w:spacing w:lineRule="auto" w:line="240"/>
              <w:rPr>
                <w:sz w:val="20"/>
                <w:szCs w:val="20"/>
              </w:rPr>
            </w:pPr>
            <w:r>
              <w:rPr>
                <w:sz w:val="20"/>
                <w:szCs w:val="20"/>
              </w:rPr>
              <w:t>Iligan City, Philippines</w:t>
            </w:r>
          </w:p>
          <w:p>
            <w:pPr>
              <w:pStyle w:val="TableContents"/>
              <w:spacing w:lineRule="auto" w:line="240"/>
              <w:rPr/>
            </w:pPr>
            <w:r>
              <w:rPr>
                <w:rStyle w:val="Hyperlink"/>
                <w:sz w:val="20"/>
                <w:szCs w:val="20"/>
              </w:rPr>
              <w:t>hussam.bansao@g.msuiit.edu.ph</w:t>
            </w:r>
          </w:p>
        </w:tc>
        <w:tc>
          <w:tcPr>
            <w:tcW w:w="3374" w:type="dxa"/>
            <w:tcBorders/>
          </w:tcPr>
          <w:p>
            <w:pPr>
              <w:pStyle w:val="TableContents"/>
              <w:spacing w:lineRule="auto" w:line="240"/>
              <w:rPr>
                <w:sz w:val="20"/>
                <w:szCs w:val="20"/>
              </w:rPr>
            </w:pPr>
            <w:r>
              <w:rPr>
                <w:sz w:val="20"/>
                <w:szCs w:val="20"/>
              </w:rPr>
              <w:t>Dante D. Dinawanao</w:t>
            </w:r>
          </w:p>
          <w:p>
            <w:pPr>
              <w:pStyle w:val="TableContents"/>
              <w:spacing w:lineRule="auto" w:line="240"/>
              <w:rPr>
                <w:sz w:val="20"/>
                <w:szCs w:val="20"/>
              </w:rPr>
            </w:pPr>
            <w:r>
              <w:rPr>
                <w:sz w:val="20"/>
                <w:szCs w:val="20"/>
              </w:rPr>
              <w:t>Department of Computer Science</w:t>
            </w:r>
          </w:p>
          <w:p>
            <w:pPr>
              <w:pStyle w:val="TableContents"/>
              <w:spacing w:lineRule="auto" w:line="240"/>
              <w:rPr>
                <w:sz w:val="20"/>
                <w:szCs w:val="20"/>
              </w:rPr>
            </w:pPr>
            <w:r>
              <w:rPr>
                <w:sz w:val="20"/>
                <w:szCs w:val="20"/>
              </w:rPr>
              <w:t>Mindanao State University – Iligan Institute of Technology</w:t>
            </w:r>
          </w:p>
          <w:p>
            <w:pPr>
              <w:pStyle w:val="TableContents"/>
              <w:spacing w:lineRule="auto" w:line="240"/>
              <w:rPr>
                <w:sz w:val="20"/>
                <w:szCs w:val="20"/>
              </w:rPr>
            </w:pPr>
            <w:r>
              <w:rPr>
                <w:sz w:val="20"/>
                <w:szCs w:val="20"/>
              </w:rPr>
              <w:t>Iligan City, Philippines</w:t>
            </w:r>
          </w:p>
          <w:p>
            <w:pPr>
              <w:pStyle w:val="TableContents"/>
              <w:spacing w:lineRule="auto" w:line="240"/>
              <w:rPr>
                <w:sz w:val="20"/>
                <w:szCs w:val="20"/>
              </w:rPr>
            </w:pPr>
            <w:hyperlink r:id="rId3">
              <w:r>
                <w:rPr>
                  <w:rStyle w:val="Hyperlink"/>
                  <w:sz w:val="20"/>
                  <w:szCs w:val="20"/>
                </w:rPr>
                <w:t>dante.dinawanao@g.msuiit.edu.ph</w:t>
              </w:r>
            </w:hyperlink>
          </w:p>
        </w:tc>
      </w:tr>
    </w:tbl>
    <w:p>
      <w:pPr>
        <w:pStyle w:val="Normal"/>
        <w:spacing w:beforeAutospacing="1" w:afterAutospacing="1"/>
        <w:jc w:val="start"/>
        <w:rPr>
          <w:kern w:val="2"/>
        </w:rPr>
      </w:pPr>
      <w:r>
        <w:rPr>
          <w:kern w:val="2"/>
        </w:rPr>
      </w:r>
    </w:p>
    <w:p>
      <w:pPr>
        <w:sectPr>
          <w:footerReference w:type="even" r:id="rId4"/>
          <w:footerReference w:type="default" r:id="rId5"/>
          <w:footerReference w:type="first" r:id="rId6"/>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Abstract"/>
        <w:ind w:hanging="0"/>
        <w:rPr>
          <w:i/>
          <w:i/>
          <w:iCs/>
        </w:rPr>
      </w:pPr>
      <w:r>
        <w:rPr>
          <w:i/>
          <w:iCs/>
          <w:sz w:val="18"/>
          <w:szCs w:val="18"/>
        </w:rPr>
        <w:tab/>
      </w:r>
      <w:r>
        <w:rPr>
          <w:i/>
          <w:iCs/>
        </w:rPr>
        <w:t>Abstract</w:t>
      </w:r>
      <w:r>
        <w:rPr/>
        <w:t xml:space="preserve">—This electronic document is a “live” template and already defines the components of your paper [title, text, heads, etc.] in its style sheet.  </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rPr/>
        <w:t xml:space="preserve">. </w:t>
      </w:r>
      <w:r>
        <w:rPr>
          <w:iCs/>
        </w:rPr>
        <w:t>(</w:t>
      </w:r>
      <w:r>
        <w:rPr>
          <w:b w:val="false"/>
          <w:i/>
          <w:iCs/>
        </w:rPr>
        <w:t>Abstract</w:t>
      </w:r>
      <w:r>
        <w:rPr>
          <w:iCs/>
        </w:rPr>
        <w:t>)</w:t>
      </w:r>
    </w:p>
    <w:p>
      <w:pPr>
        <w:pStyle w:val="Keywords"/>
        <w:rPr/>
      </w:pPr>
      <w:r>
        <w:rPr/>
        <w:t>Keywords—component, formatting, style, styling, insert (</w:t>
      </w:r>
      <w:r>
        <w:rPr>
          <w:b w:val="false"/>
        </w:rPr>
        <w:t>key words</w:t>
      </w:r>
      <w:r>
        <w:rPr/>
        <w:t>)</w:t>
      </w:r>
    </w:p>
    <w:p>
      <w:pPr>
        <w:pStyle w:val="Heading1"/>
        <w:ind w:hanging="0"/>
        <w:rPr/>
      </w:pPr>
      <w:r>
        <w:rPr/>
        <w:t>Introduction (</w:t>
      </w:r>
      <w:r>
        <w:rPr>
          <w:rFonts w:eastAsia="MS Mincho"/>
          <w:i/>
        </w:rPr>
        <w:t>Heading 1</w:t>
      </w:r>
      <w:r>
        <w:rPr/>
        <w:t>)</w:t>
      </w:r>
    </w:p>
    <w:p>
      <w:pPr>
        <w:pStyle w:val="BodyText"/>
        <w:rPr/>
      </w:pPr>
      <w:r>
        <w:rPr/>
        <w:t>This template, modified in MS Word 200</w:t>
      </w:r>
      <w:r>
        <w:rPr>
          <w:lang w:val="en-US"/>
        </w:rPr>
        <w:t>7</w:t>
      </w:r>
      <w:r>
        <w:rPr/>
        <w:t xml:space="preserve"> and saved as </w:t>
      </w:r>
      <w:r>
        <w:rPr>
          <w:lang w:val="en-US"/>
        </w:rPr>
        <w:t xml:space="preserve">a </w:t>
      </w:r>
      <w:r>
        <w:rPr/>
        <w:t xml:space="preserve">“Word 97-2003 </w:t>
      </w:r>
      <w:r>
        <w:rPr>
          <w:lang w:val="en-US"/>
        </w:rPr>
        <w:t>Document</w:t>
      </w:r>
      <w:r>
        <w:rP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Heading1"/>
        <w:ind w:hanging="0"/>
        <w:rPr/>
      </w:pPr>
      <w:r>
        <w:rPr/>
        <w:t>Methodology</w:t>
      </w:r>
    </w:p>
    <w:p>
      <w:pPr>
        <w:pStyle w:val="Normal"/>
        <w:ind w:hanging="0"/>
        <w:jc w:val="both"/>
        <w:rPr/>
      </w:pPr>
      <w:r>
        <w:rPr/>
        <w:t>The study used a Computational Simulation Research Design that created a virtual laboratory by integrating the Agent-based Modeling (ABM) and Deep Reinforcement Learning (DRL) into a coupled framework that autonomously discover the optimal resource allocation strategy without the cost and risk of real-world trials.</w:t>
      </w:r>
    </w:p>
    <w:p>
      <w:pPr>
        <w:pStyle w:val="Normal"/>
        <w:ind w:hanging="0"/>
        <w:jc w:val="both"/>
        <w:rPr/>
      </w:pPr>
      <w:r>
        <w:rPr/>
      </w:r>
    </w:p>
    <w:p>
      <w:pPr>
        <w:pStyle w:val="Normal"/>
        <w:ind w:hanging="0"/>
        <w:jc w:val="both"/>
        <w:rPr/>
      </w:pPr>
      <w:r>
        <w:rPr/>
      </w:r>
    </w:p>
    <w:p>
      <w:pPr>
        <w:pStyle w:val="Heading2"/>
        <w:rPr/>
      </w:pPr>
      <w:r>
        <w:rPr/>
        <w:t>Deep Reinforcement Learning</w:t>
      </w:r>
    </w:p>
    <w:p>
      <w:pPr>
        <w:pStyle w:val="BodyText"/>
        <w:spacing w:before="0" w:after="63"/>
        <w:rPr/>
      </w:pPr>
      <w:r>
        <w:rPr/>
        <w:t>The brain of the decisions of the Mayor agent</w:t>
      </w:r>
    </w:p>
    <w:p>
      <w:pPr>
        <w:pStyle w:val="BodyText"/>
        <w:spacing w:before="0" w:after="63"/>
        <w:rPr/>
      </w:pPr>
      <w:r>
        <w:rPr/>
        <w:t xml:space="preserve">The Proximal Policy Optimization (PPO) algorithm was used to dynamically make the best action or decision based on the observation on the environment and getting a reward </w:t>
      </w:r>
    </w:p>
    <w:p>
      <w:pPr>
        <w:pStyle w:val="BodyText"/>
        <w:spacing w:before="0" w:after="63"/>
        <w:rPr/>
      </w:pPr>
      <w:r>
        <w:rPr/>
        <w:t xml:space="preserve">The Multi-Objective Reward Shaping is used to guide the PPO in learning by giving rewards of points its actions benefits the objective of optimizing the household waste segregation compliance, or punished by not doing the latter. </w:t>
      </w:r>
    </w:p>
    <w:p>
      <w:pPr>
        <w:pStyle w:val="BodyText"/>
        <w:spacing w:before="0" w:after="63"/>
        <w:rPr/>
      </w:pPr>
      <w:r>
        <w:rPr/>
        <w:t>The Sparse Reward problem was encountered during the training of the DRL, where due to the large exploration size of the parameters it could not converge and find the optimal solution to the problem. This was because of the Quarterly Policy Epochs where the actions or decisions of the DRL can only be applied and tested, this creates an expansion of time complexity because the DRL needs to wait for that epoch before it can act and learn.</w:t>
      </w:r>
    </w:p>
    <w:p>
      <w:pPr>
        <w:pStyle w:val="BodyText"/>
        <w:spacing w:before="0" w:after="63"/>
        <w:ind w:hanging="0"/>
        <w:rPr/>
      </w:pPr>
      <w:r>
        <w:rPr/>
        <w:t>SHOW hueristic and nonhuerisitic comparative figure here</w:t>
      </w:r>
    </w:p>
    <w:p>
      <w:pPr>
        <w:pStyle w:val="BodyText"/>
        <w:spacing w:before="57" w:after="120"/>
        <w:rPr/>
      </w:pPr>
      <w:r>
        <w:rPr/>
        <w:t>To address the Sparse Reward problem, Heuristic-Guidance or Currriculumn Learning was used to guide the DRL into converging to an optimal solution. These guard rails works a guiding path for the DRL what to focus on and what to prioritize given the context of this study.</w:t>
      </w:r>
    </w:p>
    <w:p>
      <w:pPr>
        <w:pStyle w:val="BodyText"/>
        <w:ind w:hanging="0"/>
        <w:rPr/>
      </w:pPr>
      <w:r>
        <w:rPr/>
        <w:t>HuDRL ALGORITHM HERE</w:t>
      </w:r>
    </w:p>
    <w:p>
      <w:pPr>
        <w:pStyle w:val="BodyText"/>
        <w:spacing w:before="0" w:after="63"/>
        <w:ind w:hanging="0"/>
        <w:rPr/>
      </w:pPr>
      <w:r>
        <w:rPr/>
        <w:t xml:space="preserve">DISCUSS how the Algorithm works </w:t>
      </w:r>
    </w:p>
    <w:p>
      <w:pPr>
        <w:pStyle w:val="BodyText"/>
        <w:spacing w:before="0" w:after="63"/>
        <w:rPr/>
      </w:pPr>
      <w:r>
        <w:rPr/>
        <w:t>The Markov Decision Process was used to link and coupled the two frameworks into one. With the DRL observes and acts upon the environment and getting a reward or punished based on it action or decision, it sets up a trial and error process of learning. Whilst the ABM will be the environment on which the DRL will observe upon.</w:t>
      </w:r>
    </w:p>
    <w:p>
      <w:pPr>
        <w:pStyle w:val="BodyText"/>
        <w:spacing w:before="0" w:after="63"/>
        <w:ind w:hanging="0"/>
        <w:rPr/>
      </w:pPr>
      <w:r>
        <w:rPr/>
        <w:t>SHOW FIGURES OF MDP</w:t>
      </w:r>
    </w:p>
    <w:p>
      <w:pPr>
        <w:pStyle w:val="Heading2"/>
        <w:rPr/>
      </w:pPr>
      <w:r>
        <w:rPr/>
        <w:t>Multi-Agent-based Modeling</w:t>
      </w:r>
    </w:p>
    <w:p>
      <w:pPr>
        <w:pStyle w:val="Normal"/>
        <w:spacing w:lineRule="auto" w:line="240" w:before="57" w:after="57"/>
        <w:jc w:val="both"/>
        <w:rPr/>
      </w:pPr>
      <w:r>
        <w:rPr/>
        <w:tab/>
        <w:t xml:space="preserve">The Mayor agent acts as the decision making actor of the environment, it uses the DRL as its brain to make decisions on that epoch. It dynamically allocates the town’s budget quarterly on the existing policy levers of the Municipal Ordinance 05-2018 mainly: Information and Education Campaigns (IEC), Enforcement, and Incentives to regulate the compliance of the citizens. The simulation gives the a 12 quarters or epoch to give optimal decisions, this translate to a term of a local chief executive (RA 7160). </w:t>
      </w:r>
    </w:p>
    <w:p>
      <w:pPr>
        <w:pStyle w:val="Normal"/>
        <w:jc w:val="both"/>
        <w:rPr/>
      </w:pPr>
      <w:r>
        <w:rPr/>
        <w:tab/>
        <w:t>The Barangay agent acts as the middle manager like the Mayor agent it also use the existing policy levers in  providing the micro-level baseline implementation of the ordinance to regulate the compliance of their barangay constituents. However, they differ in implementation; for micro-level IEC they do barangay assembly and purok or community meetings, for micro-level enforcement they deploy eco-police or tanods in the barangay to monitor the compliance of households writing tickets that then be reported to the MENRO, the incentives works in tandem with the macro-level incentives implementation where the barangay gives groceries in exchange of compliance and citizen redeem them first in the barangay they may opt to give some incentives from the municipal.</w:t>
      </w:r>
    </w:p>
    <w:p>
      <w:pPr>
        <w:pStyle w:val="Normal"/>
        <w:spacing w:before="57" w:after="57"/>
        <w:jc w:val="both"/>
        <w:rPr/>
      </w:pPr>
      <w:r>
        <w:rPr/>
        <w:t xml:space="preserve"> </w:t>
      </w:r>
      <w:r>
        <w:rPr/>
        <w:tab/>
        <w:t>The Enforcer agent are deterrent that fines and penalized the noncompliant household agent. Although the municipal ordinance specifically add provisions on the financial sanctions of the offense, however calculation on the return of such fines to the municipal treasury and its implication as revenue and how it could affect and change the budget for next year was excluded. The agent works but have a search radius of 10 and maximum penalize daily of 20 as it shows the physical boundaries in house to house monitoring and enforcement.</w:t>
      </w:r>
    </w:p>
    <w:p>
      <w:pPr>
        <w:pStyle w:val="Normal"/>
        <w:spacing w:before="57" w:after="57"/>
        <w:jc w:val="both"/>
        <w:rPr/>
      </w:pPr>
      <w:r>
        <w:rPr/>
        <w:tab/>
        <w:t>The Household agent are nonmoving visual actors in the simulation that decides ether they segregate or not</w:t>
      </w:r>
    </w:p>
    <w:p>
      <w:pPr>
        <w:pStyle w:val="Normal"/>
        <w:spacing w:before="114" w:after="114"/>
        <w:jc w:val="center"/>
        <w:rPr/>
      </w:pPr>
      <w:r>
        <w:rPr/>
        <w:t>U</w:t>
      </w:r>
      <w:r>
        <w:rPr>
          <w:vertAlign w:val="subscript"/>
        </w:rPr>
        <w:t>seg</w:t>
      </w:r>
      <w:r>
        <w:rPr>
          <w:position w:val="0"/>
          <w:sz w:val="20"/>
          <w:sz w:val="20"/>
          <w:vertAlign w:val="baseline"/>
        </w:rPr>
        <w:t xml:space="preserve"> = (w</w:t>
      </w:r>
      <w:r>
        <w:rPr>
          <w:vertAlign w:val="subscript"/>
        </w:rPr>
        <w:t>A</w:t>
      </w:r>
      <w:r>
        <w:rPr>
          <w:i w:val="false"/>
          <w:iCs w:val="false"/>
          <w:position w:val="0"/>
          <w:sz w:val="20"/>
          <w:sz w:val="20"/>
          <w:vertAlign w:val="baseline"/>
        </w:rPr>
        <w:t>(t)</w:t>
      </w:r>
      <w:r>
        <w:rPr>
          <w:position w:val="0"/>
          <w:sz w:val="20"/>
          <w:sz w:val="20"/>
          <w:vertAlign w:val="baseline"/>
        </w:rPr>
        <w:t>A)  + (w</w:t>
      </w:r>
      <w:r>
        <w:rPr>
          <w:vertAlign w:val="subscript"/>
        </w:rPr>
        <w:t>SN</w:t>
      </w:r>
      <w:r>
        <w:rPr>
          <w:position w:val="0"/>
          <w:sz w:val="20"/>
          <w:sz w:val="20"/>
          <w:vertAlign w:val="baseline"/>
        </w:rPr>
        <w:t>(t)SN</w:t>
      </w:r>
      <w:r>
        <w:rPr>
          <w:vertAlign w:val="subscript"/>
        </w:rPr>
        <w:t>local</w:t>
      </w:r>
      <w:r>
        <w:rPr>
          <w:position w:val="0"/>
          <w:sz w:val="20"/>
          <w:sz w:val="20"/>
          <w:vertAlign w:val="baseline"/>
        </w:rPr>
        <w:t>) + (w</w:t>
      </w:r>
      <w:r>
        <w:rPr>
          <w:vertAlign w:val="subscript"/>
        </w:rPr>
        <w:t>PBC</w:t>
      </w:r>
      <w:r>
        <w:rPr>
          <w:position w:val="0"/>
          <w:sz w:val="20"/>
          <w:sz w:val="20"/>
          <w:vertAlign w:val="baseline"/>
        </w:rPr>
        <w:t>(t)PBC) – C</w:t>
      </w:r>
      <w:r>
        <w:rPr>
          <w:vertAlign w:val="subscript"/>
        </w:rPr>
        <w:t xml:space="preserve">net </w:t>
      </w:r>
      <w:r>
        <w:rPr>
          <w:position w:val="0"/>
          <w:sz w:val="20"/>
          <w:sz w:val="20"/>
          <w:vertAlign w:val="baseline"/>
        </w:rPr>
        <w:t>+</w:t>
      </w:r>
      <w:r>
        <w:rPr>
          <w:rFonts w:ascii="DejaVu Sans" w:hAnsi="DejaVu Sans"/>
          <w:position w:val="0"/>
          <w:sz w:val="20"/>
          <w:sz w:val="20"/>
          <w:vertAlign w:val="baseline"/>
        </w:rPr>
        <w:t>ε</w:t>
      </w:r>
    </w:p>
    <w:p>
      <w:pPr>
        <w:pStyle w:val="Heading1"/>
        <w:ind w:hanging="0"/>
        <w:rPr/>
      </w:pPr>
      <w:r>
        <w:rPr/>
        <w:t xml:space="preserve"> </w:t>
      </w:r>
      <w:r>
        <w:rPr/>
        <w:t xml:space="preserve">Results and discussion </w:t>
      </w:r>
    </w:p>
    <w:p>
      <w:pPr>
        <w:pStyle w:val="BodyText"/>
        <w:rPr>
          <w:lang w:val="en-US"/>
        </w:rPr>
      </w:pPr>
      <w:r>
        <w:rPr/>
        <w:t xml:space="preserve">Before you begin to format your paper, first write and save the content as a separate text file. </w:t>
      </w:r>
      <w:r>
        <w:rPr>
          <w:lang w:val="en-US"/>
        </w:rPr>
        <w:t xml:space="preserve">Complete all content and </w:t>
      </w:r>
    </w:p>
    <w:p>
      <w:pPr>
        <w:pStyle w:val="BodyText"/>
        <w:ind w:hanging="0"/>
        <w:rPr>
          <w:lang w:val="en-US"/>
        </w:rPr>
      </w:pPr>
      <w:r>
        <w:rPr>
          <w:lang w:val="en-US"/>
        </w:rPr>
        <w:t>Discussion about the data</w:t>
      </w:r>
    </w:p>
    <w:p>
      <w:pPr>
        <w:pStyle w:val="BodyText"/>
        <w:ind w:hanging="0"/>
        <w:rPr>
          <w:lang w:val="en-US"/>
        </w:rPr>
      </w:pPr>
      <w:r>
        <w:rPr>
          <w:lang w:val="en-US"/>
        </w:rPr>
        <w:t>TABLE OF GATHERED DATA</w:t>
      </w:r>
    </w:p>
    <w:p>
      <w:pPr>
        <w:pStyle w:val="BodyText"/>
        <w:ind w:hanging="0"/>
        <w:rPr>
          <w:lang w:val="en-US"/>
        </w:rPr>
      </w:pPr>
      <w:r>
        <w:rPr>
          <w:lang w:val="en-US"/>
        </w:rPr>
        <w:t>Discussion about GSA</w:t>
      </w:r>
    </w:p>
    <w:p>
      <w:pPr>
        <w:pStyle w:val="BodyText"/>
        <w:ind w:hanging="0"/>
        <w:rPr>
          <w:lang w:val="en-US"/>
        </w:rPr>
      </w:pPr>
      <w:r>
        <w:rPr>
          <w:lang w:val="en-US"/>
        </w:rPr>
        <w:t>GLOBAL SENSITIVTY ANALYSIS figure</w:t>
      </w:r>
    </w:p>
    <w:p>
      <w:pPr>
        <w:pStyle w:val="BodyText"/>
        <w:ind w:hanging="0"/>
        <w:rPr>
          <w:lang w:val="en-US"/>
        </w:rPr>
      </w:pPr>
      <w:r>
        <w:rPr>
          <w:lang w:val="en-US"/>
        </w:rPr>
        <w:t>Discussion about Comparative Analysis</w:t>
      </w:r>
    </w:p>
    <w:p>
      <w:pPr>
        <w:pStyle w:val="BodyText"/>
        <w:ind w:hanging="0"/>
        <w:rPr>
          <w:lang w:val="en-US"/>
        </w:rPr>
      </w:pPr>
      <w:r>
        <w:rPr>
          <w:lang w:val="en-US"/>
        </w:rPr>
        <w:t>COMPARATIVE POLICY FIGURE</w:t>
      </w:r>
    </w:p>
    <w:p>
      <w:pPr>
        <w:pStyle w:val="Heading1"/>
        <w:ind w:hanging="0"/>
        <w:rPr/>
      </w:pPr>
      <w:r>
        <w:rPr/>
        <w:t>Conclusion</w:t>
      </w:r>
    </w:p>
    <w:p>
      <w:pPr>
        <w:pStyle w:val="BodyText"/>
        <w:rPr/>
      </w:pPr>
      <w:r>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Heading2"/>
        <w:rPr/>
      </w:pPr>
      <w:r>
        <w:rPr/>
        <w:t>Policy Implication and Recommendation</w:t>
      </w:r>
    </w:p>
    <w:p>
      <w:pPr>
        <w:pStyle w:val="BodyText"/>
        <w:numPr>
          <w:ilvl w:val="0"/>
          <w:numId w:val="8"/>
        </w:numPr>
        <w:rPr/>
      </w:pPr>
      <w:r>
        <w:rPr/>
        <w:t>Sequential Saturation</w:t>
      </w:r>
    </w:p>
    <w:p>
      <w:pPr>
        <w:pStyle w:val="BodyText"/>
        <w:numPr>
          <w:ilvl w:val="0"/>
          <w:numId w:val="8"/>
        </w:numPr>
        <w:rPr/>
      </w:pPr>
      <w:r>
        <w:rPr/>
        <w:t>Invest and Improve Logistical Waste Collection</w:t>
      </w:r>
    </w:p>
    <w:p>
      <w:pPr>
        <w:pStyle w:val="BodyText"/>
        <w:numPr>
          <w:ilvl w:val="0"/>
          <w:numId w:val="8"/>
        </w:numPr>
        <w:rPr/>
      </w:pPr>
      <w:r>
        <w:rPr/>
        <w:t xml:space="preserve">IEC and Incentives </w:t>
      </w:r>
    </w:p>
    <w:p>
      <w:pPr>
        <w:pStyle w:val="BodyText"/>
        <w:numPr>
          <w:ilvl w:val="0"/>
          <w:numId w:val="8"/>
        </w:numPr>
        <w:rPr/>
      </w:pPr>
      <w:r>
        <w:rPr/>
        <w:t>Adopt digital tools and governance</w:t>
      </w:r>
    </w:p>
    <w:p>
      <w:pPr>
        <w:pStyle w:val="Heading2"/>
        <w:rPr/>
      </w:pPr>
      <w:r>
        <w:rPr/>
        <w:t xml:space="preserve">Critique and </w:t>
      </w:r>
      <w:r>
        <w:rPr/>
        <w:t xml:space="preserve">Future work </w:t>
      </w:r>
    </w:p>
    <w:p>
      <w:pPr>
        <w:pStyle w:val="Normal"/>
        <w:numPr>
          <w:ilvl w:val="0"/>
          <w:numId w:val="9"/>
        </w:numPr>
        <w:jc w:val="both"/>
        <w:rPr/>
      </w:pPr>
      <w:r>
        <w:rPr/>
        <w:t>MARL</w:t>
      </w:r>
    </w:p>
    <w:p>
      <w:pPr>
        <w:pStyle w:val="Normal"/>
        <w:numPr>
          <w:ilvl w:val="0"/>
          <w:numId w:val="9"/>
        </w:numPr>
        <w:jc w:val="both"/>
        <w:rPr/>
      </w:pPr>
      <w:r>
        <w:rPr/>
        <w:t>GIS-VRP</w:t>
      </w:r>
    </w:p>
    <w:p>
      <w:pPr>
        <w:pStyle w:val="Heading5"/>
        <w:rPr/>
      </w:pPr>
      <w:r>
        <w:rPr/>
        <w:t>Acknowledgment</w:t>
      </w:r>
    </w:p>
    <w:p>
      <w:pPr>
        <w:pStyle w:val="BodyText"/>
        <w:rPr/>
      </w:pPr>
      <w:r>
        <w:rPr/>
        <w:t>The preferred spelling of the word “acknowledgment” in America is without an “e” after the “g”. Avoid the stilted expression “</w:t>
      </w:r>
      <w:r>
        <w:rPr>
          <w:lang w:val="en-US"/>
        </w:rPr>
        <w:t>o</w:t>
      </w:r>
      <w:r>
        <w:rPr/>
        <w:t>ne of us (R. B. G.) thanks ...</w:t>
      </w:r>
      <w:r>
        <w:rPr>
          <w:lang w:val="en-US"/>
        </w:rPr>
        <w:t xml:space="preserve">”.  </w:t>
      </w:r>
      <w:r>
        <w:rPr/>
        <w:t>Instead, try “R. B. G. thanks...”.</w:t>
      </w:r>
      <w:r>
        <w:rPr>
          <w:lang w:val="en-US"/>
        </w:rPr>
        <w:t xml:space="preserve"> </w:t>
      </w:r>
      <w:r>
        <w:rPr/>
        <w:t>Put sponsor acknowledgments in the unnumbered footnote on the first page.</w:t>
      </w:r>
    </w:p>
    <w:p>
      <w:pPr>
        <w:pStyle w:val="Heading5"/>
        <w:rPr/>
      </w:pPr>
      <w:r>
        <w:rPr/>
        <w:t>Use of Generative AI</w:t>
      </w:r>
    </w:p>
    <w:p>
      <w:pPr>
        <w:pStyle w:val="Normal"/>
        <w:jc w:val="both"/>
        <w:rPr/>
      </w:pPr>
      <w:r>
        <w:rPr/>
        <w:t>The authors used Gemini 3 Pro to improve grammatical and spelling corrections. All data and methods are validated by the authors</w:t>
      </w:r>
    </w:p>
    <w:p>
      <w:pPr>
        <w:pStyle w:val="Heading5"/>
        <w:rPr/>
      </w:pPr>
      <w:r>
        <w:rPr/>
        <w:t>References</w:t>
      </w:r>
    </w:p>
    <w:p>
      <w:pPr>
        <w:pStyle w:val="references"/>
        <w:numPr>
          <w:ilvl w:val="0"/>
          <w:numId w:val="5"/>
        </w:numPr>
        <w:ind w:hanging="354" w:start="354"/>
        <w:rPr/>
      </w:pPr>
      <w:r>
        <w:rPr>
          <w:i/>
          <w:iCs/>
        </w:rPr>
        <w:t>Ceshi et al., (2021)</w:t>
      </w:r>
    </w:p>
    <w:p>
      <w:pPr>
        <w:pStyle w:val="references"/>
        <w:numPr>
          <w:ilvl w:val="0"/>
          <w:numId w:val="0"/>
        </w:numPr>
        <w:ind w:hanging="0" w:start="354"/>
        <w:rPr/>
      </w:pPr>
      <w:r>
        <w:rPr/>
      </w:r>
    </w:p>
    <w:p>
      <w:pPr>
        <w:pStyle w:val="references"/>
        <w:numPr>
          <w:ilvl w:val="0"/>
          <w:numId w:val="0"/>
        </w:numPr>
        <w:ind w:hanging="360" w:start="360"/>
        <w:rPr/>
      </w:pPr>
      <w:r>
        <w:rPr/>
      </w:r>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8192"/>
        </w:sectPr>
      </w:pP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1" w:characterSet="utf-8"/>
    <w:family w:val="roman"/>
    <w:pitch w:val="variable"/>
  </w:font>
  <w:font w:name="DejaVu Sans">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pStyle w:val="Heading6"/>
      <w:numFmt w:val="lowerLetter"/>
      <w:lvlText w:val="(%6)"/>
      <w:lvlJc w:val="start"/>
      <w:pPr>
        <w:tabs>
          <w:tab w:val="num" w:pos="3960"/>
        </w:tabs>
        <w:ind w:start="3600" w:hanging="0"/>
      </w:pPr>
      <w:rPr>
        <w:rFonts w:cs="Times New Roman"/>
      </w:rPr>
    </w:lvl>
    <w:lvl w:ilvl="6">
      <w:start w:val="1"/>
      <w:pStyle w:val="Heading7"/>
      <w:numFmt w:val="lowerRoman"/>
      <w:lvlText w:val="(%7)"/>
      <w:lvlJc w:val="start"/>
      <w:pPr>
        <w:tabs>
          <w:tab w:val="num" w:pos="4680"/>
        </w:tabs>
        <w:ind w:start="4320" w:hanging="0"/>
      </w:pPr>
      <w:rPr>
        <w:rFonts w:cs="Times New Roman"/>
      </w:rPr>
    </w:lvl>
    <w:lvl w:ilvl="7">
      <w:start w:val="1"/>
      <w:pStyle w:val="Heading8"/>
      <w:numFmt w:val="lowerLetter"/>
      <w:lvlText w:val="(%8)"/>
      <w:lvlJc w:val="start"/>
      <w:pPr>
        <w:tabs>
          <w:tab w:val="num" w:pos="5400"/>
        </w:tabs>
        <w:ind w:start="5040" w:hanging="0"/>
      </w:pPr>
      <w:rPr>
        <w:rFonts w:cs="Times New Roman"/>
      </w:rPr>
    </w:lvl>
    <w:lvl w:ilvl="8">
      <w:start w:val="1"/>
      <w:pStyle w:val="Heading9"/>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4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ing10">
    <w:name w:val="Heading 10"/>
    <w:basedOn w:val="Heading"/>
    <w:next w:val="BodyText"/>
    <w:qFormat/>
    <w:pPr>
      <w:numPr>
        <w:ilvl w:val="8"/>
        <w:numId w:val="1"/>
      </w:numPr>
      <w:spacing w:before="60" w:after="60"/>
      <w:outlineLvl w:val="8"/>
    </w:pPr>
    <w:rPr>
      <w:b/>
      <w:bCs/>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hussam.bansao@g.msuiit.edu.ph" TargetMode="External"/><Relationship Id="rId3" Type="http://schemas.openxmlformats.org/officeDocument/2006/relationships/hyperlink" Target="mailto:dante.dinawanao@g.msuiit.edu.ph"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767</TotalTime>
  <Application>LibreOffice/24.2.7.2$Linux_X86_64 LibreOffice_project/420$Build-2</Application>
  <AppVersion>15.0000</AppVersion>
  <Pages>2</Pages>
  <Words>1148</Words>
  <Characters>6321</Characters>
  <CharactersWithSpaces>7412</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en-US</dc:language>
  <cp:lastModifiedBy/>
  <dcterms:modified xsi:type="dcterms:W3CDTF">2026-04-24T01:09:31Z</dcterms:modified>
  <cp:revision>9</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