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FD52F" w14:textId="59A85CD8" w:rsidR="00B03584" w:rsidRDefault="00B03584" w:rsidP="00B03584">
      <w:pPr>
        <w:pStyle w:val="Title"/>
        <w:jc w:val="center"/>
      </w:pPr>
      <w:r w:rsidRPr="00B03584">
        <w:t>Institutionalizing the Use of Internet Cafés for TVET: A Public-Private Partnership Framework in Maigo, Lanao del Norte</w:t>
      </w:r>
    </w:p>
    <w:p w14:paraId="063E83F3" w14:textId="28EC863D" w:rsidR="00DB3C82" w:rsidRPr="00DB3C82" w:rsidRDefault="00DB3C82" w:rsidP="00DB3C82">
      <w:pPr>
        <w:spacing w:before="240" w:after="0"/>
        <w:jc w:val="center"/>
        <w:rPr>
          <w:rFonts w:ascii="Bodoni MT" w:hAnsi="Bodoni MT" w:cs="Times New Roman"/>
          <w:sz w:val="32"/>
          <w:szCs w:val="32"/>
        </w:rPr>
      </w:pPr>
      <w:r w:rsidRPr="00DB3C82">
        <w:rPr>
          <w:rFonts w:ascii="Bodoni MT" w:hAnsi="Bodoni MT" w:cs="Times New Roman"/>
          <w:sz w:val="32"/>
          <w:szCs w:val="32"/>
        </w:rPr>
        <w:t>Jemar John J Lumingkit</w:t>
      </w:r>
    </w:p>
    <w:p w14:paraId="6B6AC6D5" w14:textId="48FDF3DC" w:rsidR="00DB3C82" w:rsidRPr="00DB3C82" w:rsidRDefault="00DB3C82" w:rsidP="00DB3C82">
      <w:pPr>
        <w:spacing w:after="0"/>
        <w:jc w:val="center"/>
        <w:rPr>
          <w:rFonts w:ascii="Times New Roman" w:hAnsi="Times New Roman" w:cs="Times New Roman"/>
        </w:rPr>
      </w:pPr>
      <w:r w:rsidRPr="00DB3C82">
        <w:rPr>
          <w:rFonts w:ascii="Times New Roman" w:hAnsi="Times New Roman" w:cs="Times New Roman"/>
        </w:rPr>
        <w:t>Bacolod, Lanao del Norte</w:t>
      </w:r>
    </w:p>
    <w:p w14:paraId="4A0C4535" w14:textId="77777777" w:rsidR="00B03584" w:rsidRDefault="00B03584" w:rsidP="00B03584">
      <w:pPr>
        <w:spacing w:before="240"/>
        <w:jc w:val="both"/>
      </w:pPr>
      <w:r w:rsidRPr="00B03584">
        <w:rPr>
          <w:b/>
          <w:bCs/>
        </w:rPr>
        <w:t>1. Background and Statement of the Problem</w:t>
      </w:r>
      <w:r w:rsidRPr="00B03584">
        <w:t xml:space="preserve"> </w:t>
      </w:r>
    </w:p>
    <w:p w14:paraId="5CD212A9" w14:textId="2E3889D4" w:rsidR="00B03584" w:rsidRPr="00B03584" w:rsidRDefault="00B03584" w:rsidP="00B03584">
      <w:pPr>
        <w:jc w:val="both"/>
      </w:pPr>
      <w:r w:rsidRPr="00B03584">
        <w:t>The United Nations' Sustainable Development Goal 4 (SDG 4) mandates inclusive, equitable quality education and lifelong learning, emphasizing the urgent need to increase technical and vocational skills for employment. However, realizing this mandate remains a significant challenge in developing municipalities facing severe resource constraints. A distinct socio-economic paradox has emerged: while digital literacy is a mandatory prerequisite for employment, the physical infrastructure required to teach these skills is lagging.</w:t>
      </w:r>
    </w:p>
    <w:p w14:paraId="0222CC25" w14:textId="6409D769" w:rsidR="00B03584" w:rsidRPr="00B03584" w:rsidRDefault="00B03584" w:rsidP="00B03584">
      <w:pPr>
        <w:ind w:firstLine="720"/>
        <w:jc w:val="both"/>
      </w:pPr>
      <w:r w:rsidRPr="00B03584">
        <w:t xml:space="preserve">Simultaneously, the widespread accessibility of smartphones has triggered an economic decline in the traditional internet café industry, leaving high-specification hardware idle during prime operational hours. Consequently, private Technical Vocational Institutions (TVIs) and public education centers in the Municipality of Maigo face severe infrastructural </w:t>
      </w:r>
      <w:r w:rsidRPr="00B03584">
        <w:t>bottlenecks,</w:t>
      </w:r>
      <w:r w:rsidRPr="00B03584">
        <w:t xml:space="preserve"> while local internet cafés are facing bankruptcy due to daytime underutilization.</w:t>
      </w:r>
    </w:p>
    <w:p w14:paraId="6B8940D2" w14:textId="77777777" w:rsidR="00B03584" w:rsidRDefault="00B03584" w:rsidP="00B03584">
      <w:pPr>
        <w:jc w:val="both"/>
      </w:pPr>
      <w:r w:rsidRPr="00B03584">
        <w:rPr>
          <w:b/>
          <w:bCs/>
        </w:rPr>
        <w:t>2. Theoretical Framework</w:t>
      </w:r>
      <w:r w:rsidRPr="00B03584">
        <w:t xml:space="preserve"> </w:t>
      </w:r>
    </w:p>
    <w:p w14:paraId="0BFE4664" w14:textId="6899B387" w:rsidR="00B03584" w:rsidRPr="00B03584" w:rsidRDefault="00B03584" w:rsidP="00B03584">
      <w:pPr>
        <w:jc w:val="both"/>
      </w:pPr>
      <w:r w:rsidRPr="00B03584">
        <w:t>This study is anchored in the Collaborative Governance and Networked Government framework, which positions the government as an orchestrator of services rather than solely a provider. This aligns with the concept of entrepreneurial management in public organizations. Furthermore, the study utilizes Public Value Theory to focus on maximizing taxpayer utility by saving local MSMEs while concurrently upskilling the youth demographic.</w:t>
      </w:r>
    </w:p>
    <w:p w14:paraId="1349377E" w14:textId="77777777" w:rsidR="00B03584" w:rsidRDefault="00B03584" w:rsidP="00B03584">
      <w:pPr>
        <w:jc w:val="both"/>
      </w:pPr>
      <w:r w:rsidRPr="00B03584">
        <w:rPr>
          <w:b/>
          <w:bCs/>
        </w:rPr>
        <w:t>3. Research Objectives</w:t>
      </w:r>
      <w:r w:rsidRPr="00B03584">
        <w:t xml:space="preserve"> </w:t>
      </w:r>
    </w:p>
    <w:p w14:paraId="34DF1E7B" w14:textId="0B889F05" w:rsidR="00B03584" w:rsidRPr="00B03584" w:rsidRDefault="00B03584" w:rsidP="00B03584">
      <w:pPr>
        <w:jc w:val="both"/>
      </w:pPr>
      <w:r w:rsidRPr="00B03584">
        <w:t>The primary objective of this study is to assess the feasibility of utilizing private internet cafés as official TESDA and university-accredited computer laboratories under a Local Government Unit (LGU)-led Public-Private Partnership (PPP). Specifically, this research aims to:</w:t>
      </w:r>
    </w:p>
    <w:p w14:paraId="6EA12F56" w14:textId="77777777" w:rsidR="00B03584" w:rsidRPr="00B03584" w:rsidRDefault="00B03584" w:rsidP="00B03584">
      <w:pPr>
        <w:numPr>
          <w:ilvl w:val="0"/>
          <w:numId w:val="1"/>
        </w:numPr>
        <w:jc w:val="both"/>
      </w:pPr>
      <w:r w:rsidRPr="00B03584">
        <w:t>Evaluate the technical readiness, pedagogical viability, and economic willingness of local internet cafés to participate in a government-subsidized daytime leasing agreement.</w:t>
      </w:r>
    </w:p>
    <w:p w14:paraId="38A1DEF5" w14:textId="77777777" w:rsidR="00B03584" w:rsidRPr="00B03584" w:rsidRDefault="00B03584" w:rsidP="00B03584">
      <w:pPr>
        <w:numPr>
          <w:ilvl w:val="0"/>
          <w:numId w:val="1"/>
        </w:numPr>
        <w:jc w:val="both"/>
      </w:pPr>
      <w:r w:rsidRPr="00B03584">
        <w:t>Identify the legal and bureaucratic mechanisms under the Philippine PPP Code (RA 11966) necessary for an LGU to execute daytime leasing agreements.</w:t>
      </w:r>
    </w:p>
    <w:p w14:paraId="2128D607" w14:textId="6A5CDE51" w:rsidR="00B03584" w:rsidRPr="00B03584" w:rsidRDefault="00B03584" w:rsidP="00B03584">
      <w:pPr>
        <w:numPr>
          <w:ilvl w:val="0"/>
          <w:numId w:val="1"/>
        </w:numPr>
        <w:jc w:val="both"/>
      </w:pPr>
      <w:r w:rsidRPr="00B03584">
        <w:lastRenderedPageBreak/>
        <w:t>Design the "Maigo Dual-Use" PPP Framework detailing the exact structural, financial, and operational management parameters required to sustain the partnership.</w:t>
      </w:r>
    </w:p>
    <w:p w14:paraId="67D73102" w14:textId="77777777" w:rsidR="00B03584" w:rsidRDefault="00B03584" w:rsidP="00B03584">
      <w:pPr>
        <w:jc w:val="both"/>
      </w:pPr>
      <w:r w:rsidRPr="00B03584">
        <w:rPr>
          <w:b/>
          <w:bCs/>
        </w:rPr>
        <w:t>4. Policy Innovation and Technical Risk Mitigation</w:t>
      </w:r>
      <w:r w:rsidRPr="00B03584">
        <w:t xml:space="preserve"> </w:t>
      </w:r>
    </w:p>
    <w:p w14:paraId="6DC5F997" w14:textId="21B996B4" w:rsidR="00B03584" w:rsidRPr="00B03584" w:rsidRDefault="00B03584" w:rsidP="00B03584">
      <w:pPr>
        <w:jc w:val="both"/>
      </w:pPr>
      <w:r w:rsidRPr="00B03584">
        <w:t>While national PPP models exist for large-scale infrastructure, there is a distinct lack of localized policy frameworks enabling rural municipalities to utilize service-contracting under the PPP Code (RA 11966) for micro-infrastructure like internet cafés. This "Zero-Capital-Expenditure" (Zero-</w:t>
      </w:r>
      <w:proofErr w:type="spellStart"/>
      <w:r w:rsidRPr="00B03584">
        <w:t>CapEx</w:t>
      </w:r>
      <w:proofErr w:type="spellEnd"/>
      <w:r w:rsidRPr="00B03584">
        <w:t>) model offers a synergistic solution, providing the LGU with a critical digital infrastructure upgrade without prohibitive costs.</w:t>
      </w:r>
    </w:p>
    <w:p w14:paraId="5F051934" w14:textId="77777777" w:rsidR="00B03584" w:rsidRPr="00B03584" w:rsidRDefault="00B03584" w:rsidP="00B03584">
      <w:pPr>
        <w:ind w:firstLine="720"/>
        <w:jc w:val="both"/>
      </w:pPr>
      <w:r w:rsidRPr="00B03584">
        <w:t>To address operational management and cybersecurity risks, the proposed technical architecture utilizes a Diskless (PXE-Boot) Multiple Image Architecture. This system completely segregates the sterile, government-controlled "Educational Image" from the nighttime "Commercial Image," utilizing a reboot-to-restore function to wipe all data and potential malware between sessions, thereby mitigating liability disputes between the LGU and private enterprise.</w:t>
      </w:r>
    </w:p>
    <w:p w14:paraId="62D5FC55" w14:textId="77777777" w:rsidR="00B03584" w:rsidRDefault="00B03584" w:rsidP="00B03584">
      <w:pPr>
        <w:jc w:val="both"/>
      </w:pPr>
      <w:r w:rsidRPr="00B03584">
        <w:rPr>
          <w:b/>
          <w:bCs/>
        </w:rPr>
        <w:t>5. Proposed Methodology</w:t>
      </w:r>
      <w:r w:rsidRPr="00B03584">
        <w:t xml:space="preserve"> </w:t>
      </w:r>
    </w:p>
    <w:p w14:paraId="61A4C9C3" w14:textId="27060439" w:rsidR="00B03584" w:rsidRPr="00B03584" w:rsidRDefault="00B03584" w:rsidP="00B03584">
      <w:pPr>
        <w:jc w:val="both"/>
      </w:pPr>
      <w:r w:rsidRPr="00B03584">
        <w:t>This study will employ a Qualitative Single Instrumental Case Study and Policy Formulation approach. It focuses strictly on the administrative, legal, and economic realities needed to assess feasibility. Data will be gathered through Semi-Structured Interviews to identify budgetary, legal, and technical friction points, alongside a Documentary Analysis of local zoning ordinances, TESDA standards, and the Philippine PPP Code. Purposive Sampling will be utilized to select key informants across the Governance sector (e.g., LGU Officials), the Education sector (TVI administrators), and the Private sector (registered internet café owners).</w:t>
      </w:r>
    </w:p>
    <w:p w14:paraId="29DD648D" w14:textId="77777777" w:rsidR="00B03584" w:rsidRDefault="00B03584" w:rsidP="00B03584">
      <w:pPr>
        <w:jc w:val="both"/>
      </w:pPr>
      <w:r w:rsidRPr="00B03584">
        <w:rPr>
          <w:b/>
          <w:bCs/>
        </w:rPr>
        <w:t>6. Expected Policy Outcomes</w:t>
      </w:r>
      <w:r w:rsidRPr="00B03584">
        <w:t xml:space="preserve"> </w:t>
      </w:r>
    </w:p>
    <w:p w14:paraId="09DD30EF" w14:textId="2D672EEB" w:rsidR="00B03584" w:rsidRPr="00B03584" w:rsidRDefault="00B03584" w:rsidP="00B03584">
      <w:pPr>
        <w:jc w:val="both"/>
      </w:pPr>
      <w:r w:rsidRPr="00B03584">
        <w:t>The ultimate output of this research is a replicable blueprint for municipalities to democratize access to digital skills training. Specifically, the study expects to yield actionable policy recommendations to advise the LGU and Sangguniang Bayan on the specific legislative provisions needed to institutionalize these micro-laboratories, including necessary anti-truancy exemptions, accreditation standards, and the formalization of LGU-MSME-TVI linkages</w:t>
      </w:r>
    </w:p>
    <w:p w14:paraId="4E7B0762" w14:textId="77777777" w:rsidR="00CD7CDF" w:rsidRDefault="00CD7CDF" w:rsidP="00B03584">
      <w:pPr>
        <w:jc w:val="both"/>
      </w:pPr>
    </w:p>
    <w:sectPr w:rsidR="00CD7CDF" w:rsidSect="00DB3C82">
      <w:pgSz w:w="12240" w:h="15840" w:code="1"/>
      <w:pgMar w:top="720" w:right="1440" w:bottom="72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doni MT">
    <w:panose1 w:val="02070603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806F6"/>
    <w:multiLevelType w:val="multilevel"/>
    <w:tmpl w:val="C54C6F4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435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70C"/>
    <w:rsid w:val="001E670C"/>
    <w:rsid w:val="006D10EB"/>
    <w:rsid w:val="006D4601"/>
    <w:rsid w:val="00B03584"/>
    <w:rsid w:val="00C71889"/>
    <w:rsid w:val="00CB2AE3"/>
    <w:rsid w:val="00CD7CDF"/>
    <w:rsid w:val="00D6370C"/>
    <w:rsid w:val="00DB3C8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9A512"/>
  <w15:chartTrackingRefBased/>
  <w15:docId w15:val="{9964C937-0516-48B7-B882-4FC24E05A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3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7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7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7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7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37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7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7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7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70C"/>
    <w:rPr>
      <w:rFonts w:eastAsiaTheme="majorEastAsia" w:cstheme="majorBidi"/>
      <w:color w:val="272727" w:themeColor="text1" w:themeTint="D8"/>
    </w:rPr>
  </w:style>
  <w:style w:type="paragraph" w:styleId="Title">
    <w:name w:val="Title"/>
    <w:basedOn w:val="Normal"/>
    <w:next w:val="Normal"/>
    <w:link w:val="TitleChar"/>
    <w:uiPriority w:val="10"/>
    <w:qFormat/>
    <w:rsid w:val="00D63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70C"/>
    <w:pPr>
      <w:spacing w:before="160"/>
      <w:jc w:val="center"/>
    </w:pPr>
    <w:rPr>
      <w:i/>
      <w:iCs/>
      <w:color w:val="404040" w:themeColor="text1" w:themeTint="BF"/>
    </w:rPr>
  </w:style>
  <w:style w:type="character" w:customStyle="1" w:styleId="QuoteChar">
    <w:name w:val="Quote Char"/>
    <w:basedOn w:val="DefaultParagraphFont"/>
    <w:link w:val="Quote"/>
    <w:uiPriority w:val="29"/>
    <w:rsid w:val="00D6370C"/>
    <w:rPr>
      <w:i/>
      <w:iCs/>
      <w:color w:val="404040" w:themeColor="text1" w:themeTint="BF"/>
    </w:rPr>
  </w:style>
  <w:style w:type="paragraph" w:styleId="ListParagraph">
    <w:name w:val="List Paragraph"/>
    <w:basedOn w:val="Normal"/>
    <w:uiPriority w:val="34"/>
    <w:qFormat/>
    <w:rsid w:val="00D6370C"/>
    <w:pPr>
      <w:ind w:left="720"/>
      <w:contextualSpacing/>
    </w:pPr>
  </w:style>
  <w:style w:type="character" w:styleId="IntenseEmphasis">
    <w:name w:val="Intense Emphasis"/>
    <w:basedOn w:val="DefaultParagraphFont"/>
    <w:uiPriority w:val="21"/>
    <w:qFormat/>
    <w:rsid w:val="00D6370C"/>
    <w:rPr>
      <w:i/>
      <w:iCs/>
      <w:color w:val="0F4761" w:themeColor="accent1" w:themeShade="BF"/>
    </w:rPr>
  </w:style>
  <w:style w:type="paragraph" w:styleId="IntenseQuote">
    <w:name w:val="Intense Quote"/>
    <w:basedOn w:val="Normal"/>
    <w:next w:val="Normal"/>
    <w:link w:val="IntenseQuoteChar"/>
    <w:uiPriority w:val="30"/>
    <w:qFormat/>
    <w:rsid w:val="00D63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70C"/>
    <w:rPr>
      <w:i/>
      <w:iCs/>
      <w:color w:val="0F4761" w:themeColor="accent1" w:themeShade="BF"/>
    </w:rPr>
  </w:style>
  <w:style w:type="character" w:styleId="IntenseReference">
    <w:name w:val="Intense Reference"/>
    <w:basedOn w:val="DefaultParagraphFont"/>
    <w:uiPriority w:val="32"/>
    <w:qFormat/>
    <w:rsid w:val="00D637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677</Words>
  <Characters>3861</Characters>
  <Application>Microsoft Office Word</Application>
  <DocSecurity>0</DocSecurity>
  <Lines>32</Lines>
  <Paragraphs>9</Paragraphs>
  <ScaleCrop>false</ScaleCrop>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Mae Lumingkit</dc:creator>
  <cp:keywords/>
  <dc:description/>
  <cp:lastModifiedBy>Hanna Mae Lumingkit</cp:lastModifiedBy>
  <cp:revision>3</cp:revision>
  <dcterms:created xsi:type="dcterms:W3CDTF">2026-03-18T12:06:00Z</dcterms:created>
  <dcterms:modified xsi:type="dcterms:W3CDTF">2026-03-18T12:11:00Z</dcterms:modified>
</cp:coreProperties>
</file>