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won Best AI Model for Credit Scoring at Impact Hub Nairobi’s AI4S programme</w:t>
      </w:r>
      <w:r>
        <w:rPr>
          <w:i/>
          <w:color w:val="C00000"/>
        </w:rPr>
        <w:t xml:space="preserve"> [confirm month/cohort of the award]</w:t>
      </w:r>
      <w:r>
        <w:t>, and AppCross presented FarmIQ at an AI Summit event earlier in 2026</w:t>
      </w:r>
      <w:r>
        <w:rPr>
          <w:i/>
          <w:color w:val="C00000"/>
        </w:rPr>
        <w:t xml:space="preserve"> [confirm event name, organiser and location]</w:t>
      </w:r>
      <w:r>
        <w:t>. AppCross is also scheduled to exhibit FarmIQ, including the pasture-health feature proposed under this activity, at the AgriAfrica Expo in October 2026.</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recognised as Best AI Model for Credit Scoring under Impact Hub Nairobi’s AI4S programme</w:t>
      </w:r>
      <w:r>
        <w:rPr>
          <w:i/>
          <w:color w:val="C00000"/>
        </w:rPr>
        <w:t xml:space="preserve"> [confirm month/cohort of the award]</w:t>
      </w:r>
      <w:r>
        <w:t>, and AppCross continues to be connected to Impact Hub Nairobi through that programme, which is expected to be a source of continued mentorship, technical review and potential investor introductions. AppCross presented FarmIQ at an AI Summit event earlier in 2026</w:t>
      </w:r>
      <w:r>
        <w:rPr>
          <w:i/>
          <w:color w:val="C00000"/>
        </w:rPr>
        <w:t xml:space="preserve"> [confirm event name, organiser and location]</w:t>
      </w:r>
      <w:r>
        <w:t>, and is scheduled to exhibit FarmIQ — including this proposed pasture-health feature — at the AgriAfrica Expo in October 2026. Both are intended to generate qualified investor, cooperative and follow-on partner conversations.</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the AgriAfrica Expo and AI Summit relationships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rPr>
          <w:i/>
          <w:color w:val="C00000"/>
        </w:rPr>
        <w:t>[Insert supporting national/regional statistics with sources — e.g. number of smallholder dairy households in Kenya, share of national milk production from smallholders, typical yield-gap figures. Cite a verifiable source (KNBS, Kenya Dairy Board, FAO) rather than an unsourced figure.]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rPr>
          <w:i/>
          <w:color w:val="C00000"/>
        </w:rPr>
        <w:t>[Add a brief comparison against current practice and any competing tools (e.g. Apollo Agriculture, PlantVillage, or generic satellite-agri dashboards), explaining why bundling this into an already-adopted farm-management platform is a differentiated approach.]</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rPr>
          <w:i/>
          <w:color w:val="C00000"/>
        </w:rPr>
        <w:t>[If you are aware of any directly competing product doing this exact combination, name it and explain the differentiation; if not, state that no direct competitor was identified as of the date of submission.]</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no licence fee or usage restriction applies to the imagery itself. Processing is planned via the Copernicus Data Space Ecosystem and/or Google Earth Engine.</w:t>
      </w:r>
    </w:p>
    <w:p>
      <w:r>
        <w:rPr>
          <w:i/>
          <w:color w:val="C00000"/>
        </w:rPr>
        <w:t>[Confirm which processing platform will be used and its licence terms for commercial use — Google Earth Engine has specific commercial-use licensing conditions that should be checked and stated explicitly; the Copernicus Data Space Ecosystem has no such restriction. If any third-party technology or data provider is involved, attach their letter confirming access to the relevant rights for the duration of the project, as required by the Open Call.]</w:t>
      </w:r>
    </w:p>
    <w:p>
      <w:r>
        <w:t>No dependency on proprietary third-party satellite data or paid imagery is anticipated for the proof-of-concept scope.</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rPr>
          <w:i/>
          <w:color w:val="C00000"/>
        </w:rPr>
        <w:t>[Insert a Gantt chart here (e.g. as an image) showing the schedule below against actual calendar dates once the Commencement Date is known.]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Duplicate/complete the table below for each Task.</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w:t>
            </w:r>
          </w:p>
        </w:tc>
        <w:tc>
          <w:tcPr>
            <w:tcW w:type="dxa" w:w="4320"/>
          </w:tcPr>
          <w:p>
            <w:r>
              <w:t>[EUR] / [EUR] / [EUR]</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w:t>
            </w:r>
          </w:p>
        </w:tc>
        <w:tc>
          <w:tcPr>
            <w:tcW w:type="dxa" w:w="4320"/>
          </w:tcPr>
          <w:p>
            <w:r>
              <w:t>[EUR] / [EUR] / [EUR]</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w:t>
            </w:r>
          </w:p>
        </w:tc>
        <w:tc>
          <w:tcPr>
            <w:tcW w:type="dxa" w:w="4320"/>
          </w:tcPr>
          <w:p>
            <w:r>
              <w:t>[EUR] / [EUR] / [EUR]</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Validate the feature with a small number of pilot dairy farms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w:t>
            </w:r>
          </w:p>
        </w:tc>
        <w:tc>
          <w:tcPr>
            <w:tcW w:type="dxa" w:w="4320"/>
          </w:tcPr>
          <w:p>
            <w:r>
              <w:t>[EUR] / [EUR] / [EUR]</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w:t>
            </w:r>
          </w:p>
        </w:tc>
        <w:tc>
          <w:tcPr>
            <w:tcW w:type="dxa" w:w="4320"/>
          </w:tcPr>
          <w:p>
            <w:r>
              <w:t>[EUR] / [EUR] / [EUR]</w:t>
            </w:r>
          </w:p>
        </w:tc>
      </w:tr>
    </w:tbl>
    <w:p/>
    <w:p>
      <w:pPr>
        <w:pStyle w:val="Heading2"/>
      </w:pPr>
      <w:r>
        <w:t>3.3 Cost Planning</w:t>
      </w:r>
    </w:p>
    <w:p>
      <w:r>
        <w:t>The maximum ABIL EXPLORE contribution is EUR 50,000 per funded activity. The table below is an indicative structure only — replace the placeholder amounts with your actual budget, ensuring the total requested does not exceed EUR 50,000 and that all costs are necessary, incurred during the contract term, and excluded of VAT.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 ]</w:t>
            </w:r>
          </w:p>
        </w:tc>
        <w:tc>
          <w:tcPr>
            <w:tcW w:type="dxa" w:w="2160"/>
          </w:tcPr>
          <w:p>
            <w:r>
              <w:t>[ ]</w:t>
            </w:r>
          </w:p>
        </w:tc>
        <w:tc>
          <w:tcPr>
            <w:tcW w:type="dxa" w:w="2160"/>
          </w:tcPr>
          <w:p>
            <w:r>
              <w:t>[ ]</w:t>
            </w:r>
          </w:p>
        </w:tc>
      </w:tr>
      <w:tr>
        <w:tc>
          <w:tcPr>
            <w:tcW w:type="dxa" w:w="2160"/>
          </w:tcPr>
          <w:p>
            <w:r>
              <w:t>Task 2 – Pasture-Health &amp; Feed-Recommendation Logic</w:t>
            </w:r>
          </w:p>
        </w:tc>
        <w:tc>
          <w:tcPr>
            <w:tcW w:type="dxa" w:w="2160"/>
          </w:tcPr>
          <w:p>
            <w:r>
              <w:t>[ ]</w:t>
            </w:r>
          </w:p>
        </w:tc>
        <w:tc>
          <w:tcPr>
            <w:tcW w:type="dxa" w:w="2160"/>
          </w:tcPr>
          <w:p>
            <w:r>
              <w:t>[ ]</w:t>
            </w:r>
          </w:p>
        </w:tc>
        <w:tc>
          <w:tcPr>
            <w:tcW w:type="dxa" w:w="2160"/>
          </w:tcPr>
          <w:p>
            <w:r>
              <w:t>[ ]</w:t>
            </w:r>
          </w:p>
        </w:tc>
      </w:tr>
      <w:tr>
        <w:tc>
          <w:tcPr>
            <w:tcW w:type="dxa" w:w="2160"/>
          </w:tcPr>
          <w:p>
            <w:r>
              <w:t>Task 3 – FarmIQ Integration &amp; UI</w:t>
            </w:r>
          </w:p>
        </w:tc>
        <w:tc>
          <w:tcPr>
            <w:tcW w:type="dxa" w:w="2160"/>
          </w:tcPr>
          <w:p>
            <w:r>
              <w:t>[ ]</w:t>
            </w:r>
          </w:p>
        </w:tc>
        <w:tc>
          <w:tcPr>
            <w:tcW w:type="dxa" w:w="2160"/>
          </w:tcPr>
          <w:p>
            <w:r>
              <w:t>[ ]</w:t>
            </w:r>
          </w:p>
        </w:tc>
        <w:tc>
          <w:tcPr>
            <w:tcW w:type="dxa" w:w="2160"/>
          </w:tcPr>
          <w:p>
            <w:r>
              <w:t>[ ]</w:t>
            </w:r>
          </w:p>
        </w:tc>
      </w:tr>
      <w:tr>
        <w:tc>
          <w:tcPr>
            <w:tcW w:type="dxa" w:w="2160"/>
          </w:tcPr>
          <w:p>
            <w:r>
              <w:t>Task 4 – Pilot Validation with Dairy Farmers</w:t>
            </w:r>
          </w:p>
        </w:tc>
        <w:tc>
          <w:tcPr>
            <w:tcW w:type="dxa" w:w="2160"/>
          </w:tcPr>
          <w:p>
            <w:r>
              <w:t>[ ]</w:t>
            </w:r>
          </w:p>
        </w:tc>
        <w:tc>
          <w:tcPr>
            <w:tcW w:type="dxa" w:w="2160"/>
          </w:tcPr>
          <w:p>
            <w:r>
              <w:t>[ ]</w:t>
            </w:r>
          </w:p>
        </w:tc>
        <w:tc>
          <w:tcPr>
            <w:tcW w:type="dxa" w:w="2160"/>
          </w:tcPr>
          <w:p>
            <w:r>
              <w:t>[ ]</w:t>
            </w:r>
          </w:p>
        </w:tc>
      </w:tr>
      <w:tr>
        <w:tc>
          <w:tcPr>
            <w:tcW w:type="dxa" w:w="2160"/>
          </w:tcPr>
          <w:p>
            <w:r>
              <w:t>Task 5 – Business Case, Reporting &amp; Dissemination</w:t>
            </w:r>
          </w:p>
        </w:tc>
        <w:tc>
          <w:tcPr>
            <w:tcW w:type="dxa" w:w="2160"/>
          </w:tcPr>
          <w:p>
            <w:r>
              <w:t>[ ]</w:t>
            </w:r>
          </w:p>
        </w:tc>
        <w:tc>
          <w:tcPr>
            <w:tcW w:type="dxa" w:w="2160"/>
          </w:tcPr>
          <w:p>
            <w:r>
              <w:t>[ ]</w:t>
            </w:r>
          </w:p>
        </w:tc>
        <w:tc>
          <w:tcPr>
            <w:tcW w:type="dxa" w:w="2160"/>
          </w:tcPr>
          <w:p>
            <w:r>
              <w:t>[ ]</w:t>
            </w:r>
          </w:p>
        </w:tc>
      </w:tr>
      <w:tr>
        <w:tc>
          <w:tcPr>
            <w:tcW w:type="dxa" w:w="2160"/>
          </w:tcPr>
          <w:p>
            <w:r>
              <w:t>Total</w:t>
            </w:r>
          </w:p>
        </w:tc>
        <w:tc>
          <w:tcPr>
            <w:tcW w:type="dxa" w:w="2160"/>
          </w:tcPr>
          <w:p>
            <w:r>
              <w:t>[ ]</w:t>
            </w:r>
          </w:p>
        </w:tc>
        <w:tc>
          <w:tcPr>
            <w:tcW w:type="dxa" w:w="2160"/>
          </w:tcPr>
          <w:p>
            <w:r>
              <w:t>[ up to 50,000 ]</w:t>
            </w:r>
          </w:p>
        </w:tc>
        <w:tc>
          <w:tcPr>
            <w:tcW w:type="dxa" w:w="2160"/>
          </w:tcPr>
          <w:p>
            <w:r>
              <w:t>[ ]</w:t>
            </w:r>
          </w:p>
        </w:tc>
      </w:tr>
    </w:tbl>
    <w:p/>
    <w:p>
      <w:r>
        <w:rPr>
          <w:i/>
          <w:color w:val="C00000"/>
        </w:rPr>
        <w:t>[Typical eligible cost categories to consider: personnel time (developers/data engineer), any GIS/remote-sensing specialist subcontracting, cloud/compute costs, pilot farm field validation and travel within Kenya, and a contingency. Compute/cloud costs should be modest since Sentinel-2 data itself is free. If any in-kind contributions (e.g. founder time, existing FarmIQ infrastructure) are being offered as co-funding, list them under "Other Sources" even though co-funding is not mandatory for this call.]</w:t>
      </w:r>
    </w:p>
    <w:p>
      <w:pPr>
        <w:pStyle w:val="Heading2"/>
      </w:pPr>
      <w:r>
        <w:t>3.4 Key Resources and Facilities</w:t>
      </w:r>
    </w:p>
    <w:p>
      <w:pPr>
        <w:pStyle w:val="ListBullet"/>
      </w:pPr>
      <w:r>
        <w:t>EO data: Sentinel-2 imagery (Copernicus open data, free)</w:t>
      </w:r>
    </w:p>
    <w:p>
      <w:pPr>
        <w:pStyle w:val="ListBullet"/>
      </w:pPr>
      <w:r>
        <w:t>Compute: cloud processing for EO data ingestion (existing FarmIQ cloud infrastructure, to be sized for this activity)</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rPr>
          <w:i/>
          <w:color w:val="C00000"/>
        </w:rPr>
        <w:t>[List any additional pilot farms, GIS/remote-sensing tools or subcontractor facilities secured before submission, and note which resources are already available in-house versus need to be acquired under this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