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t>AppCross’s technical and business capability has also been externally validated. FarmIQ’s machine-learning-based credit-scoring module was presented at, and won Best AI Model for Credit Scoring at, Impact Hub Nairobi’s AI4S programme in October 2025, receiving a GBP 2,500 prize. FarmIQ has not otherwise been publicly presented or exhibited: while the platform has been under internal/closed-beta development, AppCross has attended the AI Summit and GITEX purely as a visitor, to track emerging technologies in the space and identify potential partners, and plans to attend the AgriAfrica Expo in October 2026 in the same capacity.</w:t>
      </w:r>
    </w:p>
    <w:p>
      <w:r>
        <w:t>No formal consortium partners or subcontractors are engaged for the core EO development work under this activity: the in-house team described in Section 2.1.1 will deliver Tasks 1–3 (Section 3.2) directly, building on the existing FarmIQ codebase described above. Should a specific GIS/remote-sensing skills gap be identified during Task 1, AppCross may engage a short-term specialist consultant, to be confirmed and budgeted under Section 3.3. AppCross’s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t>AppCross has already begun building the ecosystem relationships needed to carry this roadmap forward. FarmIQ’s credit-scoring module was presented at, and won Best AI Model for Credit Scoring at, Impact Hub Nairobi’s AI4S programme in October 2025 (GBP 2,500 prize), and AppCross continues to be connected to Impact Hub Nairobi through that programme, which is expected to be a source of continued mentorship, technical review and potential investor introductions. FarmIQ has not yet been publicly presented or exhibited elsewhere: AppCross has attended the AI Summit and GITEX purely as a visitor, to track emerging technologies and identify potential partners while the platform was still under internal/closed-beta development, and plans to attend the AgriAfrica Expo in October 2026 in the same capacity. A first public presentation or exhibition of FarmIQ — potentially including the pasture-health feature developed under this activity — is planned once the platform is ready to launch beyond closed beta.</w:t>
      </w:r>
    </w:p>
    <w:p>
      <w:r>
        <w:t>Beyond these, AppCross’s planned follow-up funding and commercialisation pathway includes:</w:t>
      </w:r>
    </w:p>
    <w:p>
      <w:pPr>
        <w:pStyle w:val="ListBullet"/>
      </w:pPr>
      <w:r>
        <w:t>Applying to any further ESA/KSA-published ABIL calls or follow-on Africa–EU Space Partnership Programme funding rounds that build on the results of this EXPLORE-stage activity;</w:t>
      </w:r>
    </w:p>
    <w:p>
      <w:pPr>
        <w:pStyle w:val="ListBullet"/>
      </w:pPr>
      <w:r>
        <w:t>Converting relationships built through AI4S, the AI Summit, GITEX and the planned AgriAfrica Expo attendance into pilot agreements or investment conversations with Kenyan dairy cooperatives, agri-input companies and impact investors;</w:t>
      </w:r>
    </w:p>
    <w:p>
      <w:pPr>
        <w:pStyle w:val="ListBullet"/>
      </w:pPr>
      <w:r>
        <w:t>Licensing validated pasture-health and credit-scoring data, once proven, to agricultural lenders and insurers building index-based products for smallholder farmers — building on the same AI4S-recognised credit-scoring capability;</w:t>
      </w:r>
    </w:p>
    <w:p>
      <w:pPr>
        <w:pStyle w:val="ListBullet"/>
      </w:pPr>
      <w:r>
        <w:t>Growing the FarmIQ premium subscription base organically through the Miginon Farm relationship and any additional pilot farms/cooperatives secured during this activity (Section 3.2, Task 4).</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t>This is directly reflected in the activity’s pilot context: Miginon Farm sits in Kipkeleon West, Kericho County, part of Kenya’s Rift Valley dairy belt, where mixed crop-livestock farms typically combine planted fodder (Napier grass, Boma Rhodes hay, Desmodium)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Miginon Farm a credible path to replication elsewhere in Kenya and, longer term, in comparable East African dairy regions.</w:t>
      </w:r>
    </w:p>
    <w:p>
      <w:r>
        <w:t>According to the Kenya Dairy Board (KDB), the sector underpins the livelihoods of an estimated 1.8 million smallholder households and supports around 750,000 direct and 500,000 indirect jobs, contributing approximately 4.5% of national GDP and 14% of agricultural GDP. Smallholder farmers, typically owning between one and five cows, produce approximately 80% of Kenya’s milk (national production estimated at 5.76 billion litres in 2023), yet average only around 7.6 litres per cow per day (Kenya Dairy Board; USDA Foreign Agricultural Service, GAIN Report KE2024-0013, "Overview of the Kenya Dairy Industry", December 2024).</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Production system</w:t>
            </w:r>
          </w:p>
        </w:tc>
        <w:tc>
          <w:tcPr>
            <w:tcW w:type="dxa" w:w="4320"/>
          </w:tcPr>
          <w:p>
            <w:r>
              <w:rPr>
                <w:b/>
              </w:rPr>
              <w:t>Average productivity (litres/cow/day)</w:t>
            </w:r>
          </w:p>
        </w:tc>
      </w:tr>
      <w:tr>
        <w:tc>
          <w:tcPr>
            <w:tcW w:type="dxa" w:w="4320"/>
          </w:tcPr>
          <w:p>
            <w:r>
              <w:t>Zero grazing (intensive, cows fully stall-fed)</w:t>
            </w:r>
          </w:p>
        </w:tc>
        <w:tc>
          <w:tcPr>
            <w:tcW w:type="dxa" w:w="4320"/>
          </w:tcPr>
          <w:p>
            <w:r>
              <w:t>15</w:t>
            </w:r>
          </w:p>
        </w:tc>
      </w:tr>
      <w:tr>
        <w:tc>
          <w:tcPr>
            <w:tcW w:type="dxa" w:w="4320"/>
          </w:tcPr>
          <w:p>
            <w:r>
              <w:t>Semi-zero grazing (part grazing, part supplementary feeding)</w:t>
            </w:r>
          </w:p>
        </w:tc>
        <w:tc>
          <w:tcPr>
            <w:tcW w:type="dxa" w:w="4320"/>
          </w:tcPr>
          <w:p>
            <w:r>
              <w:t>8.4</w:t>
            </w:r>
          </w:p>
        </w:tc>
      </w:tr>
      <w:tr>
        <w:tc>
          <w:tcPr>
            <w:tcW w:type="dxa" w:w="4320"/>
          </w:tcPr>
          <w:p>
            <w:r>
              <w:t>Open grazing (extensive, cows roam natural pasture)</w:t>
            </w:r>
          </w:p>
        </w:tc>
        <w:tc>
          <w:tcPr>
            <w:tcW w:type="dxa" w:w="4320"/>
          </w:tcPr>
          <w:p>
            <w:r>
              <w:t>7.2</w:t>
            </w:r>
          </w:p>
        </w:tc>
      </w:tr>
    </w:tbl>
    <w:p/>
    <w:p>
      <w:r>
        <w:t>Source: Kenya Dairy Board, cited in USDA FAS GAIN Report KE2024-0013 (2024). The roughly two-fold gap between intensive and open/semi-intensive systems is driven substantially by feeding and grazing management rather than genetics alone — feed accounts for 60–70% of total dairy production costs in Kenya, with feed prices reported at 25–30% above Western Hemisphere benchmarks (USDA FAS, 2024). This is compounded by strong seasonality: in a study of smallholder dairy farms in semi-arid Kenya, 93% of farmers reported seasonal feed-availability fluctuations, with 70–72% reporting their most severe shortages in September and October (Njarui et al., 2011, Livestock Research for Rural Development, Vol. 23) — precisely the kind of seasonal stress an earlier, remote pasture-health signal is intended to help farmers anticipate.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t>Compared with current practice and the closest existing tools in the Kenyan/East African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What it does</w:t>
            </w:r>
          </w:p>
        </w:tc>
        <w:tc>
          <w:tcPr>
            <w:tcW w:type="dxa" w:w="2880"/>
          </w:tcPr>
          <w:p>
            <w:r>
              <w:rPr>
                <w:b/>
              </w:rPr>
              <w:t>Gap vs. this activity</w:t>
            </w:r>
          </w:p>
        </w:tc>
      </w:tr>
      <w:tr>
        <w:tc>
          <w:tcPr>
            <w:tcW w:type="dxa" w:w="2880"/>
          </w:tcPr>
          <w:p>
            <w:r>
              <w:t>Current practice (e.g. Miginon Farm)</w:t>
            </w:r>
          </w:p>
        </w:tc>
        <w:tc>
          <w:tcPr>
            <w:tcW w:type="dxa" w:w="2880"/>
          </w:tcPr>
          <w:p>
            <w:r>
              <w:t>Visual inspection of pasture/fodder plots by the farmer.</w:t>
            </w:r>
          </w:p>
        </w:tc>
        <w:tc>
          <w:tcPr>
            <w:tcW w:type="dxa" w:w="2880"/>
          </w:tcPr>
          <w:p>
            <w:r>
              <w:t>No early warning; stress is only noticed once visible, after yield/feeding impact has begun.</w:t>
            </w:r>
          </w:p>
        </w:tc>
      </w:tr>
      <w:tr>
        <w:tc>
          <w:tcPr>
            <w:tcW w:type="dxa" w:w="2880"/>
          </w:tcPr>
          <w:p>
            <w:r>
              <w:t>Apollo Agriculture</w:t>
            </w:r>
          </w:p>
        </w:tc>
        <w:tc>
          <w:tcPr>
            <w:tcW w:type="dxa" w:w="2880"/>
          </w:tcPr>
          <w:p>
            <w:r>
              <w:t>Uses satellite and mobile-money data to underwrite credit risk and bundle inputs, financing and insurance for smallholders.</w:t>
            </w:r>
          </w:p>
        </w:tc>
        <w:tc>
          <w:tcPr>
            <w:tcW w:type="dxa" w:w="2880"/>
          </w:tcPr>
          <w:p>
            <w:r>
              <w:t>Satellite data drives a one-off credit/underwriting decision, not an ongoing farm-management signal; not livestock- or feeding-specific.</w:t>
            </w:r>
          </w:p>
        </w:tc>
      </w:tr>
      <w:tr>
        <w:tc>
          <w:tcPr>
            <w:tcW w:type="dxa" w:w="2880"/>
          </w:tcPr>
          <w:p>
            <w:r>
              <w:t>PlantVillage (Nuru app)</w:t>
            </w:r>
          </w:p>
        </w:tc>
        <w:tc>
          <w:tcPr>
            <w:tcW w:type="dxa" w:w="2880"/>
          </w:tcPr>
          <w:p>
            <w:r>
              <w:t>Smartphone-photo, computer-vision diagnosis of crop diseases (~50,000 Kenyan farmers as of 2024).</w:t>
            </w:r>
          </w:p>
        </w:tc>
        <w:tc>
          <w:tcPr>
            <w:tcW w:type="dxa" w:w="2880"/>
          </w:tcPr>
          <w:p>
            <w:r>
              <w:t>Crop-disease focused, not satellite/EO-based, and not connected to livestock feeding or herd records.</w:t>
            </w:r>
          </w:p>
        </w:tc>
      </w:tr>
      <w:tr>
        <w:tc>
          <w:tcPr>
            <w:tcW w:type="dxa" w:w="2880"/>
          </w:tcPr>
          <w:p>
            <w:r>
              <w:t>AfriScout</w:t>
            </w:r>
          </w:p>
        </w:tc>
        <w:tc>
          <w:tcPr>
            <w:tcW w:type="dxa" w:w="2880"/>
          </w:tcPr>
          <w:p>
            <w:r>
              <w:t>Satellite NDVI + community input to help East African pastoralists locate distant grazing land and water for herd migration.</w:t>
            </w:r>
          </w:p>
        </w:tc>
        <w:tc>
          <w:tcPr>
            <w:tcW w:type="dxa" w:w="2880"/>
          </w:tcPr>
          <w:p>
            <w:r>
              <w:t>Built for mobile/nomadic pastoralists searching wide rangelands, not settled smallholder dairy farms monitoring their own planted fodder plots (Napier, Boma Rhodes, Desmodium).</w:t>
            </w:r>
          </w:p>
        </w:tc>
      </w:tr>
      <w:tr>
        <w:tc>
          <w:tcPr>
            <w:tcW w:type="dxa" w:w="2880"/>
          </w:tcPr>
          <w:p>
            <w:r>
              <w:t>FarmIQ Pasture Watch</w:t>
            </w:r>
          </w:p>
        </w:tc>
        <w:tc>
          <w:tcPr>
            <w:tcW w:type="dxa" w:w="2880"/>
          </w:tcPr>
          <w:p>
            <w:r>
              <w:t>Satellite pasture/fodder health for a farm’s own registered plots, feeding a recommendation directly into existing cow/feeding records.</w:t>
            </w:r>
          </w:p>
        </w:tc>
        <w:tc>
          <w:tcPr>
            <w:tcW w:type="dxa" w:w="2880"/>
          </w:tcPr>
          <w:p>
            <w:r>
              <w:t>Closes the loop from EO signal to a specific, per-cow feeding action inside a platform the farmer already uses daily — combination not found in the tools above.</w:t>
            </w:r>
          </w:p>
        </w:tc>
      </w:tr>
    </w:tbl>
    <w:p/>
    <w:p>
      <w:r>
        <w:t>No existing Kenyan agri-tech product was identified that combines satellite-derived pasture/fodder monitoring with an operational dairy herd- and feeding-record system of the kind FarmIQ already runs. This is why bundling the feature into an already-adopted farm-management platform is the differentiated approach: the EO signal only becomes actionable once it is tied to a specific cow, a specific feeding decision, and a record of what was actually fed and yielded — data FarmIQ already collects and that a standalone map or dashboard would not have access to.</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t>Globally, the closest directly competing product identified is Pasture.io, a commercial satellite-based pasture-measurement platform for dairy, beef and sheep farms in New Zealand, Australia, Ireland and the United Kingdom, which combines paid PlanetScope satellite imagery (3–10m resolution) with machine learning and farm records to support rotational grazing decisions — the same broad concept of turning a satellite vegetation signal into a farm-management action. This activity differs in three material respects: (i) it is built on free, openly licensed Sentinel-2 data rather than a paid commercial satellite constellation, materially lowering the marginal cost per farm, which is essential for viability in a low-average-revenue-per-user Kenyan smallholder market; (ii) it targets tropical, mixed crop-livestock smallholder plots and fodder crops (Napier grass, Boma Rhodes hay, Desmodium) rather than the large, temperate-grass rotational paddocks Pasture.io is calibrated for; and (iii) it is delivered as one feature inside an already-adopted, general-purpose farm-management platform (FarmIQ) rather than a standalone specialist pasture app, so the EO signal is immediately usable alongside data the farmer already records. No Kenyan or East African product was identified offering this specific combination of free-EO-based pasture/fodder health and an operational smallholder dairy feeding/record system; the closest East African precedent, AfriScout (see Section 2.2.5), applies satellite NDVI to help nomadic pastoralists locate distant grazing land rather than to manage a settled farm’s own planted fodder plots.</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there are no restrictions on commercial or non-commercial use, no restrictions based on user nationality, and the data is available worldwide without limitation in time. This activity will process Sentinel-2 imagery via the Copernicus Data Space Ecosystem (CDSE), the official EU/ESA-operated access and processing platform, rather than Google Earth Engine.</w:t>
      </w:r>
    </w:p>
    <w:p>
      <w:r>
        <w:t>This choice is deliberate. Google Earth Engine’s terms distinguish non-commercial/research use (free) from commercial use (which requires a separate paid licence) — a licensing risk once FarmIQ Pasture Watch is offered as a paid subscription feature, as set out in the business case (Annex: Business Model Canvas). The Copernicus Data Space Ecosystem draws no such distinction: the underlying Sentinel data is free for commercial and non-commercial use alike. CDSE’s general-user processing quota is free of charge and is sufficient for this activity’s proof-of-concept scale (a small number of pilot farm plots); should the feature scale to a larger paid user base after this activity, CDSE’s commercial terms for large-scale processing would apply to compute/processing capacity only — not to the underlying Sentinel data itself, which remains free regardless of scale.</w:t>
      </w:r>
    </w:p>
    <w:p>
      <w:r>
        <w:t>The Copernicus Data Space Ecosystem is a public EU/ESA-operated infrastructure, not a contracted third-party technology or data provider, so no separate letter of access is required for its use. No other third-party technology, data provider or proprietary dataset is relied upon for this activity’s proof-of-concept scope, and no dependency on paid imagery is anticipated.</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rPr>
          <w:i/>
          <w:color w:val="C00000"/>
        </w:rPr>
        <w:t>[Insert a Gantt chart here (e.g. as an image) showing the schedule below against actual calendar dates once the Commencement Date is known.]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Duplicate/complete the table below for each Task.</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w:t>
            </w:r>
          </w:p>
        </w:tc>
        <w:tc>
          <w:tcPr>
            <w:tcW w:type="dxa" w:w="4320"/>
          </w:tcPr>
          <w:p>
            <w:r>
              <w:t>[EUR] / [EUR] / [EUR]</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w:t>
            </w:r>
          </w:p>
        </w:tc>
        <w:tc>
          <w:tcPr>
            <w:tcW w:type="dxa" w:w="4320"/>
          </w:tcPr>
          <w:p>
            <w:r>
              <w:t>[EUR] / [EUR] / [EUR]</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w:t>
            </w:r>
          </w:p>
        </w:tc>
        <w:tc>
          <w:tcPr>
            <w:tcW w:type="dxa" w:w="4320"/>
          </w:tcPr>
          <w:p>
            <w:r>
              <w:t>[EUR] / [EUR] / [EUR]</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Validate the feature with a small number of pilot dairy farms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w:t>
            </w:r>
          </w:p>
        </w:tc>
        <w:tc>
          <w:tcPr>
            <w:tcW w:type="dxa" w:w="4320"/>
          </w:tcPr>
          <w:p>
            <w:r>
              <w:t>[EUR] / [EUR] / [EUR]</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w:t>
            </w:r>
          </w:p>
        </w:tc>
        <w:tc>
          <w:tcPr>
            <w:tcW w:type="dxa" w:w="4320"/>
          </w:tcPr>
          <w:p>
            <w:r>
              <w:t>[EUR] / [EUR] / [EUR]</w:t>
            </w:r>
          </w:p>
        </w:tc>
      </w:tr>
    </w:tbl>
    <w:p/>
    <w:p>
      <w:pPr>
        <w:pStyle w:val="Heading2"/>
      </w:pPr>
      <w:r>
        <w:t>3.3 Cost Planning</w:t>
      </w:r>
    </w:p>
    <w:p>
      <w:r>
        <w:t>The maximum ABIL EXPLORE contribution is EUR 50,000 per funded activity. The table below is an indicative structure only — replace the placeholder amounts with your actual budget, ensuring the total requested does not exceed EUR 50,000 and that all costs are necessary, incurred during the contract term, and excluded of VAT.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 ]</w:t>
            </w:r>
          </w:p>
        </w:tc>
        <w:tc>
          <w:tcPr>
            <w:tcW w:type="dxa" w:w="2160"/>
          </w:tcPr>
          <w:p>
            <w:r>
              <w:t>[ ]</w:t>
            </w:r>
          </w:p>
        </w:tc>
        <w:tc>
          <w:tcPr>
            <w:tcW w:type="dxa" w:w="2160"/>
          </w:tcPr>
          <w:p>
            <w:r>
              <w:t>[ ]</w:t>
            </w:r>
          </w:p>
        </w:tc>
      </w:tr>
      <w:tr>
        <w:tc>
          <w:tcPr>
            <w:tcW w:type="dxa" w:w="2160"/>
          </w:tcPr>
          <w:p>
            <w:r>
              <w:t>Task 2 – Pasture-Health &amp; Feed-Recommendation Logic</w:t>
            </w:r>
          </w:p>
        </w:tc>
        <w:tc>
          <w:tcPr>
            <w:tcW w:type="dxa" w:w="2160"/>
          </w:tcPr>
          <w:p>
            <w:r>
              <w:t>[ ]</w:t>
            </w:r>
          </w:p>
        </w:tc>
        <w:tc>
          <w:tcPr>
            <w:tcW w:type="dxa" w:w="2160"/>
          </w:tcPr>
          <w:p>
            <w:r>
              <w:t>[ ]</w:t>
            </w:r>
          </w:p>
        </w:tc>
        <w:tc>
          <w:tcPr>
            <w:tcW w:type="dxa" w:w="2160"/>
          </w:tcPr>
          <w:p>
            <w:r>
              <w:t>[ ]</w:t>
            </w:r>
          </w:p>
        </w:tc>
      </w:tr>
      <w:tr>
        <w:tc>
          <w:tcPr>
            <w:tcW w:type="dxa" w:w="2160"/>
          </w:tcPr>
          <w:p>
            <w:r>
              <w:t>Task 3 – FarmIQ Integration &amp; UI</w:t>
            </w:r>
          </w:p>
        </w:tc>
        <w:tc>
          <w:tcPr>
            <w:tcW w:type="dxa" w:w="2160"/>
          </w:tcPr>
          <w:p>
            <w:r>
              <w:t>[ ]</w:t>
            </w:r>
          </w:p>
        </w:tc>
        <w:tc>
          <w:tcPr>
            <w:tcW w:type="dxa" w:w="2160"/>
          </w:tcPr>
          <w:p>
            <w:r>
              <w:t>[ ]</w:t>
            </w:r>
          </w:p>
        </w:tc>
        <w:tc>
          <w:tcPr>
            <w:tcW w:type="dxa" w:w="2160"/>
          </w:tcPr>
          <w:p>
            <w:r>
              <w:t>[ ]</w:t>
            </w:r>
          </w:p>
        </w:tc>
      </w:tr>
      <w:tr>
        <w:tc>
          <w:tcPr>
            <w:tcW w:type="dxa" w:w="2160"/>
          </w:tcPr>
          <w:p>
            <w:r>
              <w:t>Task 4 – Pilot Validation with Dairy Farmers</w:t>
            </w:r>
          </w:p>
        </w:tc>
        <w:tc>
          <w:tcPr>
            <w:tcW w:type="dxa" w:w="2160"/>
          </w:tcPr>
          <w:p>
            <w:r>
              <w:t>[ ]</w:t>
            </w:r>
          </w:p>
        </w:tc>
        <w:tc>
          <w:tcPr>
            <w:tcW w:type="dxa" w:w="2160"/>
          </w:tcPr>
          <w:p>
            <w:r>
              <w:t>[ ]</w:t>
            </w:r>
          </w:p>
        </w:tc>
        <w:tc>
          <w:tcPr>
            <w:tcW w:type="dxa" w:w="2160"/>
          </w:tcPr>
          <w:p>
            <w:r>
              <w:t>[ ]</w:t>
            </w:r>
          </w:p>
        </w:tc>
      </w:tr>
      <w:tr>
        <w:tc>
          <w:tcPr>
            <w:tcW w:type="dxa" w:w="2160"/>
          </w:tcPr>
          <w:p>
            <w:r>
              <w:t>Task 5 – Business Case, Reporting &amp; Dissemination</w:t>
            </w:r>
          </w:p>
        </w:tc>
        <w:tc>
          <w:tcPr>
            <w:tcW w:type="dxa" w:w="2160"/>
          </w:tcPr>
          <w:p>
            <w:r>
              <w:t>[ ]</w:t>
            </w:r>
          </w:p>
        </w:tc>
        <w:tc>
          <w:tcPr>
            <w:tcW w:type="dxa" w:w="2160"/>
          </w:tcPr>
          <w:p>
            <w:r>
              <w:t>[ ]</w:t>
            </w:r>
          </w:p>
        </w:tc>
        <w:tc>
          <w:tcPr>
            <w:tcW w:type="dxa" w:w="2160"/>
          </w:tcPr>
          <w:p>
            <w:r>
              <w:t>[ ]</w:t>
            </w:r>
          </w:p>
        </w:tc>
      </w:tr>
      <w:tr>
        <w:tc>
          <w:tcPr>
            <w:tcW w:type="dxa" w:w="2160"/>
          </w:tcPr>
          <w:p>
            <w:r>
              <w:t>Total</w:t>
            </w:r>
          </w:p>
        </w:tc>
        <w:tc>
          <w:tcPr>
            <w:tcW w:type="dxa" w:w="2160"/>
          </w:tcPr>
          <w:p>
            <w:r>
              <w:t>[ ]</w:t>
            </w:r>
          </w:p>
        </w:tc>
        <w:tc>
          <w:tcPr>
            <w:tcW w:type="dxa" w:w="2160"/>
          </w:tcPr>
          <w:p>
            <w:r>
              <w:t>[ up to 50,000 ]</w:t>
            </w:r>
          </w:p>
        </w:tc>
        <w:tc>
          <w:tcPr>
            <w:tcW w:type="dxa" w:w="2160"/>
          </w:tcPr>
          <w:p>
            <w:r>
              <w:t>[ ]</w:t>
            </w:r>
          </w:p>
        </w:tc>
      </w:tr>
    </w:tbl>
    <w:p/>
    <w:p>
      <w:r>
        <w:rPr>
          <w:i/>
          <w:color w:val="C00000"/>
        </w:rPr>
        <w:t>[Typical eligible cost categories to consider: personnel time (developers/data engineer), any GIS/remote-sensing specialist subcontracting, cloud/compute costs, pilot farm field validation and travel within Kenya, and a contingency. Compute/cloud costs should be modest since Sentinel-2 data itself is free. If any in-kind contributions (e.g. founder time, existing FarmIQ infrastructure) are being offered as co-funding, list them under "Other Sources" even though co-funding is not mandatory for this call.]</w:t>
      </w:r>
    </w:p>
    <w:p>
      <w:pPr>
        <w:pStyle w:val="Heading2"/>
      </w:pPr>
      <w:r>
        <w:t>3.4 Key Resources and Facilities</w:t>
      </w:r>
    </w:p>
    <w:p>
      <w:pPr>
        <w:pStyle w:val="ListBullet"/>
      </w:pPr>
      <w:r>
        <w:t>EO data: Sentinel-2 imagery (Copernicus open data, free)</w:t>
      </w:r>
    </w:p>
    <w:p>
      <w:pPr>
        <w:pStyle w:val="ListBullet"/>
      </w:pPr>
      <w:r>
        <w:t>Compute: cloud processing for EO data ingestion (existing FarmIQ cloud infrastructure, to be sized for this activity)</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rPr>
          <w:i/>
          <w:color w:val="C00000"/>
        </w:rPr>
        <w:t>[List any additional pilot farms, GIS/remote-sensing tools or subcontractor facilities secured before submission, and note which resources are already available in-house versus need to be acquired under this activity.]</w:t>
      </w:r>
    </w:p>
    <w:p>
      <w:r>
        <w:br w:type="page"/>
      </w:r>
    </w:p>
    <w:p>
      <w:pPr>
        <w:pStyle w:val="Heading1"/>
      </w:pPr>
      <w:r>
        <w:t>4. Management Proposal</w:t>
      </w:r>
    </w:p>
    <w:p>
      <w:r>
        <w:t>(Maximum 1 page)</w:t>
      </w:r>
    </w:p>
    <w:p>
      <w:pPr>
        <w:pStyle w:val="Heading2"/>
      </w:pPr>
      <w:r>
        <w:t>General Management (1 page)</w:t>
      </w:r>
    </w:p>
    <w:p>
      <w:r>
        <w:rPr>
          <w:i/>
          <w:color w:val="C00000"/>
        </w:rPr>
        <w:t>[Describe: who is the Project Manager and their day-to-day responsibilities; reporting cadence (e.g. monthly internal check-ins, plus the Kick-off, Mid-Term and Final Review meetings required by the Draft Contract); how deliverables will be tracked; and how disagreements between the two Directors (Ian Kipkemboi Chumba and Emmanuel Kipngetich Keter) or with any subcontractor would be resolved (e.g. by director consensus, with an agreed escalation path).]</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