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Times New Roman" w:hAnsi="Times New Roman" w:eastAsia="Times New Roman"/>
          <w:b/>
          <w:i w:val="0"/>
          <w:sz w:val="40"/>
        </w:rPr>
        <w:t>FarmIQ: A PWA-Based Farm Management System Integrating Predictive Analytics, Tokenized Incentives, and Alternative Credit Scoring for Smallholder Agriculture</w:t>
      </w:r>
    </w:p>
    <w:p>
      <w:pPr>
        <w:spacing w:after="600"/>
        <w:jc w:val="center"/>
      </w:pPr>
      <w:r>
        <w:rPr>
          <w:rFonts w:ascii="Times New Roman" w:hAnsi="Times New Roman" w:eastAsia="Times New Roman"/>
          <w:b w:val="0"/>
          <w:i/>
          <w:sz w:val="26"/>
        </w:rPr>
        <w:t>[Capstone Project]</w:t>
      </w:r>
    </w:p>
    <w:p>
      <w:pPr>
        <w:spacing w:after="80"/>
        <w:jc w:val="center"/>
      </w:pPr>
      <w:r>
        <w:rPr>
          <w:rFonts w:ascii="Times New Roman" w:hAnsi="Times New Roman" w:eastAsia="Times New Roman"/>
          <w:b/>
          <w:i w:val="0"/>
          <w:sz w:val="26"/>
        </w:rPr>
        <w:t>Emmanuel Kipngetich Keter</w:t>
      </w:r>
    </w:p>
    <w:p>
      <w:pPr>
        <w:spacing w:after="80"/>
        <w:jc w:val="center"/>
      </w:pPr>
      <w:r>
        <w:rPr>
          <w:rFonts w:ascii="Times New Roman" w:hAnsi="Times New Roman" w:eastAsia="Times New Roman"/>
          <w:b w:val="0"/>
          <w:i w:val="0"/>
          <w:sz w:val="24"/>
        </w:rPr>
        <w:t>134976</w:t>
      </w:r>
    </w:p>
    <w:p>
      <w:pPr>
        <w:spacing w:after="600"/>
        <w:jc w:val="center"/>
      </w:pPr>
      <w:r>
        <w:rPr>
          <w:rFonts w:ascii="Times New Roman" w:hAnsi="Times New Roman" w:eastAsia="Times New Roman"/>
          <w:b w:val="0"/>
          <w:i w:val="0"/>
          <w:sz w:val="24"/>
        </w:rPr>
        <w:t>ICS 4C</w:t>
      </w:r>
    </w:p>
    <w:p>
      <w:pPr>
        <w:spacing w:after="800"/>
        <w:jc w:val="center"/>
      </w:pPr>
      <w:r>
        <w:rPr>
          <w:rFonts w:ascii="Times New Roman" w:hAnsi="Times New Roman" w:eastAsia="Times New Roman"/>
          <w:b w:val="0"/>
          <w:i w:val="0"/>
          <w:sz w:val="24"/>
        </w:rPr>
        <w:t>Supervisor: Salome Chemiat</w:t>
      </w:r>
    </w:p>
    <w:p>
      <w:pPr>
        <w:spacing w:after="800"/>
        <w:jc w:val="center"/>
      </w:pPr>
      <w:r>
        <w:rPr>
          <w:rFonts w:ascii="Times New Roman" w:hAnsi="Times New Roman" w:eastAsia="Times New Roman"/>
          <w:b w:val="0"/>
          <w:i w:val="0"/>
          <w:sz w:val="24"/>
        </w:rPr>
        <w:t>An Informatics and Computer Science Project Documentation Submitted to the School of Computing and Engineering Sciences in Partial Fulfillment of the Requirements for the Award of a Degree in Bachelor of Science in Informatics and Computer Science</w:t>
      </w:r>
    </w:p>
    <w:p>
      <w:pPr>
        <w:spacing w:after="40"/>
        <w:jc w:val="center"/>
      </w:pPr>
      <w:r>
        <w:rPr>
          <w:rFonts w:ascii="Times New Roman" w:hAnsi="Times New Roman" w:eastAsia="Times New Roman"/>
          <w:b w:val="0"/>
          <w:i w:val="0"/>
          <w:sz w:val="24"/>
        </w:rPr>
        <w:t>School of Computing and Engineering Sciences</w:t>
      </w:r>
    </w:p>
    <w:p>
      <w:pPr>
        <w:spacing w:after="40"/>
        <w:jc w:val="center"/>
      </w:pPr>
      <w:r>
        <w:rPr>
          <w:rFonts w:ascii="Times New Roman" w:hAnsi="Times New Roman" w:eastAsia="Times New Roman"/>
          <w:b w:val="0"/>
          <w:i w:val="0"/>
          <w:sz w:val="24"/>
        </w:rPr>
        <w:t>Strathmore University</w:t>
      </w:r>
    </w:p>
    <w:p>
      <w:pPr>
        <w:spacing w:after="480"/>
        <w:jc w:val="center"/>
      </w:pPr>
      <w:r>
        <w:rPr>
          <w:rFonts w:ascii="Times New Roman" w:hAnsi="Times New Roman" w:eastAsia="Times New Roman"/>
          <w:b w:val="0"/>
          <w:i w:val="0"/>
          <w:sz w:val="24"/>
        </w:rPr>
        <w:t>Nairobi, Kenya</w:t>
      </w:r>
    </w:p>
    <w:p>
      <w:pPr>
        <w:spacing w:after="120"/>
        <w:jc w:val="center"/>
      </w:pPr>
      <w:r>
        <w:rPr>
          <w:rFonts w:ascii="Times New Roman" w:hAnsi="Times New Roman" w:eastAsia="Times New Roman"/>
          <w:b/>
          <w:i w:val="0"/>
          <w:sz w:val="24"/>
        </w:rPr>
        <w:t>September 2026</w:t>
      </w:r>
    </w:p>
    <w:p>
      <w:pPr>
        <w:pageBreakBefore/>
      </w:pPr>
    </w:p>
    <w:p>
      <w:pPr>
        <w:pStyle w:val="Heading1"/>
        <w:keepNext/>
        <w:spacing w:before="80" w:after="200"/>
      </w:pPr>
      <w:r>
        <w:rPr>
          <w:rFonts w:ascii="Times New Roman" w:hAnsi="Times New Roman" w:eastAsia="Times New Roman"/>
          <w:b/>
          <w:i w:val="0"/>
          <w:color w:val="047857"/>
          <w:sz w:val="36"/>
        </w:rPr>
        <w:t>Declaration and Approval</w:t>
      </w:r>
    </w:p>
    <w:p>
      <w:pPr>
        <w:spacing w:after="200" w:line="360" w:lineRule="auto"/>
        <w:jc w:val="both"/>
      </w:pPr>
      <w:r>
        <w:rPr>
          <w:rFonts w:ascii="Times New Roman" w:hAnsi="Times New Roman" w:eastAsia="Times New Roman"/>
          <w:b w:val="0"/>
          <w:i w:val="0"/>
          <w:sz w:val="24"/>
        </w:rPr>
        <w:t>I declare that this work has not been previously submitted and approved for the award of a degree by this or any other University. To the best of my knowledge and belief, this project documentation contains no material previously published or written by another person except where due reference is made in the documentation itself.</w:t>
      </w:r>
    </w:p>
    <w:p>
      <w:pPr>
        <w:spacing w:after="40" w:line="360" w:lineRule="auto"/>
        <w:jc w:val="both"/>
      </w:pPr>
      <w:r>
        <w:rPr>
          <w:rFonts w:ascii="Times New Roman" w:hAnsi="Times New Roman" w:eastAsia="Times New Roman"/>
          <w:b w:val="0"/>
          <w:i w:val="0"/>
          <w:sz w:val="24"/>
        </w:rPr>
        <w:t>Student Name: Emmanuel Kipngetich Keter</w:t>
      </w:r>
    </w:p>
    <w:p>
      <w:pPr>
        <w:spacing w:after="400" w:line="360" w:lineRule="auto"/>
        <w:jc w:val="both"/>
      </w:pPr>
      <w:r>
        <w:rPr>
          <w:rFonts w:ascii="Times New Roman" w:hAnsi="Times New Roman" w:eastAsia="Times New Roman"/>
          <w:b w:val="0"/>
          <w:i w:val="0"/>
          <w:sz w:val="24"/>
        </w:rPr>
        <w:t>Admission Number: 134976</w:t>
      </w:r>
    </w:p>
    <w:p>
      <w:pPr>
        <w:spacing w:after="600" w:line="360" w:lineRule="auto"/>
        <w:jc w:val="both"/>
      </w:pPr>
      <w:r>
        <w:rPr>
          <w:rFonts w:ascii="Times New Roman" w:hAnsi="Times New Roman" w:eastAsia="Times New Roman"/>
          <w:b w:val="0"/>
          <w:i w:val="0"/>
          <w:sz w:val="24"/>
        </w:rPr>
        <w:t>Student Signature: _______________________________  Date: _______________________</w:t>
      </w:r>
    </w:p>
    <w:p>
      <w:pPr>
        <w:spacing w:after="200" w:line="360" w:lineRule="auto"/>
        <w:jc w:val="both"/>
      </w:pPr>
      <w:r>
        <w:rPr>
          <w:rFonts w:ascii="Times New Roman" w:hAnsi="Times New Roman" w:eastAsia="Times New Roman"/>
          <w:b w:val="0"/>
          <w:i w:val="0"/>
          <w:sz w:val="24"/>
        </w:rPr>
        <w:t>The documentation of Emmanuel Kipngetich Keter has been reviewed and approved by Mrs. Salome Chemiat.</w:t>
      </w:r>
    </w:p>
    <w:p>
      <w:pPr>
        <w:spacing w:after="200" w:line="360" w:lineRule="auto"/>
        <w:jc w:val="both"/>
      </w:pPr>
      <w:r>
        <w:rPr>
          <w:rFonts w:ascii="Times New Roman" w:hAnsi="Times New Roman" w:eastAsia="Times New Roman"/>
          <w:b w:val="0"/>
          <w:i w:val="0"/>
          <w:sz w:val="24"/>
        </w:rPr>
        <w:t>Supervisor Signature: _______________________________  Date: _______________________</w:t>
      </w:r>
    </w:p>
    <w:p>
      <w:pPr>
        <w:pageBreakBefore/>
      </w:pPr>
    </w:p>
    <w:p>
      <w:pPr>
        <w:pStyle w:val="Heading1"/>
        <w:keepNext/>
        <w:spacing w:before="80" w:after="200"/>
      </w:pPr>
      <w:r>
        <w:rPr>
          <w:rFonts w:ascii="Times New Roman" w:hAnsi="Times New Roman" w:eastAsia="Times New Roman"/>
          <w:b/>
          <w:i w:val="0"/>
          <w:color w:val="047857"/>
          <w:sz w:val="36"/>
        </w:rPr>
        <w:t>Acknowledgement</w:t>
      </w:r>
    </w:p>
    <w:p>
      <w:pPr>
        <w:spacing w:after="200" w:line="360" w:lineRule="auto"/>
        <w:jc w:val="both"/>
      </w:pPr>
      <w:r>
        <w:rPr>
          <w:rFonts w:ascii="Times New Roman" w:hAnsi="Times New Roman" w:eastAsia="Times New Roman"/>
          <w:b w:val="0"/>
          <w:i w:val="0"/>
          <w:sz w:val="24"/>
        </w:rPr>
        <w:t>I would like to express my sincere gratitude to all individuals and institutions who contributed to the successful development of FarmIQ and this accompanying documentation.</w:t>
      </w:r>
    </w:p>
    <w:p>
      <w:pPr>
        <w:spacing w:after="200" w:line="360" w:lineRule="auto"/>
        <w:jc w:val="both"/>
      </w:pPr>
      <w:r>
        <w:rPr>
          <w:rFonts w:ascii="Times New Roman" w:hAnsi="Times New Roman" w:eastAsia="Times New Roman"/>
          <w:b w:val="0"/>
          <w:i w:val="0"/>
          <w:sz w:val="24"/>
        </w:rPr>
        <w:t>First, I extend my appreciation to my project supervisor, Mrs. Salome Chemiat, for her invaluable guidance, constructive feedback, and continuous support throughout the development and documentation of this project. Her expertise in software engineering and applied technology has been instrumental in shaping this work.</w:t>
      </w:r>
    </w:p>
    <w:p>
      <w:pPr>
        <w:spacing w:after="200" w:line="360" w:lineRule="auto"/>
        <w:jc w:val="both"/>
      </w:pPr>
      <w:r>
        <w:rPr>
          <w:rFonts w:ascii="Times New Roman" w:hAnsi="Times New Roman" w:eastAsia="Times New Roman"/>
          <w:b w:val="0"/>
          <w:i w:val="0"/>
          <w:sz w:val="24"/>
        </w:rPr>
        <w:t>I also acknowledge Strathmore University for providing the academic environment, resources, and learning opportunities necessary to undertake this project. Special thanks go to the faculty members of the School of Computing and Engineering Sciences for their insights and encouragement, particularly those with expertise in software engineering, machine learning, and financial technology.</w:t>
      </w:r>
    </w:p>
    <w:p>
      <w:pPr>
        <w:spacing w:after="200" w:line="360" w:lineRule="auto"/>
        <w:jc w:val="both"/>
      </w:pPr>
      <w:r>
        <w:rPr>
          <w:rFonts w:ascii="Times New Roman" w:hAnsi="Times New Roman" w:eastAsia="Times New Roman"/>
          <w:b w:val="0"/>
          <w:i w:val="0"/>
          <w:sz w:val="24"/>
        </w:rPr>
        <w:t>I am especially grateful to Miginon Farm, whose day-to-day operations, feedback, and willingness to pilot FarmIQ grounded this project in a real smallholder farming context and shaped many of its design decisions.</w:t>
      </w:r>
    </w:p>
    <w:p>
      <w:pPr>
        <w:spacing w:after="200" w:line="360" w:lineRule="auto"/>
        <w:jc w:val="both"/>
      </w:pPr>
      <w:r>
        <w:rPr>
          <w:rFonts w:ascii="Times New Roman" w:hAnsi="Times New Roman" w:eastAsia="Times New Roman"/>
          <w:b w:val="0"/>
          <w:i w:val="0"/>
          <w:sz w:val="24"/>
        </w:rPr>
        <w:t>Finally, I appreciate the technical guidance from colleagues and the open-source community whose tools and frameworks - Django, scikit-learn, and the Hedera Hashgraph SDK among them - enabled the development of this platform.</w:t>
      </w:r>
    </w:p>
    <w:p>
      <w:pPr>
        <w:pageBreakBefore/>
      </w:pPr>
    </w:p>
    <w:p>
      <w:pPr>
        <w:pStyle w:val="Heading2"/>
        <w:keepNext/>
        <w:spacing w:before="320" w:after="160"/>
      </w:pPr>
      <w:r>
        <w:rPr>
          <w:rFonts w:ascii="Times New Roman" w:hAnsi="Times New Roman" w:eastAsia="Times New Roman"/>
          <w:b/>
          <w:i w:val="0"/>
          <w:color w:val="1E3A5F"/>
          <w:sz w:val="28"/>
        </w:rPr>
        <w:t>Abstract</w:t>
      </w:r>
    </w:p>
    <w:p>
      <w:pPr>
        <w:spacing w:after="200" w:line="360" w:lineRule="auto"/>
        <w:jc w:val="both"/>
      </w:pPr>
      <w:r>
        <w:rPr>
          <w:rFonts w:ascii="Times New Roman" w:hAnsi="Times New Roman" w:eastAsia="Times New Roman"/>
          <w:b w:val="0"/>
          <w:i w:val="0"/>
          <w:sz w:val="24"/>
        </w:rPr>
        <w:t>Smallholder farmers across Kenya and Sub-Saharan Africa remain largely excluded from formal credit, not because their farms are unviable, but because they cannot produce the verifiable transaction and repayment history formal lenders require; the resulting global smallholder financing gap is estimated at approximately USD 170 billion annually (GSMA, 2025a). Existing alternative-data credit-scoring approaches, while shown to extend credit to otherwise-invisible borrowers, remain almost universally supervised, trained against historical, labelled loan-repayment outcomes that a pre-lending platform, by definition, does not have. Meanwhile, farm management tools available to smallholders are typically designed for larger, formally-structured operations, leaving day-to-day farm records fragmented, under-used, and disconnected from any pathway to financial recognition.</w:t>
      </w:r>
    </w:p>
    <w:p>
      <w:pPr>
        <w:spacing w:after="200" w:line="360" w:lineRule="auto"/>
        <w:jc w:val="both"/>
      </w:pPr>
      <w:r>
        <w:rPr>
          <w:rFonts w:ascii="Times New Roman" w:hAnsi="Times New Roman" w:eastAsia="Times New Roman"/>
          <w:b w:val="0"/>
          <w:i w:val="0"/>
          <w:sz w:val="24"/>
        </w:rPr>
        <w:t>This study presents FarmIQ, a Django-based Progressive Web Application that integrates farm record management, machine learning-based production forecasting, blockchain-anchored data integrity with tokenised incentives, and an unsupervised, explainable alternative credit-scoring engine, designed and evaluated around Miginon Farm, a Kenyan smallholder dairy and mixed-crop operation. FarmIQ's credit-scoring engine standardises ten cross-domain farm health features, reduces them via Principal Component Analysis to a single, sign-corrected composite score, ranks each farm by percentile against its current eligible peer population, and derives discrete score tiers through K-means clustering — with a deterministic provisional fallback for populations too small to rank meaningfully — computing a usable creditworthiness signal entirely without any historical loan-repayment data. A parallel ridge regression model forecasts milk yield at cow, block, and farm scope from a farm's own recorded production, feeding, and herd data. Both models are deliberately restricted to closed-form linear methods so that every prediction and score is accompanied by an exact, independently-verifiable per-feature explanation rather than an approximated one. A Hedera Hashgraph blockchain layer mints non-fungible tokens for herd and harvest registration, a fungible "FIQ" reward token for logging farm activity, and anchors content hashes of predictions, financial transactions, and credit-score snapshots to the Hedera Consensus Service for tamper-evidence, with every blockchain interaction implemented as best-effort so a third-party outage never blocks core farm-management functionality. The platform is delivered as an offline-first Progressive Web Application with WhatsApp Cloud API notification delivery and English/Kiswahili localisation, addressing the connectivity, cost, and channel-familiarity constraints documented in Kenyan and Ugandan digital-agriculture literature.</w:t>
      </w:r>
    </w:p>
    <w:p>
      <w:pPr>
        <w:spacing w:after="200" w:line="360" w:lineRule="auto"/>
        <w:jc w:val="both"/>
      </w:pPr>
      <w:r>
        <w:rPr>
          <w:rFonts w:ascii="Times New Roman" w:hAnsi="Times New Roman" w:eastAsia="Times New Roman"/>
          <w:b w:val="0"/>
          <w:i w:val="0"/>
          <w:sz w:val="24"/>
        </w:rPr>
        <w:t>The system was developed iteratively across seventeen integrated Django applications and evaluated through its automated test suite: 230 tests, of which 229 passed, including an independent re-implementation of the credit-scoring engine's explainability calculation that confirmed its reported contributions sum exactly to the underlying score, and dedicated resilience tests confirming the platform continues operating correctly when Hedera, WhatsApp, or geocoding services are unavailable. This study's central limitation is stated explicitly: because FarmIQ has never issued a real loan, its credit-scoring engine's real-world predictive validity against actual repayment outcomes remains unvalidated, and constitutes the primary direction for future work alongside formal field-based user acceptance testing. FarmIQ demonstrates that the routine records a smallholder farm already needs to keep can simultaneously produce an explainable production forecast, a blockchain-anchored trust record, and a genuinely unsupervised, population-relative credit signal — addressing an integration gap in the current literature between alternative credit scoring, explainable AI, blockchain-based trust, and low-connectivity digital accessibility for smallholder agriculture.</w:t>
      </w:r>
    </w:p>
    <w:p>
      <w:pPr>
        <w:spacing w:after="200" w:line="360"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Smallholder Agriculture, Alternative Credit Scoring, Financial Inclusion, Machine Learning, Explainable AI, Blockchain, Hedera, Progressive Web Application, Tokenised Incentives, Farm Management Information Systems</w:t>
      </w:r>
    </w:p>
    <w:p>
      <w:pPr>
        <w:pageBreakBefore/>
      </w:pPr>
    </w:p>
    <w:p>
      <w:pPr>
        <w:pStyle w:val="Heading1"/>
        <w:keepNext/>
        <w:spacing w:before="80" w:after="200"/>
      </w:pPr>
      <w:r>
        <w:rPr>
          <w:rFonts w:ascii="Times New Roman" w:hAnsi="Times New Roman" w:eastAsia="Times New Roman"/>
          <w:b/>
          <w:i w:val="0"/>
          <w:color w:val="047857"/>
          <w:sz w:val="36"/>
        </w:rPr>
        <w:t>Table of Contents</w:t>
      </w:r>
    </w:p>
    <w:p>
      <w:r>
        <w:rPr>
          <w:rFonts w:ascii="Times New Roman" w:hAnsi="Times New Roman" w:eastAsia="Times New Roman"/>
          <w:b w:val="0"/>
          <w:i w:val="0"/>
          <w:sz w:val="22"/>
        </w:rPr>
        <w:fldChar w:fldCharType="begin" w:dirty="true"/>
      </w:r>
      <w:r>
        <w:instrText xml:space="preserve"> TOC \o "1-3" \h \z \u </w:instrText>
      </w:r>
      <w:r>
        <w:fldChar w:fldCharType="separate"/>
      </w:r>
      <w:r>
        <w:rPr>
          <w:i/>
        </w:rPr>
        <w:t>Right-click here and choose "Update Field" (or press F9) to generate the Table of Contents.</w:t>
      </w:r>
      <w:r>
        <w:fldChar w:fldCharType="end"/>
      </w:r>
    </w:p>
    <w:p>
      <w:pPr>
        <w:pageBreakBefore/>
      </w:pPr>
    </w:p>
    <w:p>
      <w:pPr>
        <w:pStyle w:val="Heading1"/>
        <w:keepNext/>
        <w:spacing w:before="80" w:after="200"/>
      </w:pPr>
      <w:r>
        <w:rPr>
          <w:rFonts w:ascii="Times New Roman" w:hAnsi="Times New Roman" w:eastAsia="Times New Roman"/>
          <w:b/>
          <w:i w:val="0"/>
          <w:color w:val="047857"/>
          <w:sz w:val="36"/>
        </w:rPr>
        <w:t>List of Figures</w:t>
      </w:r>
    </w:p>
    <w:p>
      <w:pPr>
        <w:spacing w:after="120" w:line="360" w:lineRule="auto"/>
        <w:jc w:val="left"/>
      </w:pPr>
      <w:r>
        <w:rPr>
          <w:rFonts w:ascii="Times New Roman" w:hAnsi="Times New Roman" w:eastAsia="Times New Roman"/>
          <w:b w:val="0"/>
          <w:i w:val="0"/>
          <w:sz w:val="24"/>
        </w:rPr>
        <w:t>Figure 2.1: FarmIQ Conceptual Framework</w:t>
      </w:r>
    </w:p>
    <w:p>
      <w:pPr>
        <w:spacing w:after="120" w:line="360" w:lineRule="auto"/>
        <w:jc w:val="left"/>
      </w:pPr>
      <w:r>
        <w:rPr>
          <w:rFonts w:ascii="Times New Roman" w:hAnsi="Times New Roman" w:eastAsia="Times New Roman"/>
          <w:b w:val="0"/>
          <w:i w:val="0"/>
          <w:sz w:val="24"/>
        </w:rPr>
        <w:t>Figure 4.3: FarmIQ High-Level System Architecture</w:t>
      </w:r>
    </w:p>
    <w:p>
      <w:pPr>
        <w:spacing w:after="120" w:line="360" w:lineRule="auto"/>
        <w:jc w:val="left"/>
      </w:pPr>
      <w:r>
        <w:rPr>
          <w:rFonts w:ascii="Times New Roman" w:hAnsi="Times New Roman" w:eastAsia="Times New Roman"/>
          <w:b w:val="0"/>
          <w:i w:val="0"/>
          <w:sz w:val="24"/>
        </w:rPr>
        <w:t>Figure 4.4: FarmIQ Role Hierarchy and Permissions</w:t>
      </w:r>
    </w:p>
    <w:p>
      <w:pPr>
        <w:spacing w:after="120" w:line="360" w:lineRule="auto"/>
        <w:jc w:val="left"/>
      </w:pPr>
      <w:r>
        <w:rPr>
          <w:rFonts w:ascii="Times New Roman" w:hAnsi="Times New Roman" w:eastAsia="Times New Roman"/>
          <w:b w:val="0"/>
          <w:i w:val="0"/>
          <w:sz w:val="24"/>
        </w:rPr>
        <w:t>Figure 5.1: Milk-Yield Prediction Pipeline (Ridge Regression)</w:t>
      </w:r>
    </w:p>
    <w:p>
      <w:pPr>
        <w:spacing w:after="120" w:line="360" w:lineRule="auto"/>
        <w:jc w:val="left"/>
      </w:pPr>
      <w:r>
        <w:rPr>
          <w:rFonts w:ascii="Times New Roman" w:hAnsi="Times New Roman" w:eastAsia="Times New Roman"/>
          <w:b w:val="0"/>
          <w:i w:val="0"/>
          <w:sz w:val="24"/>
        </w:rPr>
        <w:t>Figure 5.2: Alternative Credit-Scoring Pipeline (PCA + KMeans)</w:t>
      </w:r>
    </w:p>
    <w:p>
      <w:pPr>
        <w:pStyle w:val="Heading1"/>
        <w:keepNext/>
        <w:pageBreakBefore/>
        <w:spacing w:before="80" w:after="200"/>
      </w:pPr>
      <w:r>
        <w:rPr>
          <w:rFonts w:ascii="Times New Roman" w:hAnsi="Times New Roman" w:eastAsia="Times New Roman"/>
          <w:b/>
          <w:i w:val="0"/>
          <w:color w:val="047857"/>
          <w:sz w:val="36"/>
        </w:rPr>
        <w:t>List of Tables</w:t>
      </w:r>
    </w:p>
    <w:p>
      <w:pPr>
        <w:spacing w:after="120" w:line="360" w:lineRule="auto"/>
        <w:jc w:val="left"/>
      </w:pPr>
      <w:r>
        <w:rPr>
          <w:rFonts w:ascii="Times New Roman" w:hAnsi="Times New Roman" w:eastAsia="Times New Roman"/>
          <w:b w:val="0"/>
          <w:i w:val="0"/>
          <w:sz w:val="24"/>
        </w:rPr>
        <w:t>Table 2.1: Comparative analysis of FarmIQ against representative existing systems</w:t>
      </w:r>
    </w:p>
    <w:p>
      <w:pPr>
        <w:spacing w:after="120" w:line="360" w:lineRule="auto"/>
        <w:jc w:val="left"/>
      </w:pPr>
      <w:r>
        <w:rPr>
          <w:rFonts w:ascii="Times New Roman" w:hAnsi="Times New Roman" w:eastAsia="Times New Roman"/>
          <w:b w:val="0"/>
          <w:i w:val="0"/>
          <w:sz w:val="24"/>
        </w:rPr>
        <w:t>Table 3.1: FarmIQ's evolutionary development sequence, reconstructed from migration history</w:t>
      </w:r>
    </w:p>
    <w:p>
      <w:pPr>
        <w:spacing w:after="120" w:line="360" w:lineRule="auto"/>
        <w:jc w:val="left"/>
      </w:pPr>
      <w:r>
        <w:rPr>
          <w:rFonts w:ascii="Times New Roman" w:hAnsi="Times New Roman" w:eastAsia="Times New Roman"/>
          <w:b w:val="0"/>
          <w:i w:val="0"/>
          <w:sz w:val="24"/>
        </w:rPr>
        <w:t>Table 4.1: Core database tables underlying FarmIQ's distinguishing analytical and trust capabilities</w:t>
      </w:r>
    </w:p>
    <w:p>
      <w:pPr>
        <w:spacing w:after="120" w:line="360" w:lineRule="auto"/>
        <w:jc w:val="left"/>
      </w:pPr>
      <w:r>
        <w:rPr>
          <w:rFonts w:ascii="Times New Roman" w:hAnsi="Times New Roman" w:eastAsia="Times New Roman"/>
          <w:b w:val="0"/>
          <w:i w:val="0"/>
          <w:sz w:val="24"/>
        </w:rPr>
        <w:t>Table 6.1: Automated test results by application (230 tests total, 229 passing, 1 failing, 0 errors)</w:t>
      </w:r>
    </w:p>
    <w:p>
      <w:pPr>
        <w:pStyle w:val="Heading1"/>
        <w:keepNext/>
        <w:pageBreakBefore/>
        <w:spacing w:before="80" w:after="200"/>
      </w:pPr>
      <w:r>
        <w:rPr>
          <w:rFonts w:ascii="Times New Roman" w:hAnsi="Times New Roman" w:eastAsia="Times New Roman"/>
          <w:b/>
          <w:i w:val="0"/>
          <w:color w:val="047857"/>
          <w:sz w:val="36"/>
        </w:rPr>
        <w:t>List of Abbreviations</w:t>
      </w:r>
    </w:p>
    <w:p>
      <w:pPr>
        <w:spacing w:after="80" w:line="360" w:lineRule="auto"/>
        <w:jc w:val="left"/>
      </w:pPr>
      <w:r>
        <w:rPr>
          <w:rFonts w:ascii="Times New Roman" w:hAnsi="Times New Roman" w:eastAsia="Times New Roman"/>
          <w:b w:val="0"/>
          <w:i w:val="0"/>
          <w:sz w:val="24"/>
        </w:rPr>
        <w:t>AI - Artificial Intelligence</w:t>
      </w:r>
    </w:p>
    <w:p>
      <w:pPr>
        <w:spacing w:after="80" w:line="360" w:lineRule="auto"/>
        <w:jc w:val="left"/>
      </w:pPr>
      <w:r>
        <w:rPr>
          <w:rFonts w:ascii="Times New Roman" w:hAnsi="Times New Roman" w:eastAsia="Times New Roman"/>
          <w:b w:val="0"/>
          <w:i w:val="0"/>
          <w:sz w:val="24"/>
        </w:rPr>
        <w:t>API - Application Programming Interface</w:t>
      </w:r>
    </w:p>
    <w:p>
      <w:pPr>
        <w:spacing w:after="80" w:line="360" w:lineRule="auto"/>
        <w:jc w:val="left"/>
      </w:pPr>
      <w:r>
        <w:rPr>
          <w:rFonts w:ascii="Times New Roman" w:hAnsi="Times New Roman" w:eastAsia="Times New Roman"/>
          <w:b w:val="0"/>
          <w:i w:val="0"/>
          <w:sz w:val="24"/>
        </w:rPr>
        <w:t>CSS - Cascading Style Sheets</w:t>
      </w:r>
    </w:p>
    <w:p>
      <w:pPr>
        <w:spacing w:after="80" w:line="360" w:lineRule="auto"/>
        <w:jc w:val="left"/>
      </w:pPr>
      <w:r>
        <w:rPr>
          <w:rFonts w:ascii="Times New Roman" w:hAnsi="Times New Roman" w:eastAsia="Times New Roman"/>
          <w:b w:val="0"/>
          <w:i w:val="0"/>
          <w:sz w:val="24"/>
        </w:rPr>
        <w:t>CSV - Comma-Separated Values</w:t>
      </w:r>
    </w:p>
    <w:p>
      <w:pPr>
        <w:spacing w:after="80" w:line="360" w:lineRule="auto"/>
        <w:jc w:val="left"/>
      </w:pPr>
      <w:r>
        <w:rPr>
          <w:rFonts w:ascii="Times New Roman" w:hAnsi="Times New Roman" w:eastAsia="Times New Roman"/>
          <w:b w:val="0"/>
          <w:i w:val="0"/>
          <w:sz w:val="24"/>
        </w:rPr>
        <w:t>ERD - Entity-Relationship Diagram</w:t>
      </w:r>
    </w:p>
    <w:p>
      <w:pPr>
        <w:spacing w:after="80" w:line="360" w:lineRule="auto"/>
        <w:jc w:val="left"/>
      </w:pPr>
      <w:r>
        <w:rPr>
          <w:rFonts w:ascii="Times New Roman" w:hAnsi="Times New Roman" w:eastAsia="Times New Roman"/>
          <w:b w:val="0"/>
          <w:i w:val="0"/>
          <w:sz w:val="24"/>
        </w:rPr>
        <w:t>FIQ - FarmIQ Token (platform reward token)</w:t>
      </w:r>
    </w:p>
    <w:p>
      <w:pPr>
        <w:spacing w:after="80" w:line="360" w:lineRule="auto"/>
        <w:jc w:val="left"/>
      </w:pPr>
      <w:r>
        <w:rPr>
          <w:rFonts w:ascii="Times New Roman" w:hAnsi="Times New Roman" w:eastAsia="Times New Roman"/>
          <w:b w:val="0"/>
          <w:i w:val="0"/>
          <w:sz w:val="24"/>
        </w:rPr>
        <w:t>FMIS - Farm Management Information System</w:t>
      </w:r>
    </w:p>
    <w:p>
      <w:pPr>
        <w:spacing w:after="80" w:line="360" w:lineRule="auto"/>
        <w:jc w:val="left"/>
      </w:pPr>
      <w:r>
        <w:rPr>
          <w:rFonts w:ascii="Times New Roman" w:hAnsi="Times New Roman" w:eastAsia="Times New Roman"/>
          <w:b w:val="0"/>
          <w:i w:val="0"/>
          <w:sz w:val="24"/>
        </w:rPr>
        <w:t>GPS - Global Positioning System</w:t>
      </w:r>
    </w:p>
    <w:p>
      <w:pPr>
        <w:spacing w:after="80" w:line="360" w:lineRule="auto"/>
        <w:jc w:val="left"/>
      </w:pPr>
      <w:r>
        <w:rPr>
          <w:rFonts w:ascii="Times New Roman" w:hAnsi="Times New Roman" w:eastAsia="Times New Roman"/>
          <w:b w:val="0"/>
          <w:i w:val="0"/>
          <w:sz w:val="24"/>
        </w:rPr>
        <w:t>HCS - Hedera Consensus Service</w:t>
      </w:r>
    </w:p>
    <w:p>
      <w:pPr>
        <w:spacing w:after="80" w:line="360" w:lineRule="auto"/>
        <w:jc w:val="left"/>
      </w:pPr>
      <w:r>
        <w:rPr>
          <w:rFonts w:ascii="Times New Roman" w:hAnsi="Times New Roman" w:eastAsia="Times New Roman"/>
          <w:b w:val="0"/>
          <w:i w:val="0"/>
          <w:sz w:val="24"/>
        </w:rPr>
        <w:t>HTML - HyperText Markup Language</w:t>
      </w:r>
    </w:p>
    <w:p>
      <w:pPr>
        <w:spacing w:after="80" w:line="360" w:lineRule="auto"/>
        <w:jc w:val="left"/>
      </w:pPr>
      <w:r>
        <w:rPr>
          <w:rFonts w:ascii="Times New Roman" w:hAnsi="Times New Roman" w:eastAsia="Times New Roman"/>
          <w:b w:val="0"/>
          <w:i w:val="0"/>
          <w:sz w:val="24"/>
        </w:rPr>
        <w:t>HTS - Hedera Token Service</w:t>
      </w:r>
    </w:p>
    <w:p>
      <w:pPr>
        <w:spacing w:after="80" w:line="360" w:lineRule="auto"/>
        <w:jc w:val="left"/>
      </w:pPr>
      <w:r>
        <w:rPr>
          <w:rFonts w:ascii="Times New Roman" w:hAnsi="Times New Roman" w:eastAsia="Times New Roman"/>
          <w:b w:val="0"/>
          <w:i w:val="0"/>
          <w:sz w:val="24"/>
        </w:rPr>
        <w:t>IFC - International Finance Corporation</w:t>
      </w:r>
    </w:p>
    <w:p>
      <w:pPr>
        <w:spacing w:after="80" w:line="360" w:lineRule="auto"/>
        <w:jc w:val="left"/>
      </w:pPr>
      <w:r>
        <w:rPr>
          <w:rFonts w:ascii="Times New Roman" w:hAnsi="Times New Roman" w:eastAsia="Times New Roman"/>
          <w:b w:val="0"/>
          <w:i w:val="0"/>
          <w:sz w:val="24"/>
        </w:rPr>
        <w:t>IoT - Internet of Things</w:t>
      </w:r>
    </w:p>
    <w:p>
      <w:pPr>
        <w:spacing w:after="80" w:line="360" w:lineRule="auto"/>
        <w:jc w:val="left"/>
      </w:pPr>
      <w:r>
        <w:rPr>
          <w:rFonts w:ascii="Times New Roman" w:hAnsi="Times New Roman" w:eastAsia="Times New Roman"/>
          <w:b w:val="0"/>
          <w:i w:val="0"/>
          <w:sz w:val="24"/>
        </w:rPr>
        <w:t>IQR - Interquartile Range</w:t>
      </w:r>
    </w:p>
    <w:p>
      <w:pPr>
        <w:spacing w:after="80" w:line="360" w:lineRule="auto"/>
        <w:jc w:val="left"/>
      </w:pPr>
      <w:r>
        <w:rPr>
          <w:rFonts w:ascii="Times New Roman" w:hAnsi="Times New Roman" w:eastAsia="Times New Roman"/>
          <w:b w:val="0"/>
          <w:i w:val="0"/>
          <w:sz w:val="24"/>
        </w:rPr>
        <w:t>JSON - JavaScript Object Notation</w:t>
      </w:r>
    </w:p>
    <w:p>
      <w:pPr>
        <w:spacing w:after="80" w:line="360" w:lineRule="auto"/>
        <w:jc w:val="left"/>
      </w:pPr>
      <w:r>
        <w:rPr>
          <w:rFonts w:ascii="Times New Roman" w:hAnsi="Times New Roman" w:eastAsia="Times New Roman"/>
          <w:b w:val="0"/>
          <w:i w:val="0"/>
          <w:sz w:val="24"/>
        </w:rPr>
        <w:t>JWT - JSON Web Token</w:t>
      </w:r>
    </w:p>
    <w:p>
      <w:pPr>
        <w:spacing w:after="80" w:line="360" w:lineRule="auto"/>
        <w:jc w:val="left"/>
      </w:pPr>
      <w:r>
        <w:rPr>
          <w:rFonts w:ascii="Times New Roman" w:hAnsi="Times New Roman" w:eastAsia="Times New Roman"/>
          <w:b w:val="0"/>
          <w:i w:val="0"/>
          <w:sz w:val="24"/>
        </w:rPr>
        <w:t>KES - Kenya Shillings</w:t>
      </w:r>
    </w:p>
    <w:p>
      <w:pPr>
        <w:spacing w:after="80" w:line="360" w:lineRule="auto"/>
        <w:jc w:val="left"/>
      </w:pPr>
      <w:r>
        <w:rPr>
          <w:rFonts w:ascii="Times New Roman" w:hAnsi="Times New Roman" w:eastAsia="Times New Roman"/>
          <w:b w:val="0"/>
          <w:i w:val="0"/>
          <w:sz w:val="24"/>
        </w:rPr>
        <w:t>LIME - Local Interpretable Model-agnostic Explanations</w:t>
      </w:r>
    </w:p>
    <w:p>
      <w:pPr>
        <w:spacing w:after="80" w:line="360" w:lineRule="auto"/>
        <w:jc w:val="left"/>
      </w:pPr>
      <w:r>
        <w:rPr>
          <w:rFonts w:ascii="Times New Roman" w:hAnsi="Times New Roman" w:eastAsia="Times New Roman"/>
          <w:b w:val="0"/>
          <w:i w:val="0"/>
          <w:sz w:val="24"/>
        </w:rPr>
        <w:t>ML - Machine Learning</w:t>
      </w:r>
    </w:p>
    <w:p>
      <w:pPr>
        <w:spacing w:after="80" w:line="360" w:lineRule="auto"/>
        <w:jc w:val="left"/>
      </w:pPr>
      <w:r>
        <w:rPr>
          <w:rFonts w:ascii="Times New Roman" w:hAnsi="Times New Roman" w:eastAsia="Times New Roman"/>
          <w:b w:val="0"/>
          <w:i w:val="0"/>
          <w:sz w:val="24"/>
        </w:rPr>
        <w:t>MAE - Mean Absolute Error</w:t>
      </w:r>
    </w:p>
    <w:p>
      <w:pPr>
        <w:spacing w:after="80" w:line="360" w:lineRule="auto"/>
        <w:jc w:val="left"/>
      </w:pPr>
      <w:r>
        <w:rPr>
          <w:rFonts w:ascii="Times New Roman" w:hAnsi="Times New Roman" w:eastAsia="Times New Roman"/>
          <w:b w:val="0"/>
          <w:i w:val="0"/>
          <w:sz w:val="24"/>
        </w:rPr>
        <w:t>NFT - Non-Fungible Token</w:t>
      </w:r>
    </w:p>
    <w:p>
      <w:pPr>
        <w:spacing w:after="80" w:line="360" w:lineRule="auto"/>
        <w:jc w:val="left"/>
      </w:pPr>
      <w:r>
        <w:rPr>
          <w:rFonts w:ascii="Times New Roman" w:hAnsi="Times New Roman" w:eastAsia="Times New Roman"/>
          <w:b w:val="0"/>
          <w:i w:val="0"/>
          <w:sz w:val="24"/>
        </w:rPr>
        <w:t>OOAD - Object-Oriented Analysis and Design</w:t>
      </w:r>
    </w:p>
    <w:p>
      <w:pPr>
        <w:spacing w:after="80" w:line="360" w:lineRule="auto"/>
        <w:jc w:val="left"/>
      </w:pPr>
      <w:r>
        <w:rPr>
          <w:rFonts w:ascii="Times New Roman" w:hAnsi="Times New Roman" w:eastAsia="Times New Roman"/>
          <w:b w:val="0"/>
          <w:i w:val="0"/>
          <w:sz w:val="24"/>
        </w:rPr>
        <w:t>ORM - Object-Relational Mapping</w:t>
      </w:r>
    </w:p>
    <w:p>
      <w:pPr>
        <w:spacing w:after="80" w:line="360" w:lineRule="auto"/>
        <w:jc w:val="left"/>
      </w:pPr>
      <w:r>
        <w:rPr>
          <w:rFonts w:ascii="Times New Roman" w:hAnsi="Times New Roman" w:eastAsia="Times New Roman"/>
          <w:b w:val="0"/>
          <w:i w:val="0"/>
          <w:sz w:val="24"/>
        </w:rPr>
        <w:t>OTP - One-Time Password</w:t>
      </w:r>
    </w:p>
    <w:p>
      <w:pPr>
        <w:spacing w:after="80" w:line="360" w:lineRule="auto"/>
        <w:jc w:val="left"/>
      </w:pPr>
      <w:r>
        <w:rPr>
          <w:rFonts w:ascii="Times New Roman" w:hAnsi="Times New Roman" w:eastAsia="Times New Roman"/>
          <w:b w:val="0"/>
          <w:i w:val="0"/>
          <w:sz w:val="24"/>
        </w:rPr>
        <w:t>PCA - Principal Component Analysis</w:t>
      </w:r>
    </w:p>
    <w:p>
      <w:pPr>
        <w:spacing w:after="80" w:line="360" w:lineRule="auto"/>
        <w:jc w:val="left"/>
      </w:pPr>
      <w:r>
        <w:rPr>
          <w:rFonts w:ascii="Times New Roman" w:hAnsi="Times New Roman" w:eastAsia="Times New Roman"/>
          <w:b w:val="0"/>
          <w:i w:val="0"/>
          <w:sz w:val="24"/>
        </w:rPr>
        <w:t>PDF - Portable Document Format</w:t>
      </w:r>
    </w:p>
    <w:p>
      <w:pPr>
        <w:spacing w:after="80" w:line="360" w:lineRule="auto"/>
        <w:jc w:val="left"/>
      </w:pPr>
      <w:r>
        <w:rPr>
          <w:rFonts w:ascii="Times New Roman" w:hAnsi="Times New Roman" w:eastAsia="Times New Roman"/>
          <w:b w:val="0"/>
          <w:i w:val="0"/>
          <w:sz w:val="24"/>
        </w:rPr>
        <w:t>PWA - Progressive Web Application</w:t>
      </w:r>
    </w:p>
    <w:p>
      <w:pPr>
        <w:spacing w:after="80" w:line="360" w:lineRule="auto"/>
        <w:jc w:val="left"/>
      </w:pPr>
      <w:r>
        <w:rPr>
          <w:rFonts w:ascii="Times New Roman" w:hAnsi="Times New Roman" w:eastAsia="Times New Roman"/>
          <w:b w:val="0"/>
          <w:i w:val="0"/>
          <w:sz w:val="24"/>
        </w:rPr>
        <w:t>RBAC - Role-Based Access Control</w:t>
      </w:r>
    </w:p>
    <w:p>
      <w:pPr>
        <w:spacing w:after="80" w:line="360" w:lineRule="auto"/>
        <w:jc w:val="left"/>
      </w:pPr>
      <w:r>
        <w:rPr>
          <w:rFonts w:ascii="Times New Roman" w:hAnsi="Times New Roman" w:eastAsia="Times New Roman"/>
          <w:b w:val="0"/>
          <w:i w:val="0"/>
          <w:sz w:val="24"/>
        </w:rPr>
        <w:t>REST - Representational State Transfer</w:t>
      </w:r>
    </w:p>
    <w:p>
      <w:pPr>
        <w:spacing w:after="80" w:line="360" w:lineRule="auto"/>
        <w:jc w:val="left"/>
      </w:pPr>
      <w:r>
        <w:rPr>
          <w:rFonts w:ascii="Times New Roman" w:hAnsi="Times New Roman" w:eastAsia="Times New Roman"/>
          <w:b w:val="0"/>
          <w:i w:val="0"/>
          <w:sz w:val="24"/>
        </w:rPr>
        <w:t>RMSE - Root Mean Squared Error</w:t>
      </w:r>
    </w:p>
    <w:p>
      <w:pPr>
        <w:spacing w:after="80" w:line="360" w:lineRule="auto"/>
        <w:jc w:val="left"/>
      </w:pPr>
      <w:r>
        <w:rPr>
          <w:rFonts w:ascii="Times New Roman" w:hAnsi="Times New Roman" w:eastAsia="Times New Roman"/>
          <w:b w:val="0"/>
          <w:i w:val="0"/>
          <w:sz w:val="24"/>
        </w:rPr>
        <w:t>SACCO - Savings and Credit Cooperative Organisation</w:t>
      </w:r>
    </w:p>
    <w:p>
      <w:pPr>
        <w:spacing w:after="80" w:line="360" w:lineRule="auto"/>
        <w:jc w:val="left"/>
      </w:pPr>
      <w:r>
        <w:rPr>
          <w:rFonts w:ascii="Times New Roman" w:hAnsi="Times New Roman" w:eastAsia="Times New Roman"/>
          <w:b w:val="0"/>
          <w:i w:val="0"/>
          <w:sz w:val="24"/>
        </w:rPr>
        <w:t>SDK - Software Development Kit</w:t>
      </w:r>
    </w:p>
    <w:p>
      <w:pPr>
        <w:spacing w:after="80" w:line="360" w:lineRule="auto"/>
        <w:jc w:val="left"/>
      </w:pPr>
      <w:r>
        <w:rPr>
          <w:rFonts w:ascii="Times New Roman" w:hAnsi="Times New Roman" w:eastAsia="Times New Roman"/>
          <w:b w:val="0"/>
          <w:i w:val="0"/>
          <w:sz w:val="24"/>
        </w:rPr>
        <w:t>SHA-256 - Secure Hash Algorithm 256-bit</w:t>
      </w:r>
    </w:p>
    <w:p>
      <w:pPr>
        <w:spacing w:after="80" w:line="360" w:lineRule="auto"/>
        <w:jc w:val="left"/>
      </w:pPr>
      <w:r>
        <w:rPr>
          <w:rFonts w:ascii="Times New Roman" w:hAnsi="Times New Roman" w:eastAsia="Times New Roman"/>
          <w:b w:val="0"/>
          <w:i w:val="0"/>
          <w:sz w:val="24"/>
        </w:rPr>
        <w:t>SHAP - SHapley Additive exPlanations</w:t>
      </w:r>
    </w:p>
    <w:p>
      <w:pPr>
        <w:spacing w:after="80" w:line="360" w:lineRule="auto"/>
        <w:jc w:val="left"/>
      </w:pPr>
      <w:r>
        <w:rPr>
          <w:rFonts w:ascii="Times New Roman" w:hAnsi="Times New Roman" w:eastAsia="Times New Roman"/>
          <w:b w:val="0"/>
          <w:i w:val="0"/>
          <w:sz w:val="24"/>
        </w:rPr>
        <w:t>SQL - Structured Query Language</w:t>
      </w:r>
    </w:p>
    <w:p>
      <w:pPr>
        <w:spacing w:after="80" w:line="360" w:lineRule="auto"/>
        <w:jc w:val="left"/>
      </w:pPr>
      <w:r>
        <w:rPr>
          <w:rFonts w:ascii="Times New Roman" w:hAnsi="Times New Roman" w:eastAsia="Times New Roman"/>
          <w:b w:val="0"/>
          <w:i w:val="0"/>
          <w:sz w:val="24"/>
        </w:rPr>
        <w:t>SSL/TLS - Secure Sockets Layer / Transport Layer Security</w:t>
      </w:r>
    </w:p>
    <w:p>
      <w:pPr>
        <w:spacing w:after="80" w:line="360" w:lineRule="auto"/>
        <w:jc w:val="left"/>
      </w:pPr>
      <w:r>
        <w:rPr>
          <w:rFonts w:ascii="Times New Roman" w:hAnsi="Times New Roman" w:eastAsia="Times New Roman"/>
          <w:b w:val="0"/>
          <w:i w:val="0"/>
          <w:sz w:val="24"/>
        </w:rPr>
        <w:t>SUS - System Usability Scale</w:t>
      </w:r>
    </w:p>
    <w:p>
      <w:pPr>
        <w:spacing w:after="80" w:line="360" w:lineRule="auto"/>
        <w:jc w:val="left"/>
      </w:pPr>
      <w:r>
        <w:rPr>
          <w:rFonts w:ascii="Times New Roman" w:hAnsi="Times New Roman" w:eastAsia="Times New Roman"/>
          <w:b w:val="0"/>
          <w:i w:val="0"/>
          <w:sz w:val="24"/>
        </w:rPr>
        <w:t>UAT - User Acceptance Testing</w:t>
      </w:r>
    </w:p>
    <w:p>
      <w:pPr>
        <w:spacing w:after="80" w:line="360" w:lineRule="auto"/>
        <w:jc w:val="left"/>
      </w:pPr>
      <w:r>
        <w:rPr>
          <w:rFonts w:ascii="Times New Roman" w:hAnsi="Times New Roman" w:eastAsia="Times New Roman"/>
          <w:b w:val="0"/>
          <w:i w:val="0"/>
          <w:sz w:val="24"/>
        </w:rPr>
        <w:t>UI/UX - User Interface / User Experience</w:t>
      </w:r>
    </w:p>
    <w:p>
      <w:pPr>
        <w:spacing w:after="80" w:line="360" w:lineRule="auto"/>
        <w:jc w:val="left"/>
      </w:pPr>
      <w:r>
        <w:rPr>
          <w:rFonts w:ascii="Times New Roman" w:hAnsi="Times New Roman" w:eastAsia="Times New Roman"/>
          <w:b w:val="0"/>
          <w:i w:val="0"/>
          <w:sz w:val="24"/>
        </w:rPr>
        <w:t>URL - Uniform Resource Locator</w:t>
      </w:r>
    </w:p>
    <w:p>
      <w:pPr>
        <w:spacing w:after="80" w:line="360" w:lineRule="auto"/>
        <w:jc w:val="left"/>
      </w:pPr>
      <w:r>
        <w:rPr>
          <w:rFonts w:ascii="Times New Roman" w:hAnsi="Times New Roman" w:eastAsia="Times New Roman"/>
          <w:b w:val="0"/>
          <w:i w:val="0"/>
          <w:sz w:val="24"/>
        </w:rPr>
        <w:t>UUID - Universally Unique Identifier</w:t>
      </w:r>
    </w:p>
    <w:p>
      <w:pPr>
        <w:spacing w:after="80" w:line="360" w:lineRule="auto"/>
        <w:jc w:val="left"/>
      </w:pPr>
      <w:r>
        <w:rPr>
          <w:rFonts w:ascii="Times New Roman" w:hAnsi="Times New Roman" w:eastAsia="Times New Roman"/>
          <w:b w:val="0"/>
          <w:i w:val="0"/>
          <w:sz w:val="24"/>
        </w:rPr>
        <w:t>VAPID - Voluntary Application Server Identification</w:t>
      </w:r>
    </w:p>
    <w:p>
      <w:pPr>
        <w:spacing w:after="80" w:line="360" w:lineRule="auto"/>
        <w:jc w:val="left"/>
      </w:pPr>
      <w:r>
        <w:rPr>
          <w:rFonts w:ascii="Times New Roman" w:hAnsi="Times New Roman" w:eastAsia="Times New Roman"/>
          <w:b w:val="0"/>
          <w:i w:val="0"/>
          <w:sz w:val="24"/>
        </w:rPr>
        <w:t>WHO - World Health Organization</w:t>
      </w:r>
    </w:p>
    <w:p>
      <w:pPr>
        <w:spacing w:after="80" w:line="360" w:lineRule="auto"/>
        <w:jc w:val="left"/>
      </w:pPr>
      <w:r>
        <w:rPr>
          <w:rFonts w:ascii="Times New Roman" w:hAnsi="Times New Roman" w:eastAsia="Times New Roman"/>
          <w:b w:val="0"/>
          <w:i w:val="0"/>
          <w:sz w:val="24"/>
        </w:rPr>
        <w:t>XAI - Explainable Artificial Intelligence</w:t>
      </w:r>
    </w:p>
    <w:p>
      <w:pPr>
        <w:spacing w:after="80" w:line="360" w:lineRule="auto"/>
        <w:jc w:val="left"/>
      </w:pPr>
      <w:r>
        <w:rPr>
          <w:rFonts w:ascii="Times New Roman" w:hAnsi="Times New Roman" w:eastAsia="Times New Roman"/>
          <w:b w:val="0"/>
          <w:i w:val="0"/>
          <w:sz w:val="24"/>
        </w:rPr>
        <w:t>XLSX - Microsoft Excel Open XML Spreadsheet</w:t>
      </w:r>
    </w:p>
    <w:p>
      <w:pPr>
        <w:pStyle w:val="Heading1"/>
        <w:keepNext/>
        <w:pageBreakBefore/>
        <w:spacing w:before="80" w:after="200"/>
      </w:pPr>
      <w:r>
        <w:rPr>
          <w:rFonts w:ascii="Times New Roman" w:hAnsi="Times New Roman" w:eastAsia="Times New Roman"/>
          <w:b/>
          <w:i w:val="0"/>
          <w:color w:val="047857"/>
          <w:sz w:val="36"/>
        </w:rPr>
        <w:t>Chapter 1: Introduction</w:t>
      </w:r>
    </w:p>
    <w:p>
      <w:pPr>
        <w:pStyle w:val="Heading2"/>
        <w:keepNext/>
        <w:spacing w:before="320" w:after="160"/>
      </w:pPr>
      <w:r>
        <w:rPr>
          <w:rFonts w:ascii="Times New Roman" w:hAnsi="Times New Roman" w:eastAsia="Times New Roman"/>
          <w:b/>
          <w:i w:val="0"/>
          <w:color w:val="1E3A5F"/>
          <w:sz w:val="28"/>
        </w:rPr>
        <w:t>1.1 Background Information</w:t>
      </w:r>
    </w:p>
    <w:p>
      <w:pPr>
        <w:spacing w:after="200" w:line="360" w:lineRule="auto"/>
        <w:jc w:val="both"/>
      </w:pPr>
      <w:r>
        <w:rPr>
          <w:rFonts w:ascii="Times New Roman" w:hAnsi="Times New Roman" w:eastAsia="Times New Roman"/>
          <w:b w:val="0"/>
          <w:i w:val="0"/>
          <w:sz w:val="24"/>
        </w:rPr>
        <w:t>Smallholder agriculture remains the backbone of food security and rural livelihoods across Sub-Saharan Africa, yet the farmers who sustain it are systematically excluded from the formal financial system that could help them grow. The global financing gap for smallholder farmers is estimated at approximately USD 170 billion annually, driven not by a lack of viable farm enterprises but by the structural mismatch between how formal lenders assess risk and how smallholder farms actually operate (GSMA, 2025a). Traditional credit scoring depends on a verifiable transaction and repayment history, collateral that can be registered and seized, and formal documentation of income — conditions that describe a bank's ideal borrower far more than they describe a Kenyan dairy or mixed-crop smallholder. Even where digital financial inclusion has advanced through mobile money, this progress has been concentrated in basic transaction accounts rather than in credit specifically; large rural and agricultural populations remain excluded from formal lending even as they gain access to a phone-based wallet (Demirguc-Kunt et al., 2022). Empirical evidence from Kenya confirms that the strongest determinants of whether a smallholder can access formal credit are education level, off-farm occupation, and access to extension services rather than the underlying productivity or health of the farm itself (Kiplimo et al., 2015), while lenders continue to treat agriculture as inherently high-risk and too costly to underwrite for dispersed, low-value rural clients (Savoy, 2025).</w:t>
      </w:r>
    </w:p>
    <w:p>
      <w:pPr>
        <w:spacing w:after="200" w:line="360" w:lineRule="auto"/>
        <w:jc w:val="both"/>
      </w:pPr>
      <w:r>
        <w:rPr>
          <w:rFonts w:ascii="Times New Roman" w:hAnsi="Times New Roman" w:eastAsia="Times New Roman"/>
          <w:b w:val="0"/>
          <w:i w:val="0"/>
          <w:sz w:val="24"/>
        </w:rPr>
        <w:t>Digital technologies have begun to erode this exclusion from several directions at once, though rarely as an integrated whole. Alternative credit-scoring research has shown that non-financial, behavioural, and agronomic signals can substitute for a missing credit history: psychometric assessments have extended credit to previously-rejected "thin-file" applicants without raising portfolio risk (Arraiz et al., 2017), mobile phone usage patterns alone have been shown to predict loan repayment about as well as a bureau score (Bjorkegren &amp; Grissen, 2018), and agricultural microfinance research has explicitly argued that context-specific, non-financial scoring factors are necessary precisely because smallholder borrowers have no financial history to score in the first place (Simumba et al., 2018). Agri-fintech platforms operating in Kenya, such as Apollo Agriculture, have translated this research into practice, using farm data, satellite field coordinates, and identity verification to underwrite input loans for farmers with no formal credit record (GSMA, 2025b), while related bundled-finance models from providers such as Pula and Tulaa combine credit, insurance, and input supply on the same data-driven basis (International Finance Corporation [IFC], 2023). In parallel, machine learning has matured into a practical tool for production forecasting: regression-based models are an established, actively-researched method for predicting dairy milk yield from behavioural, environmental, and production data (Hooker et al., 2025), and explainable AI techniques such as SHAP-based feature attribution are increasingly paired with agricultural prediction models specifically to build the trust of farmers and advisors who would otherwise be asked to act on an opaque number (Ribeiro et al., 2016; Lundberg &amp; Lee, 2017). Blockchain technology has independently demonstrated value for agricultural traceability and tamper-evident record-keeping, with distributed ledgers used to guarantee the integrity of agri-food supply chain data in a way that a conventional centralised database cannot (Marchese &amp; Tomarchio, 2022; UNDP, 2021), and tokenised incentive mechanisms have shown that a blockchain-issued reward token can be used deliberately to increase participants' contribution of data to a system (Pandey et al., 2022). Finally, accessibility research on rural digital services in Kenya and Uganda consistently finds that mobile phone-based channels — and messaging platforms such as WhatsApp in particular, which farmers already use and often repurpose for agricultural information exchange on their own initiative — reach smallholders far more effectively than dedicated applications requiring new downloads, app-store access, or sustained broadband connectivity (Kansiime et al., 2022; Coggins et al., 2022).</w:t>
      </w:r>
    </w:p>
    <w:p>
      <w:pPr>
        <w:spacing w:after="200" w:line="360" w:lineRule="auto"/>
        <w:jc w:val="both"/>
      </w:pPr>
      <w:r>
        <w:rPr>
          <w:rFonts w:ascii="Times New Roman" w:hAnsi="Times New Roman" w:eastAsia="Times New Roman"/>
          <w:b w:val="0"/>
          <w:i w:val="0"/>
          <w:sz w:val="24"/>
        </w:rPr>
        <w:t>Despite the individual maturity of these technologies, farm management information systems (FMIS) research shows that most commercial farm software was designed for large, structured commercial operations, leaving most everyday farm activity unlogged and data fragmented across the sector (Fountas et al., 2015), and more recent human-computer interaction fieldwork confirms that small and medium farmers still rely on ad hoc, informal data habits rather than adopting formal FMIS, in part due to low technical confidence and scepticism toward unfamiliar systems (Friedman et al., 2024). A systematic review of AI adoption in East African agriculture similarly finds that precision-agriculture and advisory tools show clear technical promise but remain thinly adopted by smallholders because of rural infrastructure gaps, low digital skills, and weak integration with the institutions — lenders, cooperatives, extension services — that could act on the data these tools produce (Shitaye et al., 2026). This is the specific gap FarmIQ addresses: rather than treating farm record-keeping, production forecasting, financial trust, and access to formal credit as separate problems to be solved by separate, disconnected tools, FarmIQ integrates them into a single Progressive Web Application in which the same day-to-day farm records a smallholder already needs to keep — milk yields, feeding, crop activity, finances, tasks — simultaneously feed a yield-prediction model, earn a blockchain-anchored reward token, and build the evidentiary basis for an alternative, explainable credit score computed without ever requiring a loan-repayment history that does not exist.</w:t>
      </w:r>
    </w:p>
    <w:p>
      <w:pPr>
        <w:pStyle w:val="Heading2"/>
        <w:keepNext/>
        <w:spacing w:before="320" w:after="160"/>
      </w:pPr>
      <w:r>
        <w:rPr>
          <w:rFonts w:ascii="Times New Roman" w:hAnsi="Times New Roman" w:eastAsia="Times New Roman"/>
          <w:b/>
          <w:i w:val="0"/>
          <w:color w:val="1E3A5F"/>
          <w:sz w:val="28"/>
        </w:rPr>
        <w:t>1.2 Problem Statement</w:t>
      </w:r>
    </w:p>
    <w:p>
      <w:pPr>
        <w:spacing w:after="200" w:line="360" w:lineRule="auto"/>
        <w:jc w:val="both"/>
      </w:pPr>
      <w:r>
        <w:rPr>
          <w:rFonts w:ascii="Times New Roman" w:hAnsi="Times New Roman" w:eastAsia="Times New Roman"/>
          <w:b w:val="0"/>
          <w:i w:val="0"/>
          <w:sz w:val="24"/>
        </w:rPr>
        <w:t>In an ideal agricultural economy, a smallholder farmer would be able to keep reliable digital records of their herd, crops, and finances with minimal effort; receive early, understandable warning of production risks such as a declining milk trend or an overdue task; trust that the record of what they own and what they have done cannot be quietly altered after the fact; and use the accumulated evidence of their own farm's performance to access affordable formal credit on terms proportionate to their actual productivity. In practice, none of these conditions holds for the large majority of Kenyan smallholder farmers. Farm record-keeping tools that exist in the market are overwhelmingly designed for large, structured commercial operations with dedicated administrative staff, and even where lighter tools exist, empirical fieldwork shows that small and medium farmers default to informal, ad hoc data habits rather than sustained use of any FMIS, partly out of scepticism toward unfamiliar digital systems (Fountas et al., 2015; Friedman et al., 2024). The consequence is that a Kenyan smallholder farm typically has no continuous, trustworthy digital trail of its own production history — the exact evidentiary base a lender would need to assess it on its actual merits rather than by proxy.</w:t>
      </w:r>
    </w:p>
    <w:p>
      <w:pPr>
        <w:spacing w:after="200" w:line="360" w:lineRule="auto"/>
        <w:jc w:val="both"/>
      </w:pPr>
      <w:r>
        <w:rPr>
          <w:rFonts w:ascii="Times New Roman" w:hAnsi="Times New Roman" w:eastAsia="Times New Roman"/>
          <w:b w:val="0"/>
          <w:i w:val="0"/>
          <w:sz w:val="24"/>
        </w:rPr>
        <w:t>This absence of a data trail compounds directly into financial exclusion. Formal credit access in Kenya is empirically determined less by farm productivity than by education, off-farm occupation, and extension-service contact (Kiplimo et al., 2015), while lenders continue to treat dispersed smallholder agriculture as too costly and too risky to underwrite at scale (Savoy, 2025), leaving an estimated USD 170 billion smallholder financing gap globally (GSMA, 2025a). Where alternative, non-traditional-data credit scoring has been researched and deployed, it has still overwhelmingly depended on a supervised model trained against historical, labelled loan-repayment outcomes (Bao et al., 2019) — precisely the data that does not exist for a platform, like FarmIQ, that has never issued a real loan and therefore has no repayment history to train against. A genuinely unsupervised, population-relative approach to alternative credit scoring — one that ranks a farm against its current peers on measurable operational health rather than against a trained model of past defaults — remains comparatively rare in the literature (Bao et al., 2019; Miljkovic &amp; Wang, 2024), leaving a documented methodological gap for exactly the cold-start situation smallholder-facing platforms are most likely to face.</w:t>
      </w:r>
    </w:p>
    <w:p>
      <w:pPr>
        <w:spacing w:after="200" w:line="360" w:lineRule="auto"/>
        <w:jc w:val="both"/>
      </w:pPr>
      <w:r>
        <w:rPr>
          <w:rFonts w:ascii="Times New Roman" w:hAnsi="Times New Roman" w:eastAsia="Times New Roman"/>
          <w:b w:val="0"/>
          <w:i w:val="0"/>
          <w:sz w:val="24"/>
        </w:rPr>
        <w:t>Beyond credit access, smallholders also lack transparent, tamper-evident assurance that their own records — a herd registration, a harvest, a financial transaction, a computed score — have not been altered after the fact, a concern formal blockchain-based traceability systems address in commercial agri-food supply chains (Marchese &amp; Tomarchio, 2022) but rarely extend down to the individual smallholder's own record-keeping. Compounding this, the effort of maintaining detailed farm records is, for a smallholder or hired farm worker, uncompensated labour with no immediate personal benefit, even though tokenised incentive mechanisms have been shown elsewhere to measurably increase participants' willingness to contribute data to a system when contribution is directly rewarded (Pandey et al., 2022). Finally, existing digital agriculture tools frequently assume a dedicated application, reliable broadband, and a device capable of running it, despite survey evidence from Kenya and Uganda that the dominant constraints on smallholder technology use are the cost of data, low digital literacy, and unreliable rural connectivity, and that farmers already gravitate toward low-friction channels such as WhatsApp that they use for other purposes (Kansiime et al., 2022; Coggins et al., 2022; GSMA &amp; IDH Farmfit, 2020).</w:t>
      </w:r>
    </w:p>
    <w:p>
      <w:pPr>
        <w:spacing w:after="200" w:line="360" w:lineRule="auto"/>
        <w:jc w:val="both"/>
      </w:pPr>
      <w:r>
        <w:rPr>
          <w:rFonts w:ascii="Times New Roman" w:hAnsi="Times New Roman" w:eastAsia="Times New Roman"/>
          <w:b w:val="0"/>
          <w:i w:val="0"/>
          <w:sz w:val="24"/>
        </w:rPr>
        <w:t>These failures compound into a self-reinforcing cycle: a smallholder farm with no digital record cannot demonstrate its productivity, a farm that cannot demonstrate its productivity cannot access affordable formal credit, and a farm without access to credit has less capacity to invest in the inputs, veterinary care, or equipment that would improve the productivity a future record might otherwise have shown. FarmIQ was developed to interrupt this cycle at its root by making day-to-day farm record-keeping itself valuable — through production forecasting, tokenised rewards, and tamper-evident trust — so that the same records a farmer needs for daily management also become the foundation of an alternative, explainable pathway into formal financial recognition.</w:t>
      </w:r>
    </w:p>
    <w:p>
      <w:pPr>
        <w:pStyle w:val="Heading2"/>
        <w:keepNext/>
        <w:spacing w:before="320" w:after="160"/>
      </w:pPr>
      <w:r>
        <w:rPr>
          <w:rFonts w:ascii="Times New Roman" w:hAnsi="Times New Roman" w:eastAsia="Times New Roman"/>
          <w:b/>
          <w:i w:val="0"/>
          <w:color w:val="1E3A5F"/>
          <w:sz w:val="28"/>
        </w:rPr>
        <w:t>1.3 Research Objectives</w:t>
      </w:r>
    </w:p>
    <w:p>
      <w:pPr>
        <w:pStyle w:val="Heading3"/>
        <w:keepNext/>
        <w:spacing w:before="320" w:after="160"/>
      </w:pPr>
      <w:r>
        <w:rPr>
          <w:rFonts w:ascii="Times New Roman" w:hAnsi="Times New Roman" w:eastAsia="Times New Roman"/>
          <w:b/>
          <w:i w:val="0"/>
          <w:color w:val="334155"/>
          <w:sz w:val="25"/>
        </w:rPr>
        <w:t>1.3.1 General Objective</w:t>
      </w:r>
    </w:p>
    <w:p>
      <w:pPr>
        <w:spacing w:after="200" w:line="360" w:lineRule="auto"/>
        <w:jc w:val="both"/>
      </w:pPr>
      <w:r>
        <w:rPr>
          <w:rFonts w:ascii="Times New Roman" w:hAnsi="Times New Roman" w:eastAsia="Times New Roman"/>
          <w:b w:val="0"/>
          <w:i w:val="0"/>
          <w:sz w:val="24"/>
        </w:rPr>
        <w:t>To design, develop, and evaluate FarmIQ, a Progressive Web Application that integrates machine learning-based production forecasting, blockchain-anchored data integrity and tokenised incentives, and an unsupervised, explainable alternative credit-scoring engine, in order to improve farm record-keeping, production decision-making, and pathways to formal financial recognition for smallholder farmers in Kenya.</w:t>
      </w:r>
    </w:p>
    <w:p>
      <w:pPr>
        <w:pStyle w:val="Heading3"/>
        <w:keepNext/>
        <w:spacing w:before="320" w:after="160"/>
      </w:pPr>
      <w:r>
        <w:rPr>
          <w:rFonts w:ascii="Times New Roman" w:hAnsi="Times New Roman" w:eastAsia="Times New Roman"/>
          <w:b/>
          <w:i w:val="0"/>
          <w:color w:val="334155"/>
          <w:sz w:val="25"/>
        </w:rPr>
        <w:t>1.3.2 Specific Objectives</w:t>
      </w:r>
    </w:p>
    <w:p>
      <w:pPr>
        <w:spacing w:after="200" w:line="360" w:lineRule="auto"/>
        <w:jc w:val="both"/>
      </w:pPr>
      <w:r>
        <w:rPr>
          <w:rFonts w:ascii="Times New Roman" w:hAnsi="Times New Roman" w:eastAsia="Times New Roman"/>
          <w:b w:val="0"/>
          <w:i w:val="0"/>
          <w:sz w:val="24"/>
        </w:rPr>
        <w:t>i. To analyse the challenges smallholder farmers face in maintaining reliable farm records, forecasting production, and accessing formal credit.</w:t>
      </w:r>
    </w:p>
    <w:p>
      <w:pPr>
        <w:spacing w:after="200" w:line="360" w:lineRule="auto"/>
        <w:jc w:val="both"/>
      </w:pPr>
      <w:r>
        <w:rPr>
          <w:rFonts w:ascii="Times New Roman" w:hAnsi="Times New Roman" w:eastAsia="Times New Roman"/>
          <w:b w:val="0"/>
          <w:i w:val="0"/>
          <w:sz w:val="24"/>
        </w:rPr>
        <w:t>ii. To examine existing farm management information systems, agricultural fintech platforms, and credit-scoring approaches, with particular emphasis on their applicability to data-scarce smallholder contexts with no historical loan-repayment data.</w:t>
      </w:r>
    </w:p>
    <w:p>
      <w:pPr>
        <w:spacing w:after="200" w:line="360" w:lineRule="auto"/>
        <w:jc w:val="both"/>
      </w:pPr>
      <w:r>
        <w:rPr>
          <w:rFonts w:ascii="Times New Roman" w:hAnsi="Times New Roman" w:eastAsia="Times New Roman"/>
          <w:b w:val="0"/>
          <w:i w:val="0"/>
          <w:sz w:val="24"/>
        </w:rPr>
        <w:t>iii. To design and implement a machine learning model capable of predicting milk yield from a farm's own recorded production, feeding, and herd data, with exact, interpretable feature-level explanations.</w:t>
      </w:r>
    </w:p>
    <w:p>
      <w:pPr>
        <w:spacing w:after="200" w:line="360" w:lineRule="auto"/>
        <w:jc w:val="both"/>
      </w:pPr>
      <w:r>
        <w:rPr>
          <w:rFonts w:ascii="Times New Roman" w:hAnsi="Times New Roman" w:eastAsia="Times New Roman"/>
          <w:b w:val="0"/>
          <w:i w:val="0"/>
          <w:sz w:val="24"/>
        </w:rPr>
        <w:t>iv. To design and implement an unsupervised, population-relative, and explainable alternative credit-scoring engine that ranks a farm against its current peers on the platform without requiring a trained model of historical loan repayment.</w:t>
      </w:r>
    </w:p>
    <w:p>
      <w:pPr>
        <w:spacing w:after="200" w:line="360" w:lineRule="auto"/>
        <w:jc w:val="both"/>
      </w:pPr>
      <w:r>
        <w:rPr>
          <w:rFonts w:ascii="Times New Roman" w:hAnsi="Times New Roman" w:eastAsia="Times New Roman"/>
          <w:b w:val="0"/>
          <w:i w:val="0"/>
          <w:sz w:val="24"/>
        </w:rPr>
        <w:t>v. To implement a blockchain-based framework, using Hedera Hashgraph, for tamper-evident anchoring of predictions, financial transactions, and credit scores, and a tokenised incentive mechanism that rewards farm data logging.</w:t>
      </w:r>
    </w:p>
    <w:p>
      <w:pPr>
        <w:spacing w:after="200" w:line="360" w:lineRule="auto"/>
        <w:jc w:val="both"/>
      </w:pPr>
      <w:r>
        <w:rPr>
          <w:rFonts w:ascii="Times New Roman" w:hAnsi="Times New Roman" w:eastAsia="Times New Roman"/>
          <w:b w:val="0"/>
          <w:i w:val="0"/>
          <w:sz w:val="24"/>
        </w:rPr>
        <w:t>vi. To design and implement a Progressive Web Application with offline-first data capture and WhatsApp-based, low-connectivity-appropriate notifications for accessible use in rural contexts.</w:t>
      </w:r>
    </w:p>
    <w:p>
      <w:pPr>
        <w:spacing w:after="200" w:line="360" w:lineRule="auto"/>
        <w:jc w:val="both"/>
      </w:pPr>
      <w:r>
        <w:rPr>
          <w:rFonts w:ascii="Times New Roman" w:hAnsi="Times New Roman" w:eastAsia="Times New Roman"/>
          <w:b w:val="0"/>
          <w:i w:val="0"/>
          <w:sz w:val="24"/>
        </w:rPr>
        <w:t>vii. To evaluate the resulting system across functional correctness, algorithmic explainability, and resilience to third-party service failure.</w:t>
      </w:r>
    </w:p>
    <w:p>
      <w:pPr>
        <w:pStyle w:val="Heading2"/>
        <w:keepNext/>
        <w:spacing w:before="320" w:after="160"/>
      </w:pPr>
      <w:r>
        <w:rPr>
          <w:rFonts w:ascii="Times New Roman" w:hAnsi="Times New Roman" w:eastAsia="Times New Roman"/>
          <w:b/>
          <w:i w:val="0"/>
          <w:color w:val="1E3A5F"/>
          <w:sz w:val="28"/>
        </w:rPr>
        <w:t>1.4 Research Questions</w:t>
      </w:r>
    </w:p>
    <w:p>
      <w:pPr>
        <w:spacing w:after="200" w:line="360" w:lineRule="auto"/>
        <w:jc w:val="both"/>
      </w:pPr>
      <w:r>
        <w:rPr>
          <w:rFonts w:ascii="Times New Roman" w:hAnsi="Times New Roman" w:eastAsia="Times New Roman"/>
          <w:b w:val="0"/>
          <w:i w:val="0"/>
          <w:sz w:val="24"/>
        </w:rPr>
        <w:t>The following research questions are derived from the specific objectives above and guided the design, development, and evaluation of FarmIQ:</w:t>
      </w:r>
    </w:p>
    <w:p>
      <w:pPr>
        <w:spacing w:after="200" w:line="360" w:lineRule="auto"/>
        <w:jc w:val="both"/>
      </w:pPr>
      <w:r>
        <w:rPr>
          <w:rFonts w:ascii="Times New Roman" w:hAnsi="Times New Roman" w:eastAsia="Times New Roman"/>
          <w:b w:val="0"/>
          <w:i w:val="0"/>
          <w:sz w:val="24"/>
        </w:rPr>
        <w:t>i. What specific challenges hinder reliable farm record-keeping, production forecasting, and access to formal credit among smallholder farmers?</w:t>
      </w:r>
    </w:p>
    <w:p>
      <w:pPr>
        <w:spacing w:after="200" w:line="360" w:lineRule="auto"/>
        <w:jc w:val="both"/>
      </w:pPr>
      <w:r>
        <w:rPr>
          <w:rFonts w:ascii="Times New Roman" w:hAnsi="Times New Roman" w:eastAsia="Times New Roman"/>
          <w:b w:val="0"/>
          <w:i w:val="0"/>
          <w:sz w:val="24"/>
        </w:rPr>
        <w:t>ii. What are the strengths and limitations of existing farm management systems, agricultural fintech platforms, and credit-scoring approaches when applied to smallholder contexts that lack a historical credit or loan-repayment record?</w:t>
      </w:r>
    </w:p>
    <w:p>
      <w:pPr>
        <w:spacing w:after="200" w:line="360" w:lineRule="auto"/>
        <w:jc w:val="both"/>
      </w:pPr>
      <w:r>
        <w:rPr>
          <w:rFonts w:ascii="Times New Roman" w:hAnsi="Times New Roman" w:eastAsia="Times New Roman"/>
          <w:b w:val="0"/>
          <w:i w:val="0"/>
          <w:sz w:val="24"/>
        </w:rPr>
        <w:t>iii. Which farm-recorded features most significantly influence milk yield, and how can a machine learning model generate accurate, individually-explainable predictions from them without depending on a persisted, centrally-trained model?</w:t>
      </w:r>
    </w:p>
    <w:p>
      <w:pPr>
        <w:spacing w:after="200" w:line="360" w:lineRule="auto"/>
        <w:jc w:val="both"/>
      </w:pPr>
      <w:r>
        <w:rPr>
          <w:rFonts w:ascii="Times New Roman" w:hAnsi="Times New Roman" w:eastAsia="Times New Roman"/>
          <w:b w:val="0"/>
          <w:i w:val="0"/>
          <w:sz w:val="24"/>
        </w:rPr>
        <w:t>iv. How can an unsupervised, population-relative scoring method generate a fair, explainable alternative credit score for a farm in the complete absence of historical loan-repayment data, including for a newly-registered farm or a small peer population?</w:t>
      </w:r>
    </w:p>
    <w:p>
      <w:pPr>
        <w:spacing w:after="200" w:line="360" w:lineRule="auto"/>
        <w:jc w:val="both"/>
      </w:pPr>
      <w:r>
        <w:rPr>
          <w:rFonts w:ascii="Times New Roman" w:hAnsi="Times New Roman" w:eastAsia="Times New Roman"/>
          <w:b w:val="0"/>
          <w:i w:val="0"/>
          <w:sz w:val="24"/>
        </w:rPr>
        <w:t>v. How can blockchain technology be used to provide tamper-evident assurance over farm predictions, financial records, and credit scores, and how can a tokenised incentive mechanism be designed to encourage sustained farm data logging without becoming a primary object of speculation?</w:t>
      </w:r>
    </w:p>
    <w:p>
      <w:pPr>
        <w:spacing w:after="200" w:line="360" w:lineRule="auto"/>
        <w:jc w:val="both"/>
      </w:pPr>
      <w:r>
        <w:rPr>
          <w:rFonts w:ascii="Times New Roman" w:hAnsi="Times New Roman" w:eastAsia="Times New Roman"/>
          <w:b w:val="0"/>
          <w:i w:val="0"/>
          <w:sz w:val="24"/>
        </w:rPr>
        <w:t>vi. How can a Progressive Web Application, combined with WhatsApp-based notification delivery, reduce adoption barriers and support reliable use in rural, low-connectivity conditions?</w:t>
      </w:r>
    </w:p>
    <w:p>
      <w:pPr>
        <w:spacing w:after="200" w:line="360" w:lineRule="auto"/>
        <w:jc w:val="both"/>
      </w:pPr>
      <w:r>
        <w:rPr>
          <w:rFonts w:ascii="Times New Roman" w:hAnsi="Times New Roman" w:eastAsia="Times New Roman"/>
          <w:b w:val="0"/>
          <w:i w:val="0"/>
          <w:sz w:val="24"/>
        </w:rPr>
        <w:t>vii. To what extent does the resulting system perform correctly, explain its own predictions and scores in a verifiable way, and continue operating when a third-party service (such as Hedera or WhatsApp) is unavailable?</w:t>
      </w:r>
    </w:p>
    <w:p>
      <w:pPr>
        <w:pStyle w:val="Heading2"/>
        <w:keepNext/>
        <w:spacing w:before="320" w:after="160"/>
      </w:pPr>
      <w:r>
        <w:rPr>
          <w:rFonts w:ascii="Times New Roman" w:hAnsi="Times New Roman" w:eastAsia="Times New Roman"/>
          <w:b/>
          <w:i w:val="0"/>
          <w:color w:val="1E3A5F"/>
          <w:sz w:val="28"/>
        </w:rPr>
        <w:t>1.5 Justification</w:t>
      </w:r>
    </w:p>
    <w:p>
      <w:pPr>
        <w:spacing w:after="200" w:line="360" w:lineRule="auto"/>
        <w:jc w:val="both"/>
      </w:pPr>
      <w:r>
        <w:rPr>
          <w:rFonts w:ascii="Times New Roman" w:hAnsi="Times New Roman" w:eastAsia="Times New Roman"/>
          <w:b w:val="0"/>
          <w:i w:val="0"/>
          <w:sz w:val="24"/>
        </w:rPr>
        <w:t>Substantial evidence supports the individual technical components FarmIQ integrates, even where their combination remains unstudied. Alternative, non-traditional-data credit scoring has repeatedly been shown to extend credit access to applicants who would be rejected or invisible to a conventional bureau-based process, whether through psychometric assessment (Arraiz et al., 2017), behavioural mobile-usage data (Bjorkegren &amp; Grissen, 2018), or context-specific agronomic and non-financial signals proposed explicitly for agricultural microfinance (Simumba et al., 2018). Dimensionality-reduction techniques such as Principal Component Analysis are a well-established method for condensing many correlated indicators into an interpretable composite score while retaining the ability to attribute that score back to its constituent features (Jolliffe &amp; Cadima, 2016), and unsupervised clustering methods such as K-means remain the dominant approach for grouping unlabelled populations by similarity when no ground-truth outcome labels exist to train against (Jain, 2010) — precisely FarmIQ's situation, since the platform has never issued a real loan and therefore has no repayment outcomes to learn from. Explainability research demonstrates that trust in an automated prediction depends on a human-interpretable account of why that prediction was produced (Ribeiro et al., 2016; Lundberg &amp; Lee, 2017), and peer-reviewed work applying explainable AI specifically to credit evaluation confirms this concern is directly relevant to automated scoring, not only to prediction in general (Nallakaruppan et al., 2024).</w:t>
      </w:r>
    </w:p>
    <w:p>
      <w:pPr>
        <w:spacing w:after="200" w:line="360" w:lineRule="auto"/>
        <w:jc w:val="both"/>
      </w:pPr>
      <w:r>
        <w:rPr>
          <w:rFonts w:ascii="Times New Roman" w:hAnsi="Times New Roman" w:eastAsia="Times New Roman"/>
          <w:b w:val="0"/>
          <w:i w:val="0"/>
          <w:sz w:val="24"/>
        </w:rPr>
        <w:t>On the production side, ridge-regularised linear regression is an established and currently-researched method for short-term dairy milk-yield prediction from behavioural, feeding, and environmental data, shown to perform competitively against more complex ensemble methods while remaining far more interpretable (Hooker et al., 2025), and the wider push toward SHAP-based explainability in agricultural yield prediction reinforces that farmers and advisors are more likely to act on a prediction accompanied by a clear account of its drivers (Springer, 2025). Blockchain-based traceability has documented value for agricultural data integrity, with distributed-ledger systems already deployed for livestock and product traceability in comparable contexts (UNDP, 2021; Marchese &amp; Tomarchio, 2022), and Hedera's hashgraph consensus algorithm specifically offers asynchronous Byzantine fault tolerance with 3–5 second finality and materially lower transaction costs than proof-of-work blockchains (Baird et al., n.d.), making it a practical choice for anchoring high-frequency farm records rather than only high-value transactions. Tokenised incentive research demonstrates that a blockchain-issued reward, allocated in proportion to genuine data or resource contribution, measurably increases participation in the underlying system (Pandey et al., 2022), which speaks directly to the persistent farm-data-logging problem FMIS research identifies (Friedman et al., 2024).</w:t>
      </w:r>
    </w:p>
    <w:p>
      <w:pPr>
        <w:spacing w:after="200" w:line="360" w:lineRule="auto"/>
        <w:jc w:val="both"/>
      </w:pPr>
      <w:r>
        <w:rPr>
          <w:rFonts w:ascii="Times New Roman" w:hAnsi="Times New Roman" w:eastAsia="Times New Roman"/>
          <w:b w:val="0"/>
          <w:i w:val="0"/>
          <w:sz w:val="24"/>
        </w:rPr>
        <w:t>Finally, accessibility evidence from Kenya and Uganda consistently finds that mobile-first, low-bandwidth channels are what actually reach smallholder farmers, that farmers already improvise using messaging apps such as WhatsApp for agricultural information exchange, and that cost of data and digital literacy — not device ownership alone — are the binding constraints on digital agriculture adoption (Kansiime et al., 2022; Coggins et al., 2022; GSMA &amp; IDH Farmfit, 2020). Despite this evidence base for each individual component, no documented platform integrates unsupervised alternative credit scoring, explainable production forecasting, blockchain-anchored trust with tokenised incentives, and low-connectivity-appropriate delivery into a single system built around a smallholder farm's own routine records. This integration gap is what justifies FarmIQ: not the invention of any one underlying technique, but the demonstration that these already-validated techniques can be combined around a single, low-friction data-entry surface so that the record-keeping a farmer already needs to do becomes, at the same time, the evidentiary basis for formal financial recognition.</w:t>
      </w:r>
    </w:p>
    <w:p>
      <w:pPr>
        <w:pStyle w:val="Heading2"/>
        <w:keepNext/>
        <w:spacing w:before="320" w:after="160"/>
      </w:pPr>
      <w:r>
        <w:rPr>
          <w:rFonts w:ascii="Times New Roman" w:hAnsi="Times New Roman" w:eastAsia="Times New Roman"/>
          <w:b/>
          <w:i w:val="0"/>
          <w:color w:val="1E3A5F"/>
          <w:sz w:val="28"/>
        </w:rPr>
        <w:t>1.6 Scope</w:t>
      </w:r>
    </w:p>
    <w:p>
      <w:pPr>
        <w:spacing w:after="200" w:line="360" w:lineRule="auto"/>
        <w:jc w:val="both"/>
      </w:pPr>
      <w:r>
        <w:rPr>
          <w:rFonts w:ascii="Times New Roman" w:hAnsi="Times New Roman" w:eastAsia="Times New Roman"/>
          <w:b w:val="0"/>
          <w:i w:val="0"/>
          <w:sz w:val="24"/>
        </w:rPr>
        <w:t>This study covers the design, development, and evaluation of FarmIQ, a Django-based Progressive Web Application deployed on serverless infrastructure (Vercel), backed by a relational database (SQLite in development, managed PostgreSQL in production). The technical implementation encompasses: a multi-tenant, role-based farm management core covering herd records (registration, milk and feeding records, health records, weight tracking, and a reproduction/breeding calendar), crop lifecycle tracking integrated with GPS-surveyed field boundaries, an income/expense finance ledger, stock/inventory management with automatic movement-driven balances, task assignment with recurrence, and a rule-based farm insights engine; a machine learning subsystem that trains a ridge regression model on a farm's own recorded data at request time to forecast milk yield at cow, block, and farm scope, with exact closed-form per-feature explanations; an unsupervised alternative credit-scoring engine that standardises ten cross-domain farm health features, reduces them via Principal Component Analysis to a single composite score, ranks each farm by percentile against its eligible peer population, and derives discrete score tiers via K-means clustering, with a deterministic composite fallback for populations too small to rank meaningfully; a Hedera Hashgraph blockchain layer that mints non-fungible tokens for cow and harvest registrations, mints a fungible "FIQ" reward token for logging farm activity and completing tasks, and anchors SHA-256 content hashes of predictions, financial transactions, and credit-score snapshots to the Hedera Consensus Service for tamper-evidence; a notification subsystem spanning in-app activity feeds, Web Push, and WhatsApp Cloud API messaging; offline-first data capture via a service worker and an IndexedDB-backed submission queue; and Kiswahili localisation alongside English. The study does not encompass the actual disbursement of loans or any lending decision — the credit-scoring engine produces an assistive, explainable score for use by an external data partner (such as a SACCO, microfinance institution, or insurer), not a lending decision itself; nor does it encompass dedicated IoT sensor hardware, a native mobile application, or a multi-institution field deployment beyond the platform's pilot use with Miginon Farm.</w:t>
      </w:r>
    </w:p>
    <w:p>
      <w:pPr>
        <w:spacing w:after="200" w:line="360" w:lineRule="auto"/>
        <w:jc w:val="both"/>
      </w:pPr>
      <w:r>
        <w:rPr>
          <w:rFonts w:ascii="Times New Roman" w:hAnsi="Times New Roman" w:eastAsia="Times New Roman"/>
          <w:b w:val="0"/>
          <w:i w:val="0"/>
          <w:sz w:val="24"/>
        </w:rPr>
        <w:t>The study draws on primary data comprising the farm-recorded operational data generated through ordinary use of the platform (milk, feeding, health, weight, crop, finance, inventory, and task records), and secondary data comprising the published literature on alternative credit scoring, agricultural machine learning, blockchain traceability, and digital agriculture accessibility referenced throughout this documentation. The geographic and institutional focus is Kenyan smallholder and mixed dairy/crop farming, piloted through Miginon Farm. Core delivered functionality includes: farm and herd record management; on-demand milk-yield forecasting with plain-language explanations; a farm-relative alternative credit score with a category-level and feature-level breakdown, exposed to consenting external data partners through a dedicated API; blockchain-verified herd and harvest registration with a farm-level FIQ reward wallet; GPS field mapping; a rule-based insights dashboard; WhatsApp and push notification delivery; multi-format (CSV, XLSX, PDF) reporting and export; and optional public farm micro-sites for produce listing. The system focuses on decision support, record integrity, and creditworthiness signalling rather than automated financial transactions, physical logistics, or integration with a live payment or lending system.</w:t>
      </w:r>
    </w:p>
    <w:p>
      <w:pPr>
        <w:pStyle w:val="Heading2"/>
        <w:keepNext/>
        <w:spacing w:before="320" w:after="160"/>
      </w:pPr>
      <w:r>
        <w:rPr>
          <w:rFonts w:ascii="Times New Roman" w:hAnsi="Times New Roman" w:eastAsia="Times New Roman"/>
          <w:b/>
          <w:i w:val="0"/>
          <w:color w:val="1E3A5F"/>
          <w:sz w:val="28"/>
        </w:rPr>
        <w:t>1.7 Limitations and Delimitations</w:t>
      </w:r>
    </w:p>
    <w:p>
      <w:pPr>
        <w:pStyle w:val="Heading3"/>
        <w:keepNext/>
        <w:spacing w:before="320" w:after="160"/>
      </w:pPr>
      <w:r>
        <w:rPr>
          <w:rFonts w:ascii="Times New Roman" w:hAnsi="Times New Roman" w:eastAsia="Times New Roman"/>
          <w:b/>
          <w:i w:val="0"/>
          <w:color w:val="334155"/>
          <w:sz w:val="25"/>
        </w:rPr>
        <w:t>1.7.1 Delimitations</w:t>
      </w:r>
    </w:p>
    <w:p>
      <w:pPr>
        <w:spacing w:after="200" w:line="360" w:lineRule="auto"/>
        <w:jc w:val="both"/>
      </w:pPr>
      <w:r>
        <w:rPr>
          <w:rFonts w:ascii="Times New Roman" w:hAnsi="Times New Roman" w:eastAsia="Times New Roman"/>
          <w:b w:val="0"/>
          <w:i w:val="0"/>
          <w:sz w:val="24"/>
        </w:rPr>
        <w:t>This study is deliberately delimited to keep its scope feasible and coherent. Geographically and institutionally, it is delimited to Kenyan smallholder and mixed dairy/crop farming, developed and piloted around a single farm (Miginon Farm), with generalisation to other regions, crops, or livestock types left for future work. Functionally, the credit-scoring engine is delimited to producing an assistive, explainable score and feature breakdown for use by an external data partner; it is explicitly not a lending, underwriting, or loan-disbursement system, and no real loan was issued or evaluated as part of this study. The machine learning scope is delimited to interpretable, closed-form linear models (ridge regression for yield prediction, Principal Component Analysis for score composition) chosen specifically so that exact feature-level explanations could be computed without external explainability libraries; more expressive but less transparent model families (e.g., gradient boosting, deep learning) were deliberately excluded. The blockchain scope is delimited to Hedera Hashgraph, used exclusively for non-fungible registration tokens, a fungible reward token, and consensus-service hash-anchoring; other distributed-ledger platforms and on-chain financial settlement were out of scope. The technology stack — Django, a Progressive Web Application frontend, WhatsApp Cloud API notifications, and serverless deployment with no background task queue — was a deliberate, fixed set of choices rather than a comparative technology evaluation.</w:t>
      </w:r>
    </w:p>
    <w:p>
      <w:pPr>
        <w:pStyle w:val="Heading3"/>
        <w:keepNext/>
        <w:spacing w:before="320" w:after="160"/>
      </w:pPr>
      <w:r>
        <w:rPr>
          <w:rFonts w:ascii="Times New Roman" w:hAnsi="Times New Roman" w:eastAsia="Times New Roman"/>
          <w:b/>
          <w:i w:val="0"/>
          <w:color w:val="334155"/>
          <w:sz w:val="25"/>
        </w:rPr>
        <w:t>1.7.2 Limitations</w:t>
      </w:r>
    </w:p>
    <w:p>
      <w:pPr>
        <w:spacing w:after="200" w:line="360" w:lineRule="auto"/>
        <w:jc w:val="both"/>
      </w:pPr>
      <w:r>
        <w:rPr>
          <w:rFonts w:ascii="Times New Roman" w:hAnsi="Times New Roman" w:eastAsia="Times New Roman"/>
          <w:b w:val="0"/>
          <w:i w:val="0"/>
          <w:sz w:val="24"/>
        </w:rPr>
        <w:t>Despite careful design, several limitations affect the interpretation of this study's outcomes. Most fundamentally, because FarmIQ has never issued a real loan, there is no historical loan-repayment data anywhere in the system against which the credit-scoring engine's predictive validity could be tested; the score is, by design, a population-relative percentile rank of current operational health rather than a probability of default, and this study cannot claim to have validated it against real lending outcomes — only against internal consistency checks (determinism, tier-monotonicity against simulated farm quality, and an independent re-implementation confirming that its explanations sum exactly to the underlying composite). Both the yield-prediction and credit-scoring models require a minimum volume of data before they produce a full result — thirty recorded rows before a per-cow yield model is trained, and eight eligible farms before a population-relative credit score is computed rather than a provisional composite — so their behaviour on a small or newly-onboarded farm population is necessarily less rich than their behaviour at scale. The evaluation in this study is limited to automated unit and integration testing and internal consistency verification; no formal field-based user acceptance testing, System Usability Scale survey, or multi-farm pilot beyond Miginon Farm was conducted, so claims about usability and real-world adoption remain provisional. The system's serverless, no-background-worker architecture recomputes machine learning predictions and insights synchronously on every relevant page view rather than maintaining a persisted, periodically-retrained model, which is a deliberate infrastructure trade-off but means model freshness and computational cost are coupled to user traffic in a way a scheduled-training architecture would not be. Finally, test coverage across the codebase is uneven — concentrated most heavily in the credit-scoring and public-site modules, and comparatively thin in the blockchain integration and core modules — a limitation this study reports honestly in Chapter 6 rather than overstating overall system reliability.</w:t>
      </w:r>
    </w:p>
    <w:p>
      <w:pPr>
        <w:pStyle w:val="Heading1"/>
        <w:keepNext/>
        <w:pageBreakBefore/>
        <w:spacing w:before="80" w:after="200"/>
      </w:pPr>
      <w:r>
        <w:rPr>
          <w:rFonts w:ascii="Times New Roman" w:hAnsi="Times New Roman" w:eastAsia="Times New Roman"/>
          <w:b/>
          <w:i w:val="0"/>
          <w:color w:val="047857"/>
          <w:sz w:val="36"/>
        </w:rPr>
        <w:t>Chapter 2: Literature Review</w:t>
      </w:r>
    </w:p>
    <w:p>
      <w:pPr>
        <w:pStyle w:val="Heading2"/>
        <w:keepNext/>
        <w:spacing w:before="320" w:after="160"/>
      </w:pPr>
      <w:r>
        <w:rPr>
          <w:rFonts w:ascii="Times New Roman" w:hAnsi="Times New Roman" w:eastAsia="Times New Roman"/>
          <w:b/>
          <w:i w:val="0"/>
          <w:color w:val="1E3A5F"/>
          <w:sz w:val="28"/>
        </w:rPr>
        <w:t>2.1 Introduction</w:t>
      </w:r>
    </w:p>
    <w:p>
      <w:pPr>
        <w:spacing w:after="200" w:line="360" w:lineRule="auto"/>
        <w:jc w:val="both"/>
      </w:pPr>
      <w:r>
        <w:rPr>
          <w:rFonts w:ascii="Times New Roman" w:hAnsi="Times New Roman" w:eastAsia="Times New Roman"/>
          <w:b w:val="0"/>
          <w:i w:val="0"/>
          <w:sz w:val="24"/>
        </w:rPr>
        <w:t>This chapter reviews literature relevant to the five technical domains FarmIQ integrates: financial exclusion and alternative credit scoring, the machine learning techniques (Principal Component Analysis, K-means clustering, ridge regression) underlying its predictive components, explainable artificial intelligence, blockchain technology for agricultural traceability and tokenised incentives, and low-connectivity digital accessibility through Progressive Web Applications and mobile messaging. Each domain is individually well-established, yet, as this chapter demonstrates, existing research and deployed systems treat them largely as separate concerns. The chapter closes by synthesising the resulting gaps, comparing FarmIQ against representative existing agri-fintech and farm-management systems, and presenting the conceptual framework that structured FarmIQ's design. Sources reviewed are drawn primarily from peer-reviewed journal articles, conference proceedings, and reputable institutional reports (World Bank, GSMA, IFC, FAO, UNDP) published between 2015 and 2026, prioritising work addressing smallholder and developing-country contexts specifically over general-population findings from formal, high-resource financial and agricultural systems.</w:t>
      </w:r>
    </w:p>
    <w:p>
      <w:pPr>
        <w:pStyle w:val="Heading2"/>
        <w:keepNext/>
        <w:spacing w:before="320" w:after="160"/>
      </w:pPr>
      <w:r>
        <w:rPr>
          <w:rFonts w:ascii="Times New Roman" w:hAnsi="Times New Roman" w:eastAsia="Times New Roman"/>
          <w:b/>
          <w:i w:val="0"/>
          <w:color w:val="1E3A5F"/>
          <w:sz w:val="28"/>
        </w:rPr>
        <w:t>2.2 Financial Exclusion and Credit Access Challenges for Smallholder Farmers</w:t>
      </w:r>
    </w:p>
    <w:p>
      <w:pPr>
        <w:spacing w:after="200" w:line="360" w:lineRule="auto"/>
        <w:jc w:val="both"/>
      </w:pPr>
      <w:r>
        <w:rPr>
          <w:rFonts w:ascii="Times New Roman" w:hAnsi="Times New Roman" w:eastAsia="Times New Roman"/>
          <w:b w:val="0"/>
          <w:i w:val="0"/>
          <w:sz w:val="24"/>
        </w:rPr>
        <w:t>Financial exclusion among smallholder farmers is well documented both in scale and in cause. The World Bank's Global Findex Database, the most comprehensive demand-side financial inclusion dataset available, shows that although account ownership has risen sharply across Sub-Saharan Africa — driven overwhelmingly by mobile money — this progress has not translated into equivalent gains in access to formal credit specifically, leaving large rural and agricultural populations financially included in name (holding a basic account) but still excluded from lending (Demirguc-Kunt et al., 2022). Kenya-specific evidence from Kiplimo et al. (2015), using logistic regression over smallholder survey data, found that the strongest determinants of whether a farmer obtains formal credit are education level, occupation, and access to extension services, while lack of collateral and low literacy actively suppress access — notably, none of these determinants directly measures the farm's own productivity or financial health, meaning a well-run but undereducated or extension-service-disconnected farm may be excluded from credit for reasons unrelated to its actual creditworthiness. Institutional analysis from the Center for Strategic and International Studies frames the supply-side mirror of this problem: formal lenders perceive agriculture as inherently high-risk and view the transaction cost of underwriting large numbers of small, geographically dispersed rural clients as prohibitive relative to the loan sizes involved (Savoy, 2025). GSMA estimates the resulting global smallholder financing gap at approximately USD 170 billion annually, and identifies farm and farmer data capture as one of the central mechanisms by which emerging digital financial services business models are attempting to close it (GSMA, 2025a).</w:t>
      </w:r>
    </w:p>
    <w:p>
      <w:pPr>
        <w:spacing w:after="200" w:line="360" w:lineRule="auto"/>
        <w:jc w:val="both"/>
      </w:pPr>
      <w:r>
        <w:rPr>
          <w:rFonts w:ascii="Times New Roman" w:hAnsi="Times New Roman" w:eastAsia="Times New Roman"/>
          <w:b w:val="0"/>
          <w:i w:val="0"/>
          <w:sz w:val="24"/>
        </w:rPr>
        <w:t>More recent research has begun linking this exclusion directly to digital infrastructure. A panel study across thirty Sub-Saharan African countries found that mobile money and mobile phone penetration have a significant positive long-run effect on agricultural credit access, operating by improving both financial-sector reach and the flow of information available to lenders about rural borrowers (Assi et al., 2025) — a finding that is directly relevant to FarmIQ's premise that a digitally-recorded farm history can itself become the evidentiary basis lenders currently lack. Taken together, this literature establishes both that the smallholder credit gap is large and well-quantified, and that its root cause is not farm-level unviability but the absence of the specific kind of verifiable data formal credit assessment has historically required.</w:t>
      </w:r>
    </w:p>
    <w:p>
      <w:pPr>
        <w:pStyle w:val="Heading2"/>
        <w:keepNext/>
        <w:spacing w:before="320" w:after="160"/>
      </w:pPr>
      <w:r>
        <w:rPr>
          <w:rFonts w:ascii="Times New Roman" w:hAnsi="Times New Roman" w:eastAsia="Times New Roman"/>
          <w:b/>
          <w:i w:val="0"/>
          <w:color w:val="1E3A5F"/>
          <w:sz w:val="28"/>
        </w:rPr>
        <w:t>2.3 Alternative and Algorithmic Credit Scoring Using Non-Traditional Data</w:t>
      </w:r>
    </w:p>
    <w:p>
      <w:pPr>
        <w:spacing w:after="200" w:line="360" w:lineRule="auto"/>
        <w:jc w:val="both"/>
      </w:pPr>
      <w:r>
        <w:rPr>
          <w:rFonts w:ascii="Times New Roman" w:hAnsi="Times New Roman" w:eastAsia="Times New Roman"/>
          <w:b w:val="0"/>
          <w:i w:val="0"/>
          <w:sz w:val="24"/>
        </w:rPr>
        <w:t>Where formal credit-history data is missing, a substantial body of research has examined whether non-traditional data sources can substitute for it. Simumba et al. (2018) argue explicitly, in the context of agricultural microfinance, that credit-decision systems need context-specific, non-financial scoring factors precisely because most agricultural borrowers have no financial history to score in the first place — a direct methodological precedent for FarmIQ's decision to build creditworthiness signals from farm operational data rather than from any financial transaction history. Empirical evaluations of specific alternative-data approaches support this direction: psychometric assessment tools have been shown to extend credit to "thin-file" applicants who would otherwise be rejected by conventional screening, without increasing portfolio default risk (Arraiz et al., 2017), and behavioural signatures extracted from mobile phone call-detail records have been shown to predict loan repayment about as accurately as a traditional credit bureau score (Bjorkegren &amp; Grissen, 2018). The FAO's Science, Technology and Innovation portal corroborates that this is now an active, recognised field of deployed practice rather than only academic proposal, documenting platforms that combine farm performance metrics, satellite imagery, and mobile money transaction records with machine learning to assess smallholder creditworthiness directly (FAO STI Portal, n.d.).</w:t>
      </w:r>
    </w:p>
    <w:p>
      <w:pPr>
        <w:spacing w:after="200" w:line="360" w:lineRule="auto"/>
        <w:jc w:val="both"/>
      </w:pPr>
      <w:r>
        <w:rPr>
          <w:rFonts w:ascii="Times New Roman" w:hAnsi="Times New Roman" w:eastAsia="Times New Roman"/>
          <w:b w:val="0"/>
          <w:i w:val="0"/>
          <w:sz w:val="24"/>
        </w:rPr>
        <w:t>These alternative-data approaches remain, almost without exception, supervised: they are trained to predict a historical, labelled outcome — typically loan default or repayment — using non-traditional features as predictors. Bao et al. (2019) illustrate this pattern even in work that explicitly incorporates unsupervised methods, proposing a hybrid approach that combines unsupervised clustering (k-means, self-organising maps) with a supervised classifier for credit risk assessment; the clustering step is used to enrich the feature space or segment the population, but the model as a whole is still ultimately trained against known default labels. This dependence on labelled outcomes is precisely what a platform such as FarmIQ cannot satisfy: having never issued a real loan, it has no repayment data anywhere in its system to serve as a training label. A genuinely label-free, purely unsupervised approach — one that assesses a farm's creditworthiness relative to its peers using only the farm's own operational data, without any historical outcome to learn from — is comparatively rare in the credit-scoring literature specifically, which represents a methodological gap FarmIQ's design is positioned to address (see Section 2.13).</w:t>
      </w:r>
    </w:p>
    <w:p>
      <w:pPr>
        <w:pStyle w:val="Heading2"/>
        <w:keepNext/>
        <w:spacing w:before="320" w:after="160"/>
      </w:pPr>
      <w:r>
        <w:rPr>
          <w:rFonts w:ascii="Times New Roman" w:hAnsi="Times New Roman" w:eastAsia="Times New Roman"/>
          <w:b/>
          <w:i w:val="0"/>
          <w:color w:val="1E3A5F"/>
          <w:sz w:val="28"/>
        </w:rPr>
        <w:t>2.4 Unsupervised Machine Learning for Scoring and Segmentation</w:t>
      </w:r>
    </w:p>
    <w:p>
      <w:pPr>
        <w:spacing w:after="200" w:line="360" w:lineRule="auto"/>
        <w:jc w:val="both"/>
      </w:pPr>
      <w:r>
        <w:rPr>
          <w:rFonts w:ascii="Times New Roman" w:hAnsi="Times New Roman" w:eastAsia="Times New Roman"/>
          <w:b w:val="0"/>
          <w:i w:val="0"/>
          <w:sz w:val="24"/>
        </w:rPr>
        <w:t>Two established unsupervised techniques underpin FarmIQ's approach to this gap: dimensionality reduction and clustering. Principal Component Analysis (PCA) is a long-standing and still actively developed method for reducing a set of correlated variables to a smaller number of uncorrelated components that retain most of the original variance, improving both interpretability and computational tractability (Jolliffe &amp; Cadima, 2016); because each component is a linear combination of the original features, the exact contribution of any input feature to the resulting component can be recovered directly from the model's own coefficients, without requiring a separate post-hoc explanation technique. K-means clustering remains, more than fifty years after its introduction, the dominant unsupervised method for grouping unlabelled data by similarity, precisely because it requires no outcome labels and scales well to the kind of numeric, standardised feature matrices PCA produces (Jain, 2010). Recent work has begun connecting dimensionality reduction directly to credit scoring: Miljkovic and Wang (2024) propose a dimension-reduction-based credit scoring method for high-dimensional categorical banking data and benchmark it explicitly against classical PCA, finding it improves scoring accuracy while retaining feature-level interpretability — evidence that PCA-based approaches to credit scoring are both methodologically sound and an active area of ongoing refinement, not an outdated technique. FarmIQ's credit-scoring engine draws directly on this combination, using PCA to derive a single, sign-corrected composite health score for percentile-ranking a farm against its peers, and K-means clustering on the same standardised feature space to derive discrete score tiers — an application of established unsupervised methods to a use case (label-free, population-relative smallholder credit assessment) that remains under-explored in the literature reviewed in Section 2.3.</w:t>
      </w:r>
    </w:p>
    <w:p>
      <w:pPr>
        <w:pStyle w:val="Heading2"/>
        <w:keepNext/>
        <w:spacing w:before="320" w:after="160"/>
      </w:pPr>
      <w:r>
        <w:rPr>
          <w:rFonts w:ascii="Times New Roman" w:hAnsi="Times New Roman" w:eastAsia="Times New Roman"/>
          <w:b/>
          <w:i w:val="0"/>
          <w:color w:val="1E3A5F"/>
          <w:sz w:val="28"/>
        </w:rPr>
        <w:t>2.5 Explainable AI in Financial and Agricultural Decision Support</w:t>
      </w:r>
    </w:p>
    <w:p>
      <w:pPr>
        <w:spacing w:after="200" w:line="360" w:lineRule="auto"/>
        <w:jc w:val="both"/>
      </w:pPr>
      <w:r>
        <w:rPr>
          <w:rFonts w:ascii="Times New Roman" w:hAnsi="Times New Roman" w:eastAsia="Times New Roman"/>
          <w:b w:val="0"/>
          <w:i w:val="0"/>
          <w:sz w:val="24"/>
        </w:rPr>
        <w:t>A recurring concern across both the credit-scoring and agricultural-prediction literature is that a numeric output alone — a score, a probability, a forecast — is insufficient to build user trust or support informed action unless it is accompanied by an interpretable account of what drove it. Ribeiro et al. (2016) introduced LIME specifically to address this, arguing that trust in a model's prediction, which is a prerequisite for a human acting on it, requires a locally faithful, human-interpretable explanation of any classifier's output regardless of the underlying model's complexity. Lundberg and Lee (2017) generalised this concern with SHAP, providing a theoretically grounded, consistent framework for attributing a model's output to its input features. Both techniques are approximations designed for models whose internal structure does not itself expose feature contributions; where a model is linear by construction — as both FarmIQ's ridge regression yield predictor and its PCA-based credit score are — the equivalent feature-level explanation can instead be computed exactly, in closed form, as the product of each feature's coefficient (or component loading) and its standardised value, without needing to approximate anything. This is directly relevant to credit scoring specifically: Nallakaruppan et al. (2024) propose an explainable AI framework built around credit evaluation models, motivated explicitly by the transparency and trustworthiness concerns automated credit decisioning raises, reinforcing that explainability is not a generic machine learning nicety but a specific, recognised requirement wherever an automated system produces a number that could gate a person's access to money. Comparable work in agricultural yield prediction applies SHAP-based explanation to build farmer and advisor trust in yield forecasts, again treating explainability as necessary for adoption rather than optional polish (Springer, 2025; Neural Computing and Applications, 2024). FarmIQ's design follows this evidence by using only closed-form-explainable models for both its scoring and prediction subsystems, prioritising exact, verifiable explanations over the marginal accuracy gains a more opaque model family might otherwise offer.</w:t>
      </w:r>
    </w:p>
    <w:p>
      <w:pPr>
        <w:pStyle w:val="Heading2"/>
        <w:keepNext/>
        <w:spacing w:before="320" w:after="160"/>
      </w:pPr>
      <w:r>
        <w:rPr>
          <w:rFonts w:ascii="Times New Roman" w:hAnsi="Times New Roman" w:eastAsia="Times New Roman"/>
          <w:b/>
          <w:i w:val="0"/>
          <w:color w:val="1E3A5F"/>
          <w:sz w:val="28"/>
        </w:rPr>
        <w:t>2.6 Machine Learning for Livestock Production Forecasting</w:t>
      </w:r>
    </w:p>
    <w:p>
      <w:pPr>
        <w:spacing w:after="200" w:line="360" w:lineRule="auto"/>
        <w:jc w:val="both"/>
      </w:pPr>
      <w:r>
        <w:rPr>
          <w:rFonts w:ascii="Times New Roman" w:hAnsi="Times New Roman" w:eastAsia="Times New Roman"/>
          <w:b w:val="0"/>
          <w:i w:val="0"/>
          <w:sz w:val="24"/>
        </w:rPr>
        <w:t>Machine learning-based prediction of dairy milk yield is an established and currently active area of agricultural research. Hooker et al. (2025) trained and compared ridge regression, gradient boosting, and random forest models on data from 1,312 commercial dairy cows to predict short-term milk yield from behavioural, milking-system, and environmental data, finding that ridge regression performed competitively against the more complex ensemble methods while remaining substantially more interpretable — direct evidence supporting FarmIQ's choice of ridge regression as its yield-prediction method rather than a more opaque ensemble model. Related work using within-herd relative data to model genotype-by-environment interaction in daily milk yield prediction further confirms that regression-based approaches remain an actively researched, credible method in dairy science rather than an outdated baseline (Journal of Dairy Science, 2022). Both studies also reinforce a practical point directly relevant to FarmIQ's design: behavioural and environmental features materially improve prediction accuracy in exactly the situation where historical yield data is sparse, which is the typical situation for a newly-registered cow or a smallholder farm early in its use of a digital platform.</w:t>
      </w:r>
    </w:p>
    <w:p>
      <w:pPr>
        <w:pStyle w:val="Heading2"/>
        <w:keepNext/>
        <w:spacing w:before="320" w:after="160"/>
      </w:pPr>
      <w:r>
        <w:rPr>
          <w:rFonts w:ascii="Times New Roman" w:hAnsi="Times New Roman" w:eastAsia="Times New Roman"/>
          <w:b/>
          <w:i w:val="0"/>
          <w:color w:val="1E3A5F"/>
          <w:sz w:val="28"/>
        </w:rPr>
        <w:t>2.7 Blockchain Technology for Agricultural Traceability and Trust</w:t>
      </w:r>
    </w:p>
    <w:p>
      <w:pPr>
        <w:spacing w:after="200" w:line="360" w:lineRule="auto"/>
        <w:jc w:val="both"/>
      </w:pPr>
      <w:r>
        <w:rPr>
          <w:rFonts w:ascii="Times New Roman" w:hAnsi="Times New Roman" w:eastAsia="Times New Roman"/>
          <w:b w:val="0"/>
          <w:i w:val="0"/>
          <w:sz w:val="24"/>
        </w:rPr>
        <w:t>Blockchain and distributed ledger technology have been repeatedly proposed and deployed to address trust and traceability gaps in agricultural data. Marchese and Tomarchio (2022) present a fully distributed blockchain-based system for agri-food supply chain traceability, arguing it guarantees data quality and integrity in a way conventional centralised record systems cannot, because no single party can quietly alter a historical record without detection. A related architecture combining the Internet of Things with blockchain for agricultural product traceability demonstrates the same underlying principle — an immutable ledger structure prevents tampering with process data and can detect malicious or faulty data-reporting nodes (Mathematical Problems in Engineering, 2022). The United Nations Development Programme's review of blockchain for agri-food traceability documents concrete deployed examples, including livestock traceability systems operating in Vietnam, and frames blockchain's core value proposition in development contexts as creating tamper-resistant, auditable records for value chains that otherwise depend on informal trust (UNDP, 2021). Hedera Hashgraph, the specific platform FarmIQ uses, achieves this guarantee through an asynchronous Byzantine Fault Tolerant consensus algorithm — the strongest formal security classification available to a distributed system — while offering transaction finality in three to five seconds and, through its Consensus Service, the ability to timestamp and sequence an arbitrary hash message on a public ledger without requiring a full token transaction for every record (Hedera, n.d.-a; Hedera, n.d.-b). This distinction matters for FarmIQ's design: rather than recording every farm event as an on-chain financial transaction, the platform submits only a SHA-256 hash of a record's content to a Hedera Consensus Service topic, allowing any party to independently recompute the hash from the underlying database record and confirm it has not been altered, without exposing the record's actual contents on a public ledger.</w:t>
      </w:r>
    </w:p>
    <w:p>
      <w:pPr>
        <w:pStyle w:val="Heading2"/>
        <w:keepNext/>
        <w:spacing w:before="320" w:after="160"/>
      </w:pPr>
      <w:r>
        <w:rPr>
          <w:rFonts w:ascii="Times New Roman" w:hAnsi="Times New Roman" w:eastAsia="Times New Roman"/>
          <w:b/>
          <w:i w:val="0"/>
          <w:color w:val="1E3A5F"/>
          <w:sz w:val="28"/>
        </w:rPr>
        <w:t>2.8 Tokenised Incentives for Data Contribution</w:t>
      </w:r>
    </w:p>
    <w:p>
      <w:pPr>
        <w:spacing w:after="200" w:line="360" w:lineRule="auto"/>
        <w:jc w:val="both"/>
      </w:pPr>
      <w:r>
        <w:rPr>
          <w:rFonts w:ascii="Times New Roman" w:hAnsi="Times New Roman" w:eastAsia="Times New Roman"/>
          <w:b w:val="0"/>
          <w:i w:val="0"/>
          <w:sz w:val="24"/>
        </w:rPr>
        <w:t>A separate strand of blockchain-adjacent literature addresses whether a token, issued on a blockchain, can be used deliberately to increase participants' willingness to contribute data or effort to a system. Pandey et al. (2022) propose FedToken, a blockchain-backed incentive scheme that allocates tokens to participants in a federated system in proportion to the estimated value of their data contribution, demonstrating that a fairly-designed token incentive can be used specifically to encourage sustained data contribution rather than only to reward passive holding. Empirical work in information systems research has found that token-based incentive mechanisms causally affect contributor behaviour and output quality on blockchain-based platforms, providing evidence that the "token-for-behaviour" logic is not merely theoretical (Information Systems Research, 2023). Consumer-behaviour research on gamified cryptocurrency rewards — including play-to-earn models — further shows that reward-for-activity token systems can meaningfully drive engagement, while also cautioning that reward-value volatility introduces a sustainability risk that a token-incentive design must account for (Ahsan &amp; Gupta, 2024). This literature directly informs FarmIQ's FIQ reward token, which mints a platform-wide, farm-pooled token for actions such as cow registration, harvest logging, milk certification, and task completion, deliberately batching some reward triggers (rather than minting on every single data entry) to avoid both transaction cost and the incentive-volatility concerns this literature raises.</w:t>
      </w:r>
    </w:p>
    <w:p>
      <w:pPr>
        <w:pStyle w:val="Heading2"/>
        <w:keepNext/>
        <w:spacing w:before="320" w:after="160"/>
      </w:pPr>
      <w:r>
        <w:rPr>
          <w:rFonts w:ascii="Times New Roman" w:hAnsi="Times New Roman" w:eastAsia="Times New Roman"/>
          <w:b/>
          <w:i w:val="0"/>
          <w:color w:val="1E3A5F"/>
          <w:sz w:val="28"/>
        </w:rPr>
        <w:t>2.9 Progressive Web Applications and Mobile Messaging for Low-Connectivity Rural Contexts</w:t>
      </w:r>
    </w:p>
    <w:p>
      <w:pPr>
        <w:spacing w:after="200" w:line="360" w:lineRule="auto"/>
        <w:jc w:val="both"/>
      </w:pPr>
      <w:r>
        <w:rPr>
          <w:rFonts w:ascii="Times New Roman" w:hAnsi="Times New Roman" w:eastAsia="Times New Roman"/>
          <w:b w:val="0"/>
          <w:i w:val="0"/>
          <w:sz w:val="24"/>
        </w:rPr>
        <w:t>Progressive Web Applications (PWAs) have been proposed as a practical alternative to native mobile applications specifically because they avoid app-store distribution friction, run across heterogeneous low-end devices, and can cache an application shell for offline availability through a service worker (IEEE, 2018a). Technical work on PWA background synchronisation describes the architectural pattern — a service worker queuing actions performed while offline and automatically retrying them once connectivity returns — that underlies exactly the kind of offline-first data capture a rural, intermittently-connected user needs (IEEE, 2018b). No single peer-reviewed source in the literature reviewed combines this PWA architecture claim directly with African or developing-region connectivity data; however, connectivity-constraint evidence from the region is well established independently. GSMA and IDH Farmfit's mapping of the digital agriculture sector found that only around 30 percent of Sub-Saharan African farmers use any digital agricultural solution, rural internet penetration across the region was approximately 26 percent, and a persistent gender gap leaves women farmers roughly 13 percent less likely to own a phone at all (GSMA &amp; IDH Farmfit, 2020) — the specific connectivity and access constraints a PWA's offline-first, low-bandwidth design is intended to mitigate.</w:t>
      </w:r>
    </w:p>
    <w:p>
      <w:pPr>
        <w:spacing w:after="200" w:line="360" w:lineRule="auto"/>
        <w:jc w:val="both"/>
      </w:pPr>
      <w:r>
        <w:rPr>
          <w:rFonts w:ascii="Times New Roman" w:hAnsi="Times New Roman" w:eastAsia="Times New Roman"/>
          <w:b w:val="0"/>
          <w:i w:val="0"/>
          <w:sz w:val="24"/>
        </w:rPr>
        <w:t>Kenya- and Uganda-specific survey evidence reinforces both the constraint and the channel choice. Kansiime et al. (2022), surveying 436 farmers across the two countries, found that 78 percent already use some electronic advisory source, overwhelmingly radio, and identified digital literacy and the cost of internet and devices — not the absence of any digital behaviour at all — as the dominant barriers, with women and elderly farmers particularly disadvantaged; the study explicitly recommends blending digital channels with more familiar, already-adopted ones rather than replacing them outright. A cross-regional study of how smallholder farmers actually use digital extension tools found that farmers frequently repurpose general-purpose chat applications — WhatsApp specifically named among them — and ordinary phone calls for agricultural information exchange, rather than adopting purpose-built platforms passively provided to them (Coggins et al., 2022). Kenya-specific research on digital agricultural extension similarly finds mobile apps and radio to be the most-used digital channels, with poor rural connectivity, high internet cost, and low digital literacy constraining further adoption even as interest in emerging tools such as AI and blockchain grows (Okello et al., 2026). This body of evidence directly supports FarmIQ's decision to deliver notifications through WhatsApp — a channel farmers already use on their own initiative — rather than requiring adoption of a dedicated messaging surface, while its PWA frontend's offline-first design addresses the connectivity constraint the same literature identifies as the primary remaining barrier.</w:t>
      </w:r>
    </w:p>
    <w:p>
      <w:pPr>
        <w:pStyle w:val="Heading2"/>
        <w:keepNext/>
        <w:spacing w:before="320" w:after="160"/>
      </w:pPr>
      <w:r>
        <w:rPr>
          <w:rFonts w:ascii="Times New Roman" w:hAnsi="Times New Roman" w:eastAsia="Times New Roman"/>
          <w:b/>
          <w:i w:val="0"/>
          <w:color w:val="1E3A5F"/>
          <w:sz w:val="28"/>
        </w:rPr>
        <w:t>2.10 Farm Management Information Systems: Current State and Gaps for Smallholders</w:t>
      </w:r>
    </w:p>
    <w:p>
      <w:pPr>
        <w:spacing w:after="200" w:line="360" w:lineRule="auto"/>
        <w:jc w:val="both"/>
      </w:pPr>
      <w:r>
        <w:rPr>
          <w:rFonts w:ascii="Times New Roman" w:hAnsi="Times New Roman" w:eastAsia="Times New Roman"/>
          <w:b w:val="0"/>
          <w:i w:val="0"/>
          <w:sz w:val="24"/>
        </w:rPr>
        <w:t>Farm Management Information Systems (FMIS) research provides the baseline against which FarmIQ's smallholder-oriented design can be assessed. Fountas et al. (2015), in a review evaluating 184 commercial FMIS products from 130 vendors, found that most farm activity across the sector goes systematically unlogged and that the data that is captured remains fragmented across incompatible systems — establishing, even a decade ago, that the FMIS market was not solving farm record-keeping comprehensively even for the commercial operations it targeted. More recent human-computer interaction fieldwork sharpens this finding for the smallholder segment specifically: Friedman et al. (2024), through farm visits and semi-structured interviews with small-to-medium farmers, found that most rely on ad hoc, informal data-collection habits rather than any formal FMIS, citing technology scepticism and low technical confidence as central barriers — evidence that the FMIS gap for smallholders is not simply that no product exists, but that existing products are not designed around how smallholders actually behave. A systematic review of artificial intelligence adoption across East African agriculture confirms the pattern holds specifically for AI-enabled tools: precision-agriculture, advisory, and monitoring applications show real technical promise in the region, but adoption among smallholders remains low and uneven due to infrastructure gaps, limited digital skills, cost, and weak integration with the institutions — lenders, cooperatives, extension services — that would need to act on the resulting data (Shitaye et al., 2026). Together, this literature establishes that the FMIS gap for smallholders is threefold: existing systems are designed for a different (larger, more formal) class of user, the effort of data entry is not compensated by any immediate benefit to the farmer performing it, and even where farm data is captured, it is rarely connected onward to the financial institutions that could use it.</w:t>
      </w:r>
    </w:p>
    <w:p>
      <w:pPr>
        <w:pStyle w:val="Heading2"/>
        <w:keepNext/>
        <w:spacing w:before="320" w:after="160"/>
      </w:pPr>
      <w:r>
        <w:rPr>
          <w:rFonts w:ascii="Times New Roman" w:hAnsi="Times New Roman" w:eastAsia="Times New Roman"/>
          <w:b/>
          <w:i w:val="0"/>
          <w:color w:val="1E3A5F"/>
          <w:sz w:val="28"/>
        </w:rPr>
        <w:t>2.11 Synthesis of Key Challenges in Current Literature</w:t>
      </w:r>
    </w:p>
    <w:p>
      <w:pPr>
        <w:spacing w:after="200" w:line="360" w:lineRule="auto"/>
        <w:jc w:val="both"/>
      </w:pPr>
      <w:r>
        <w:rPr>
          <w:rFonts w:ascii="Times New Roman" w:hAnsi="Times New Roman" w:eastAsia="Times New Roman"/>
          <w:b w:val="0"/>
          <w:i w:val="0"/>
          <w:sz w:val="24"/>
        </w:rPr>
        <w:t>Read together, the literature reviewed in this chapter identifies five distinct but interlocking gaps. First, alternative credit scoring for populations lacking a formal credit history is an active and validated research area, but almost every documented approach — including hybrid approaches that incorporate unsupervised methods — is still ultimately trained against historical, labelled loan-repayment outcomes (Bao et al., 2019; Arraiz et al., 2017; Bjorkegren &amp; Grissen, 2018), leaving a genuinely label-free, purely unsupervised, population-relative scoring method comparatively unexplored for platforms with no lending history of their own to learn from. Second, while PCA and K-means are individually well-established and PCA-based dimensionality reduction has begun to be applied to credit scoring directly (Jolliffe &amp; Cadima, 2016; Jain, 2010; Miljkovic &amp; Wang, 2024), their combined use for smallholder-specific, cold-start-resilient credit assessment — with explicit fallback behaviour for small peer populations — is not documented in the reviewed literature. Third, explainability research strongly establishes that automated predictions and scores require interpretable justification to be trusted and acted on, particularly in financial decisioning (Ribeiro et al., 2016; Lundberg &amp; Lee, 2017; Nallakaruppan et al., 2024), yet FMIS and agri-fintech systems reviewed rarely expose this explanation as an exact, independently-verifiable computation rather than an approximated one. Fourth, blockchain-based agricultural traceability and tokenised data-contribution incentives are each independently validated (Marchese &amp; Tomarchio, 2022; UNDP, 2021; Pandey et al., 2022), but are not documented as being combined with either production forecasting or credit scoring in a single integrated platform. Fifth, accessibility research consistently identifies connectivity cost, digital literacy, and reliance on already-adopted channels such as WhatsApp as the binding constraints on smallholder digital agriculture adoption (Kansiime et al., 2022; Coggins et al., 2022; GSMA &amp; IDH Farmfit, 2020), yet FMIS literature shows mainstream farm-management tools are still designed around assumptions — dedicated applications, sustained connectivity, formal operational scale — that do not fit this reality (Fountas et al., 2015; Friedman et al., 2024). No system documented in the literature reviewed integrates all five: unsupervised, cold-start-resilient credit scoring; exact closed-form explainability; blockchain-anchored trust with tokenised participation incentives; interpretable production forecasting; and low-connectivity-appropriate delivery, built around a single smallholder farm's own routine records. This is the integration gap FarmIQ is positioned to address.</w:t>
      </w:r>
    </w:p>
    <w:p>
      <w:pPr>
        <w:pStyle w:val="Heading2"/>
        <w:keepNext/>
        <w:spacing w:before="320" w:after="160"/>
      </w:pPr>
      <w:r>
        <w:rPr>
          <w:rFonts w:ascii="Times New Roman" w:hAnsi="Times New Roman" w:eastAsia="Times New Roman"/>
          <w:b/>
          <w:i w:val="0"/>
          <w:color w:val="1E3A5F"/>
          <w:sz w:val="28"/>
        </w:rPr>
        <w:t>2.12 Related Works</w:t>
      </w:r>
    </w:p>
    <w:p>
      <w:pPr>
        <w:spacing w:after="200" w:line="360" w:lineRule="auto"/>
        <w:jc w:val="both"/>
      </w:pPr>
      <w:r>
        <w:rPr>
          <w:rFonts w:ascii="Times New Roman" w:hAnsi="Times New Roman" w:eastAsia="Times New Roman"/>
          <w:b w:val="0"/>
          <w:i w:val="0"/>
          <w:sz w:val="24"/>
        </w:rPr>
        <w:t>This section compares FarmIQ against three representative categories of existing system: data-driven agri-fintech lending platforms, generic commercial Farm Management Information Systems, and blockchain-based agricultural traceability platforms, to position FarmIQ's contribution within the current landscape.</w:t>
      </w:r>
    </w:p>
    <w:p>
      <w:pPr>
        <w:spacing w:after="200" w:line="360" w:lineRule="auto"/>
        <w:jc w:val="both"/>
      </w:pPr>
      <w:r>
        <w:rPr>
          <w:rFonts w:ascii="Times New Roman" w:hAnsi="Times New Roman" w:eastAsia="Times New Roman"/>
          <w:b/>
          <w:i w:val="0"/>
          <w:sz w:val="24"/>
        </w:rPr>
        <w:t>Apollo Agriculture and comparable agri-fintech lenders (Apollo Agriculture, Pula, Tulaa).</w:t>
      </w:r>
      <w:r>
        <w:rPr>
          <w:rFonts w:ascii="Times New Roman" w:hAnsi="Times New Roman" w:eastAsia="Times New Roman"/>
          <w:b w:val="0"/>
          <w:i w:val="0"/>
          <w:sz w:val="24"/>
        </w:rPr>
        <w:t xml:space="preserve"> Apollo Agriculture, operating in Kenya and Zambia, uses machine learning-driven credit assessment — identity verification, satellite field coordinates, and farm data — bundled with input supply, advisory, and insurance to underwrite loans for smallholders with no formal credit history (GSMA, 2025b). The International Finance Corporation's market mapping of agri-fintech financing in Sub-Saharan Africa documents a similar bundled input-finance-insurance model across Apollo Agriculture, Pula, and Tulaa, each using alternative farm and behavioural data in place of collateral or credit history (IFC, 2023). These platforms demonstrate the commercial viability of alternative-data lending at scale, but their credit assessment is proprietary, closed, and — consistent with the pattern identified in Section 2.3 — built to directly underwrite a loan the platform itself issues, which requires the platform to eventually accumulate its own repayment-outcome data to refine the model. FarmIQ's credit-scoring engine differs in kind rather than only in scale: it produces an explainable, population-relative score for use by an external lending or data partner, computed entirely without any repayment-outcome data, and its methodology and per-feature explanation are inspectable (both internally, and via a partner-facing API that returns the score alongside a verification hash) rather than opaque.</w:t>
      </w:r>
    </w:p>
    <w:p>
      <w:pPr>
        <w:spacing w:after="200" w:line="360" w:lineRule="auto"/>
        <w:jc w:val="both"/>
      </w:pPr>
      <w:r>
        <w:rPr>
          <w:rFonts w:ascii="Times New Roman" w:hAnsi="Times New Roman" w:eastAsia="Times New Roman"/>
          <w:b/>
          <w:i w:val="0"/>
          <w:sz w:val="24"/>
        </w:rPr>
        <w:t>Generic commercial FMIS.</w:t>
      </w:r>
      <w:r>
        <w:rPr>
          <w:rFonts w:ascii="Times New Roman" w:hAnsi="Times New Roman" w:eastAsia="Times New Roman"/>
          <w:b w:val="0"/>
          <w:i w:val="0"/>
          <w:sz w:val="24"/>
        </w:rPr>
        <w:t xml:space="preserve"> As established in Section 2.10, mainstream commercial FMIS products are designed predominantly for large, structured operations with dedicated administrative capacity (Fountas et al., 2015), and even lighter tools are not well-matched to how small and medium farmers actually collect data (Friedman et al., 2024). These systems typically offer no production-forecasting explainability, no blockchain-based tamper-evidence, no built-in incentive for the farmer or farm worker actually performing data entry, and no pathway from farm records to formal credit assessment. FarmIQ's record-keeping core (herd, crop, finance, inventory, and task management) is deliberately comparable in day-to-day function to these systems, but layers a tokenised reward for the same data entry, an on-demand explainable yield forecast, and a credit-scoring pathway on top of records a generic FMIS would otherwise leave as a closed loop with no further use.</w:t>
      </w:r>
    </w:p>
    <w:p>
      <w:pPr>
        <w:spacing w:after="200" w:line="360" w:lineRule="auto"/>
        <w:jc w:val="both"/>
      </w:pPr>
      <w:r>
        <w:rPr>
          <w:rFonts w:ascii="Times New Roman" w:hAnsi="Times New Roman" w:eastAsia="Times New Roman"/>
          <w:b/>
          <w:i w:val="0"/>
          <w:sz w:val="24"/>
        </w:rPr>
        <w:t>Blockchain agri-traceability platforms.</w:t>
      </w:r>
      <w:r>
        <w:rPr>
          <w:rFonts w:ascii="Times New Roman" w:hAnsi="Times New Roman" w:eastAsia="Times New Roman"/>
          <w:b w:val="0"/>
          <w:i w:val="0"/>
          <w:sz w:val="24"/>
        </w:rPr>
        <w:t xml:space="preserve"> Systems such as those reviewed in Section 2.7 (Marchese &amp; Tomarchio, 2022; UNDP-documented livestock traceability deployments) demonstrate blockchain's value for tamper-evident agricultural records, typically at the scale of a formal supply chain tracking a product from farm to consumer. These systems are not designed around an individual smallholder's day-to-day operational records, do not incorporate machine learning-based forecasting or credit scoring, and generally require either a formal supply-chain participant or dedicated technical infrastructure to operate. FarmIQ applies the same underlying tamper-evidence principle — a content hash anchored to a public, timestamped ledger — but at the scale of an individual farm's predictions, transactions, and credit-score snapshots, using a best-effort, silently-degrading integration so that a Hedera outage never blocks the underlying farm-management action.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1FAE5"/>
          </w:tcPr>
          <w:p>
            <w:r/>
            <w:r>
              <w:rPr>
                <w:rFonts w:ascii="Times New Roman" w:hAnsi="Times New Roman" w:eastAsia="Times New Roman"/>
                <w:b/>
                <w:i w:val="0"/>
                <w:sz w:val="20"/>
              </w:rPr>
              <w:t>Capability</w:t>
            </w:r>
          </w:p>
        </w:tc>
        <w:tc>
          <w:tcPr>
            <w:tcW w:type="dxa" w:w="1728"/>
            <w:shd w:fill="D1FAE5"/>
          </w:tcPr>
          <w:p>
            <w:r/>
            <w:r>
              <w:rPr>
                <w:rFonts w:ascii="Times New Roman" w:hAnsi="Times New Roman" w:eastAsia="Times New Roman"/>
                <w:b/>
                <w:i w:val="0"/>
                <w:sz w:val="20"/>
              </w:rPr>
              <w:t>Apollo Agriculture / Pula / Tulaa (agri-fintech lenders)</w:t>
            </w:r>
          </w:p>
        </w:tc>
        <w:tc>
          <w:tcPr>
            <w:tcW w:type="dxa" w:w="1728"/>
            <w:shd w:fill="D1FAE5"/>
          </w:tcPr>
          <w:p>
            <w:r/>
            <w:r>
              <w:rPr>
                <w:rFonts w:ascii="Times New Roman" w:hAnsi="Times New Roman" w:eastAsia="Times New Roman"/>
                <w:b/>
                <w:i w:val="0"/>
                <w:sz w:val="20"/>
              </w:rPr>
              <w:t>Generic commercial FMIS</w:t>
            </w:r>
          </w:p>
        </w:tc>
        <w:tc>
          <w:tcPr>
            <w:tcW w:type="dxa" w:w="1728"/>
            <w:shd w:fill="D1FAE5"/>
          </w:tcPr>
          <w:p>
            <w:r/>
            <w:r>
              <w:rPr>
                <w:rFonts w:ascii="Times New Roman" w:hAnsi="Times New Roman" w:eastAsia="Times New Roman"/>
                <w:b/>
                <w:i w:val="0"/>
                <w:sz w:val="20"/>
              </w:rPr>
              <w:t>Blockchain agri-traceability platforms</w:t>
            </w:r>
          </w:p>
        </w:tc>
        <w:tc>
          <w:tcPr>
            <w:tcW w:type="dxa" w:w="1728"/>
            <w:shd w:fill="D1FAE5"/>
          </w:tcPr>
          <w:p>
            <w:r/>
            <w:r>
              <w:rPr>
                <w:rFonts w:ascii="Times New Roman" w:hAnsi="Times New Roman" w:eastAsia="Times New Roman"/>
                <w:b/>
                <w:i w:val="0"/>
                <w:sz w:val="20"/>
              </w:rPr>
              <w:t>FarmIQ</w:t>
            </w:r>
          </w:p>
        </w:tc>
      </w:tr>
      <w:tr>
        <w:tc>
          <w:tcPr>
            <w:tcW w:type="dxa" w:w="1728"/>
          </w:tcPr>
          <w:p>
            <w:r/>
            <w:r>
              <w:rPr>
                <w:rFonts w:ascii="Times New Roman" w:hAnsi="Times New Roman" w:eastAsia="Times New Roman"/>
                <w:b w:val="0"/>
                <w:i w:val="0"/>
                <w:sz w:val="19"/>
              </w:rPr>
              <w:t>Integrated farm record management (herd, crop, finance, inventory, tasks)</w:t>
            </w:r>
          </w:p>
        </w:tc>
        <w:tc>
          <w:tcPr>
            <w:tcW w:type="dxa" w:w="1728"/>
          </w:tcPr>
          <w:p>
            <w:r/>
            <w:r>
              <w:rPr>
                <w:rFonts w:ascii="Times New Roman" w:hAnsi="Times New Roman" w:eastAsia="Times New Roman"/>
                <w:b w:val="0"/>
                <w:i w:val="0"/>
                <w:sz w:val="19"/>
              </w:rPr>
              <w:t>Partial (data capture in service of lending)</w:t>
            </w:r>
          </w:p>
        </w:tc>
        <w:tc>
          <w:tcPr>
            <w:tcW w:type="dxa" w:w="1728"/>
          </w:tcPr>
          <w:p>
            <w:r/>
            <w:r>
              <w:rPr>
                <w:rFonts w:ascii="Times New Roman" w:hAnsi="Times New Roman" w:eastAsia="Times New Roman"/>
                <w:b w:val="0"/>
                <w:i w:val="0"/>
                <w:sz w:val="19"/>
              </w:rPr>
              <w:t>Yes</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Yes</w:t>
            </w:r>
          </w:p>
        </w:tc>
      </w:tr>
      <w:tr>
        <w:tc>
          <w:tcPr>
            <w:tcW w:type="dxa" w:w="1728"/>
          </w:tcPr>
          <w:p>
            <w:r/>
            <w:r>
              <w:rPr>
                <w:rFonts w:ascii="Times New Roman" w:hAnsi="Times New Roman" w:eastAsia="Times New Roman"/>
                <w:b w:val="0"/>
                <w:i w:val="0"/>
                <w:sz w:val="19"/>
              </w:rPr>
              <w:t>Credit scoring without historical loan-repayment data</w:t>
            </w:r>
          </w:p>
        </w:tc>
        <w:tc>
          <w:tcPr>
            <w:tcW w:type="dxa" w:w="1728"/>
          </w:tcPr>
          <w:p>
            <w:r/>
            <w:r>
              <w:rPr>
                <w:rFonts w:ascii="Times New Roman" w:hAnsi="Times New Roman" w:eastAsia="Times New Roman"/>
                <w:b w:val="0"/>
                <w:i w:val="0"/>
                <w:sz w:val="19"/>
              </w:rPr>
              <w:t>No (proprietary, lending-outcome-trained)</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Yes (unsupervised, population-relative)</w:t>
            </w:r>
          </w:p>
        </w:tc>
      </w:tr>
      <w:tr>
        <w:tc>
          <w:tcPr>
            <w:tcW w:type="dxa" w:w="1728"/>
          </w:tcPr>
          <w:p>
            <w:r/>
            <w:r>
              <w:rPr>
                <w:rFonts w:ascii="Times New Roman" w:hAnsi="Times New Roman" w:eastAsia="Times New Roman"/>
                <w:b w:val="0"/>
                <w:i w:val="0"/>
                <w:sz w:val="19"/>
              </w:rPr>
              <w:t>Exact, verifiable feature-level explainability</w:t>
            </w:r>
          </w:p>
        </w:tc>
        <w:tc>
          <w:tcPr>
            <w:tcW w:type="dxa" w:w="1728"/>
          </w:tcPr>
          <w:p>
            <w:r/>
            <w:r>
              <w:rPr>
                <w:rFonts w:ascii="Times New Roman" w:hAnsi="Times New Roman" w:eastAsia="Times New Roman"/>
                <w:b w:val="0"/>
                <w:i w:val="0"/>
                <w:sz w:val="19"/>
              </w:rPr>
              <w:t>No (proprietary/undisclosed)</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Yes (closed-form PCA/ridge contributions)</w:t>
            </w:r>
          </w:p>
        </w:tc>
      </w:tr>
      <w:tr>
        <w:tc>
          <w:tcPr>
            <w:tcW w:type="dxa" w:w="1728"/>
          </w:tcPr>
          <w:p>
            <w:r/>
            <w:r>
              <w:rPr>
                <w:rFonts w:ascii="Times New Roman" w:hAnsi="Times New Roman" w:eastAsia="Times New Roman"/>
                <w:b w:val="0"/>
                <w:i w:val="0"/>
                <w:sz w:val="19"/>
              </w:rPr>
              <w:t>Blockchain-anchored tamper-evidence</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Yes (supply-chain scale)</w:t>
            </w:r>
          </w:p>
        </w:tc>
        <w:tc>
          <w:tcPr>
            <w:tcW w:type="dxa" w:w="1728"/>
          </w:tcPr>
          <w:p>
            <w:r/>
            <w:r>
              <w:rPr>
                <w:rFonts w:ascii="Times New Roman" w:hAnsi="Times New Roman" w:eastAsia="Times New Roman"/>
                <w:b w:val="0"/>
                <w:i w:val="0"/>
                <w:sz w:val="19"/>
              </w:rPr>
              <w:t>Yes (farm-record scale)</w:t>
            </w:r>
          </w:p>
        </w:tc>
      </w:tr>
      <w:tr>
        <w:tc>
          <w:tcPr>
            <w:tcW w:type="dxa" w:w="1728"/>
          </w:tcPr>
          <w:p>
            <w:r/>
            <w:r>
              <w:rPr>
                <w:rFonts w:ascii="Times New Roman" w:hAnsi="Times New Roman" w:eastAsia="Times New Roman"/>
                <w:b w:val="0"/>
                <w:i w:val="0"/>
                <w:sz w:val="19"/>
              </w:rPr>
              <w:t>Tokenised incentive for data logging</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Yes (FIQ reward token)</w:t>
            </w:r>
          </w:p>
        </w:tc>
      </w:tr>
      <w:tr>
        <w:tc>
          <w:tcPr>
            <w:tcW w:type="dxa" w:w="1728"/>
          </w:tcPr>
          <w:p>
            <w:r/>
            <w:r>
              <w:rPr>
                <w:rFonts w:ascii="Times New Roman" w:hAnsi="Times New Roman" w:eastAsia="Times New Roman"/>
                <w:b w:val="0"/>
                <w:i w:val="0"/>
                <w:sz w:val="19"/>
              </w:rPr>
              <w:t>Offline-first PWA + WhatsApp delivery</w:t>
            </w:r>
          </w:p>
        </w:tc>
        <w:tc>
          <w:tcPr>
            <w:tcW w:type="dxa" w:w="1728"/>
          </w:tcPr>
          <w:p>
            <w:r/>
            <w:r>
              <w:rPr>
                <w:rFonts w:ascii="Times New Roman" w:hAnsi="Times New Roman" w:eastAsia="Times New Roman"/>
                <w:b w:val="0"/>
                <w:i w:val="0"/>
                <w:sz w:val="19"/>
              </w:rPr>
              <w:t>Partial</w:t>
            </w:r>
          </w:p>
        </w:tc>
        <w:tc>
          <w:tcPr>
            <w:tcW w:type="dxa" w:w="1728"/>
          </w:tcPr>
          <w:p>
            <w:r/>
            <w:r>
              <w:rPr>
                <w:rFonts w:ascii="Times New Roman" w:hAnsi="Times New Roman" w:eastAsia="Times New Roman"/>
                <w:b w:val="0"/>
                <w:i w:val="0"/>
                <w:sz w:val="19"/>
              </w:rPr>
              <w:t>Rare</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Yes</w:t>
            </w:r>
          </w:p>
        </w:tc>
      </w:tr>
      <w:tr>
        <w:tc>
          <w:tcPr>
            <w:tcW w:type="dxa" w:w="1728"/>
          </w:tcPr>
          <w:p>
            <w:r/>
            <w:r>
              <w:rPr>
                <w:rFonts w:ascii="Times New Roman" w:hAnsi="Times New Roman" w:eastAsia="Times New Roman"/>
                <w:b w:val="0"/>
                <w:i w:val="0"/>
                <w:sz w:val="19"/>
              </w:rPr>
              <w:t>Designed for smallholder scale and cold-start data</w:t>
            </w:r>
          </w:p>
        </w:tc>
        <w:tc>
          <w:tcPr>
            <w:tcW w:type="dxa" w:w="1728"/>
          </w:tcPr>
          <w:p>
            <w:r/>
            <w:r>
              <w:rPr>
                <w:rFonts w:ascii="Times New Roman" w:hAnsi="Times New Roman" w:eastAsia="Times New Roman"/>
                <w:b w:val="0"/>
                <w:i w:val="0"/>
                <w:sz w:val="19"/>
              </w:rPr>
              <w:t>Yes</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No</w:t>
            </w:r>
          </w:p>
        </w:tc>
        <w:tc>
          <w:tcPr>
            <w:tcW w:type="dxa" w:w="1728"/>
          </w:tcPr>
          <w:p>
            <w:r/>
            <w:r>
              <w:rPr>
                <w:rFonts w:ascii="Times New Roman" w:hAnsi="Times New Roman" w:eastAsia="Times New Roman"/>
                <w:b w:val="0"/>
                <w:i w:val="0"/>
                <w:sz w:val="19"/>
              </w:rPr>
              <w:t>Yes</w:t>
            </w:r>
          </w:p>
        </w:tc>
      </w:tr>
    </w:tbl>
    <w:p>
      <w:pPr>
        <w:spacing w:after="40"/>
      </w:pPr>
    </w:p>
    <w:p>
      <w:pPr>
        <w:spacing w:before="80" w:after="280"/>
        <w:jc w:val="center"/>
      </w:pPr>
      <w:r>
        <w:rPr>
          <w:rFonts w:ascii="Times New Roman" w:hAnsi="Times New Roman" w:eastAsia="Times New Roman"/>
          <w:b/>
          <w:i/>
          <w:sz w:val="21"/>
        </w:rPr>
        <w:t>Table 2.1: Comparative analysis of FarmIQ against representative existing systems</w:t>
      </w:r>
    </w:p>
    <w:p>
      <w:pPr>
        <w:pStyle w:val="Heading2"/>
        <w:keepNext/>
        <w:spacing w:before="320" w:after="160"/>
      </w:pPr>
      <w:r>
        <w:rPr>
          <w:rFonts w:ascii="Times New Roman" w:hAnsi="Times New Roman" w:eastAsia="Times New Roman"/>
          <w:b/>
          <w:i w:val="0"/>
          <w:color w:val="1E3A5F"/>
          <w:sz w:val="28"/>
        </w:rPr>
        <w:t>2.13 Research Gaps Identified</w:t>
      </w:r>
    </w:p>
    <w:p>
      <w:pPr>
        <w:spacing w:after="200" w:line="360" w:lineRule="auto"/>
        <w:jc w:val="both"/>
      </w:pPr>
      <w:r>
        <w:rPr>
          <w:rFonts w:ascii="Times New Roman" w:hAnsi="Times New Roman" w:eastAsia="Times New Roman"/>
          <w:b w:val="0"/>
          <w:i w:val="0"/>
          <w:sz w:val="24"/>
        </w:rPr>
        <w:t>The review presented in Sections 2.2 through 2.12 identifies four specific, interconnected research gaps that FarmIQ's design addresses. First, a methodological gap in credit-scoring literature: documented alternative-data credit-scoring approaches, even where they incorporate unsupervised techniques, remain dependent on historical, labelled loan-repayment outcomes to train against (Bao et al., 2019), leaving a genuinely unsupervised, population-relative scoring method — appropriate for a platform with no repayment history of its own — comparatively unexplored, despite PCA and K-means individually being well-established, mature unsupervised techniques (Jolliffe &amp; Cadima, 2016; Jain, 2010). Second, an explainability gap: while explainable AI is recognised as necessary for trust in both financial decisioning (Nallakaruppan et al., 2024) and agricultural prediction (Ribeiro et al., 2016; Lundberg &amp; Lee, 2017), most deployed agri-fintech and FMIS systems either provide no explanation or rely on approximated, library-dependent explanation techniques rather than an exact, independently-verifiable computation. Third, an integration gap: blockchain-based agricultural trust mechanisms (Marchese &amp; Tomarchio, 2022; UNDP, 2021) and tokenised data-contribution incentives (Pandey et al., 2022) are each independently validated but not documented as combined with either production forecasting or credit scoring in a single smallholder-facing platform. Fourth, an accessibility-and-design gap for the smallholder segment specifically: mainstream FMIS are not designed around how smallholders actually collect data or around the connectivity and literacy constraints Kenyan and Ugandan survey evidence documents (Friedman et al., 2024; Kansiime et al., 2022; Coggins et al., 2022), and existing agri-fintech lenders that do reach this segment operate as closed, proprietary systems rather than open, inspectable ones. FarmIQ is positioned at the intersection of these four gaps: it is a single platform in which routine, low-friction, WhatsApp- and offline-capable farm record-keeping simultaneously produces an exactly-explainable production forecast, a blockchain-anchored trust record, a tokenised reward, and a genuinely unsupervised, population-relative, and inspectable alternative credit signal — without requiring the loan-repayment history no such platform can have at its outset.</w:t>
      </w:r>
    </w:p>
    <w:p>
      <w:pPr>
        <w:pStyle w:val="Heading2"/>
        <w:keepNext/>
        <w:spacing w:before="320" w:after="160"/>
      </w:pPr>
      <w:r>
        <w:rPr>
          <w:rFonts w:ascii="Times New Roman" w:hAnsi="Times New Roman" w:eastAsia="Times New Roman"/>
          <w:b/>
          <w:i w:val="0"/>
          <w:color w:val="1E3A5F"/>
          <w:sz w:val="28"/>
        </w:rPr>
        <w:t>2.14 Conceptual Framework</w:t>
      </w:r>
    </w:p>
    <w:p>
      <w:pPr>
        <w:spacing w:after="200" w:line="360" w:lineRule="auto"/>
        <w:jc w:val="both"/>
      </w:pPr>
      <w:r>
        <w:rPr>
          <w:rFonts w:ascii="Times New Roman" w:hAnsi="Times New Roman" w:eastAsia="Times New Roman"/>
          <w:b w:val="0"/>
          <w:i w:val="0"/>
          <w:sz w:val="24"/>
        </w:rPr>
        <w:t>The conceptual framework underlying FarmIQ's design organises the system into five integrated layers, each addressing one dimension of the research gaps identified in Section 2.13 while feeding the layers around it.</w:t>
      </w:r>
    </w:p>
    <w:p>
      <w:pPr>
        <w:spacing w:after="200" w:line="360" w:lineRule="auto"/>
        <w:jc w:val="both"/>
      </w:pPr>
      <w:r>
        <w:rPr>
          <w:rFonts w:ascii="Times New Roman" w:hAnsi="Times New Roman" w:eastAsia="Times New Roman"/>
          <w:b/>
          <w:i w:val="0"/>
          <w:sz w:val="24"/>
        </w:rPr>
        <w:t>Layer 1 — Farm Data Capture.</w:t>
      </w:r>
      <w:r>
        <w:rPr>
          <w:rFonts w:ascii="Times New Roman" w:hAnsi="Times New Roman" w:eastAsia="Times New Roman"/>
          <w:b w:val="0"/>
          <w:i w:val="0"/>
          <w:sz w:val="24"/>
        </w:rPr>
        <w:t xml:space="preserve"> Farmers, managers, supervisors, and workers record herd, crop, finance, inventory, and task data through the PWA's offline-first interface, using role-appropriate forms gated by a farm-membership permission system (Section 4.4 details the resulting role hierarchy). This layer is the foundation for every layer above it: because FarmIQ has no external data source (no IoT sensors, no satellite feed, no bureau data), the honesty and consistency of this layer's data determines the quality of everything the system subsequently predicts, scores, or anchors.</w:t>
      </w:r>
    </w:p>
    <w:p>
      <w:pPr>
        <w:spacing w:after="200" w:line="360" w:lineRule="auto"/>
        <w:jc w:val="both"/>
      </w:pPr>
      <w:r>
        <w:rPr>
          <w:rFonts w:ascii="Times New Roman" w:hAnsi="Times New Roman" w:eastAsia="Times New Roman"/>
          <w:b/>
          <w:i w:val="0"/>
          <w:sz w:val="24"/>
        </w:rPr>
        <w:t>Layer 2 — Predictive and Scoring Analytics.</w:t>
      </w:r>
      <w:r>
        <w:rPr>
          <w:rFonts w:ascii="Times New Roman" w:hAnsi="Times New Roman" w:eastAsia="Times New Roman"/>
          <w:b w:val="0"/>
          <w:i w:val="0"/>
          <w:sz w:val="24"/>
        </w:rPr>
        <w:t xml:space="preserve"> Two on-demand analytical engines consume Layer 1 data: a ridge regression model forecasts milk yield at cow, block, and farm scope from a farm's own recorded production, feeding, and herd data (addressing Objective iii); and an unsupervised, population-relative credit-scoring engine standardises ten cross-domain features, reduces them via PCA to a single composite, and derives discrete tiers via K-means clustering against the farm's current eligible peers, with a deterministic composite fallback below a minimum population threshold (addressing Objective iv and directly responding to the label-free scoring gap identified in Section 2.13). Both engines are deliberately restricted to closed-form, linear methods so that Layer 3's explanations can be computed exactly rather than approximated.</w:t>
      </w:r>
    </w:p>
    <w:p>
      <w:pPr>
        <w:spacing w:after="200" w:line="360" w:lineRule="auto"/>
        <w:jc w:val="both"/>
      </w:pPr>
      <w:r>
        <w:rPr>
          <w:rFonts w:ascii="Times New Roman" w:hAnsi="Times New Roman" w:eastAsia="Times New Roman"/>
          <w:b/>
          <w:i w:val="0"/>
          <w:sz w:val="24"/>
        </w:rPr>
        <w:t>Layer 3 — Explainability.</w:t>
      </w:r>
      <w:r>
        <w:rPr>
          <w:rFonts w:ascii="Times New Roman" w:hAnsi="Times New Roman" w:eastAsia="Times New Roman"/>
          <w:b w:val="0"/>
          <w:i w:val="0"/>
          <w:sz w:val="24"/>
        </w:rPr>
        <w:t xml:space="preserve"> Every output of Layer 2 is accompanied by an exact, closed-form breakdown of the features that produced it — for the yield model, the product of each feature's regression coefficient and its standardised value; for the credit score, the product of each feature's PCA loading and its standardised, sign-corrected value — rendered into a plain-language summary naming the top positive and negative drivers. This layer directly responds to the explainability gap identified in Section 2.13, and its correctness is independently verified in Chapter 6 through a test that re-implements the contribution calculation separately from the production code and confirms the two agree exactly.</w:t>
      </w:r>
    </w:p>
    <w:p>
      <w:pPr>
        <w:spacing w:after="200" w:line="360" w:lineRule="auto"/>
        <w:jc w:val="both"/>
      </w:pPr>
      <w:r>
        <w:rPr>
          <w:rFonts w:ascii="Times New Roman" w:hAnsi="Times New Roman" w:eastAsia="Times New Roman"/>
          <w:b/>
          <w:i w:val="0"/>
          <w:sz w:val="24"/>
        </w:rPr>
        <w:t>Layer 4 — Trust and Incentive.</w:t>
      </w:r>
      <w:r>
        <w:rPr>
          <w:rFonts w:ascii="Times New Roman" w:hAnsi="Times New Roman" w:eastAsia="Times New Roman"/>
          <w:b w:val="0"/>
          <w:i w:val="0"/>
          <w:sz w:val="24"/>
        </w:rPr>
        <w:t xml:space="preserve"> A blockchain layer, built on Hedera Hashgraph, anchors a content hash of every changed prediction, financial transaction, and credit-score snapshot to the Hedera Consensus Service, giving any party — including an external data partner consuming the credit-scoring API — an independent way to verify a record has not been altered after the fact. The same layer mints non-fungible tokens for cow and harvest registrations and a fungible FIQ reward token for logging activity and completing tasks, directly incentivising the sustained Layer 1 data capture the FMIS literature in Section 2.10 identifies as the persistent, unresolved problem. Every blockchain interaction is best-effort: a Hedera outage degrades gracefully and never blocks the underlying farm-management action, since Layer 4 is designed as a trust-and-incentive addition to the system, not a dependency of it.</w:t>
      </w:r>
    </w:p>
    <w:p>
      <w:pPr>
        <w:spacing w:after="200" w:line="360" w:lineRule="auto"/>
        <w:jc w:val="both"/>
      </w:pPr>
      <w:r>
        <w:rPr>
          <w:rFonts w:ascii="Times New Roman" w:hAnsi="Times New Roman" w:eastAsia="Times New Roman"/>
          <w:b/>
          <w:i w:val="0"/>
          <w:sz w:val="24"/>
        </w:rPr>
        <w:t>Layer 5 — Accessible Delivery.</w:t>
      </w:r>
      <w:r>
        <w:rPr>
          <w:rFonts w:ascii="Times New Roman" w:hAnsi="Times New Roman" w:eastAsia="Times New Roman"/>
          <w:b w:val="0"/>
          <w:i w:val="0"/>
          <w:sz w:val="24"/>
        </w:rPr>
        <w:t xml:space="preserve"> Predictions, insights, scores, and notifications reach the user through two complementary channels: the PWA's offline-first interface, which queues form submissions locally and synchronises them once connectivity returns, and WhatsApp Cloud API notifications, chosen specifically because Kenyan and Ugandan survey evidence shows farmers already use and repurpose messaging channels like WhatsApp for agricultural information exchange, in preference to adopting a dedicated new application (Section 2.9). English and Kiswahili localisation is provided throughout, responding directly to the digital-literacy and language-accessibility constraints identified in the reviewed accessibility literature.</w:t>
      </w:r>
    </w:p>
    <w:p>
      <w:pPr>
        <w:spacing w:before="200"/>
        <w:jc w:val="center"/>
      </w:pPr>
      <w:r>
        <w:drawing>
          <wp:inline xmlns:a="http://schemas.openxmlformats.org/drawingml/2006/main" xmlns:pic="http://schemas.openxmlformats.org/drawingml/2006/picture">
            <wp:extent cx="5486400" cy="4710545"/>
            <wp:docPr id="1" name="Picture 1"/>
            <wp:cNvGraphicFramePr>
              <a:graphicFrameLocks noChangeAspect="1"/>
            </wp:cNvGraphicFramePr>
            <a:graphic>
              <a:graphicData uri="http://schemas.openxmlformats.org/drawingml/2006/picture">
                <pic:pic>
                  <pic:nvPicPr>
                    <pic:cNvPr id="0" name="fig_conceptual_framework.png"/>
                    <pic:cNvPicPr/>
                  </pic:nvPicPr>
                  <pic:blipFill>
                    <a:blip r:embed="rId9"/>
                    <a:stretch>
                      <a:fillRect/>
                    </a:stretch>
                  </pic:blipFill>
                  <pic:spPr>
                    <a:xfrm>
                      <a:off x="0" y="0"/>
                      <a:ext cx="5486400" cy="4710545"/>
                    </a:xfrm>
                    <a:prstGeom prst="rect"/>
                  </pic:spPr>
                </pic:pic>
              </a:graphicData>
            </a:graphic>
          </wp:inline>
        </w:drawing>
      </w:r>
    </w:p>
    <w:p>
      <w:pPr>
        <w:spacing w:after="280"/>
        <w:jc w:val="center"/>
      </w:pPr>
      <w:r>
        <w:rPr>
          <w:rFonts w:ascii="Times New Roman" w:hAnsi="Times New Roman" w:eastAsia="Times New Roman"/>
          <w:b/>
          <w:i/>
          <w:sz w:val="21"/>
        </w:rPr>
        <w:t>Figure 2.1: FarmIQ Conceptual Framework</w:t>
      </w:r>
    </w:p>
    <w:p>
      <w:pPr>
        <w:spacing w:after="200" w:line="360" w:lineRule="auto"/>
        <w:jc w:val="both"/>
      </w:pPr>
      <w:r>
        <w:rPr>
          <w:rFonts w:ascii="Times New Roman" w:hAnsi="Times New Roman" w:eastAsia="Times New Roman"/>
          <w:b w:val="0"/>
          <w:i w:val="0"/>
          <w:sz w:val="24"/>
        </w:rPr>
        <w:t>Each layer maps directly onto a specific objective from Chapter 1 and a specific gap from Section 2.13: Layer 1 underlies Objectives i–ii, Layer 2 addresses Objectives iii–iv, Layer 3 responds to the explainability gap motivating Objective iii and iv's emphasis on interpretability, Layer 4 addresses Objective v, and Layer 5 addresses Objective vi. Chapters 3 through 5 describe how this framework was translated into FarmIQ's actual system design and implementation, and Chapter 6 evaluates the resulting system against it.</w:t>
      </w:r>
    </w:p>
    <w:p>
      <w:pPr>
        <w:pStyle w:val="Heading1"/>
        <w:keepNext/>
        <w:pageBreakBefore/>
        <w:spacing w:before="80" w:after="200"/>
      </w:pPr>
      <w:r>
        <w:rPr>
          <w:rFonts w:ascii="Times New Roman" w:hAnsi="Times New Roman" w:eastAsia="Times New Roman"/>
          <w:b/>
          <w:i w:val="0"/>
          <w:color w:val="047857"/>
          <w:sz w:val="36"/>
        </w:rPr>
        <w:t>Chapter 3: Methodology</w:t>
      </w:r>
    </w:p>
    <w:p>
      <w:pPr>
        <w:pStyle w:val="Heading2"/>
        <w:keepNext/>
        <w:spacing w:before="320" w:after="160"/>
      </w:pPr>
      <w:r>
        <w:rPr>
          <w:rFonts w:ascii="Times New Roman" w:hAnsi="Times New Roman" w:eastAsia="Times New Roman"/>
          <w:b/>
          <w:i w:val="0"/>
          <w:color w:val="1E3A5F"/>
          <w:sz w:val="28"/>
        </w:rPr>
        <w:t>3.1 Introduction</w:t>
      </w:r>
    </w:p>
    <w:p>
      <w:pPr>
        <w:spacing w:after="200" w:line="360" w:lineRule="auto"/>
        <w:jc w:val="both"/>
      </w:pPr>
      <w:r>
        <w:rPr>
          <w:rFonts w:ascii="Times New Roman" w:hAnsi="Times New Roman" w:eastAsia="Times New Roman"/>
          <w:b w:val="0"/>
          <w:i w:val="0"/>
          <w:sz w:val="24"/>
        </w:rPr>
        <w:t>This chapter describes the methodology followed in designing, developing, and evaluating FarmIQ. The project combined Object-Oriented Analysis and Design (OOAD) for structuring the system into cohesive, independently-testable Django applications with an iterative, feature-driven development approach for building out functionality in successive, connected increments. The chapter presents the research paradigm used for the machine learning components (data acquisition, processing, model training, and validation for both the ridge regression yield predictor and the PCA/K-means credit-scoring engine), justifies the overall development methodology against the project's actual constraints and evidence, summarises the system analysis and design artefacts produced, lists the project's deliverables, and details the tools and technologies used throughout implementation.</w:t>
      </w:r>
    </w:p>
    <w:p>
      <w:pPr>
        <w:pStyle w:val="Heading2"/>
        <w:keepNext/>
        <w:spacing w:before="320" w:after="160"/>
      </w:pPr>
      <w:r>
        <w:rPr>
          <w:rFonts w:ascii="Times New Roman" w:hAnsi="Times New Roman" w:eastAsia="Times New Roman"/>
          <w:b/>
          <w:i w:val="0"/>
          <w:color w:val="1E3A5F"/>
          <w:sz w:val="28"/>
        </w:rPr>
        <w:t>3.2 Research Paradigm</w:t>
      </w:r>
    </w:p>
    <w:p>
      <w:pPr>
        <w:spacing w:after="200" w:line="360" w:lineRule="auto"/>
        <w:jc w:val="both"/>
      </w:pPr>
      <w:r>
        <w:rPr>
          <w:rFonts w:ascii="Times New Roman" w:hAnsi="Times New Roman" w:eastAsia="Times New Roman"/>
          <w:b w:val="0"/>
          <w:i w:val="0"/>
          <w:sz w:val="24"/>
        </w:rPr>
        <w:t>FarmIQ's two machine learning subsystems — the milk-yield predictor and the credit-scoring engine — were developed under an experimental, data-driven paradigm structured across four phases: data acquisition, data processing, model training, and model validation and testing. Because both subsystems are designed to train or compute entirely from a farm's own operational data rather than from an externally-sourced training set, this paradigm had to explicitly account for the cold-start problem of a system with no historical data at the point a new farm or a new farm population is onboarded.</w:t>
      </w:r>
    </w:p>
    <w:p>
      <w:pPr>
        <w:pStyle w:val="Heading3"/>
        <w:keepNext/>
        <w:spacing w:before="320" w:after="160"/>
      </w:pPr>
      <w:r>
        <w:rPr>
          <w:rFonts w:ascii="Times New Roman" w:hAnsi="Times New Roman" w:eastAsia="Times New Roman"/>
          <w:b/>
          <w:i w:val="0"/>
          <w:color w:val="334155"/>
          <w:sz w:val="25"/>
        </w:rPr>
        <w:t>3.2.1 Data Acquisition</w:t>
      </w:r>
    </w:p>
    <w:p>
      <w:pPr>
        <w:spacing w:after="200" w:line="360" w:lineRule="auto"/>
        <w:jc w:val="both"/>
      </w:pPr>
      <w:r>
        <w:rPr>
          <w:rFonts w:ascii="Times New Roman" w:hAnsi="Times New Roman" w:eastAsia="Times New Roman"/>
          <w:b w:val="0"/>
          <w:i w:val="0"/>
          <w:sz w:val="24"/>
        </w:rPr>
        <w:t>Both subsystems draw their input data exclusively from records generated through ordinary use of the platform, rather than from an external dataset. For milk-yield prediction, this comprises daily `MilkRecord` entries per cow, `FeedingRecordCow` per-cow feed allocations, and each cow's `last_calving_date`, `category` (heifer/cow), and block assignment. For credit scoring, this comprises ten cross-domain features aggregated per farm: farm tenure, income/expense ratio and stability (from `finance.Transaction`), milk-yield consistency and herd size (from `cows`), income-category and crop-activity diversity (from `finance` and `crops`), task on-time completion rate (from `tasks`), and FIQ reward balance and source diversity (from `blockchain.FiqLedgerEntry`). No synthetic, simulated, or externally-sourced dataset was used for either subsystem; both are trained or computed at request time, directly from live farm data, which is a deliberate design choice discussed further in Section 3.2.3.</w:t>
      </w:r>
    </w:p>
    <w:p>
      <w:pPr>
        <w:pStyle w:val="Heading3"/>
        <w:keepNext/>
        <w:spacing w:before="320" w:after="160"/>
      </w:pPr>
      <w:r>
        <w:rPr>
          <w:rFonts w:ascii="Times New Roman" w:hAnsi="Times New Roman" w:eastAsia="Times New Roman"/>
          <w:b/>
          <w:i w:val="0"/>
          <w:color w:val="334155"/>
          <w:sz w:val="25"/>
        </w:rPr>
        <w:t>3.2.2 Data Processing</w:t>
      </w:r>
    </w:p>
    <w:p>
      <w:pPr>
        <w:spacing w:after="200" w:line="360" w:lineRule="auto"/>
        <w:jc w:val="both"/>
      </w:pPr>
      <w:r>
        <w:rPr>
          <w:rFonts w:ascii="Times New Roman" w:hAnsi="Times New Roman" w:eastAsia="Times New Roman"/>
          <w:b w:val="0"/>
          <w:i w:val="0"/>
          <w:sz w:val="24"/>
        </w:rPr>
        <w:t>Feature engineering for the yield predictor derives `days_in_milk` (date minus the cow's last calving date, median-imputed across known rows where a calving date is missing), summed daily feed quantities per cow, a seven-day rolling average of the cow's own milk yield, and a binary heifer indicator. Feature engineering for the credit-scoring engine normalises each of its ten features to a common, healthier-is-higher 0–1 scale (for example, farm age divided by a three-year cap, or one minus the coefficient of variation of monthly income), so that no feature dominates the subsequent standardisation purely by virtue of its raw units. Where a feature cannot be computed for a farm — for example, milk-yield consistency for a crop-only farm with no active cows — the value is left missing rather than defaulted to zero, and is subsequently imputed using that feature's own median across the population in which it was actually observed, avoiding the systematic penalty a zero-fill would otherwise impose on farms that simply operate in a different enterprise mix.</w:t>
      </w:r>
    </w:p>
    <w:p>
      <w:pPr>
        <w:pStyle w:val="Heading3"/>
        <w:keepNext/>
        <w:spacing w:before="320" w:after="160"/>
      </w:pPr>
      <w:r>
        <w:rPr>
          <w:rFonts w:ascii="Times New Roman" w:hAnsi="Times New Roman" w:eastAsia="Times New Roman"/>
          <w:b/>
          <w:i w:val="0"/>
          <w:color w:val="334155"/>
          <w:sz w:val="25"/>
        </w:rPr>
        <w:t>3.2.3 Model Training</w:t>
      </w:r>
    </w:p>
    <w:p>
      <w:pPr>
        <w:spacing w:after="200" w:line="360" w:lineRule="auto"/>
        <w:jc w:val="both"/>
      </w:pPr>
      <w:r>
        <w:rPr>
          <w:rFonts w:ascii="Times New Roman" w:hAnsi="Times New Roman" w:eastAsia="Times New Roman"/>
          <w:b w:val="0"/>
          <w:i w:val="0"/>
          <w:sz w:val="24"/>
        </w:rPr>
        <w:t>The yield predictor fits a scikit-learn `Ridge` regression model (L2 regularisation, alpha = 1.0) on `StandardScaler`-normalised features, entirely at request time, with no model persisted between requests and no background training job. A per-cow model is trained first; if that cow has fewer than thirty recorded rows (`MIN_ROWS`), the system falls back to a pooled, whole-farm model, since thirty individual records is rarely available for a newly-registered animal. This retrain-per-request approach was a deliberate consequence of the project's serverless (Vercel) deployment target, which has no persistent background worker to periodically retrain and cache a model; fitting a ridge regression on a single farm's data is computationally cheap enough that retraining on every relevant page view is an acceptable trade-off against the operational complexity a scheduled-training pipeline would otherwise introduce.</w:t>
      </w:r>
    </w:p>
    <w:p>
      <w:pPr>
        <w:spacing w:after="200" w:line="360" w:lineRule="auto"/>
        <w:jc w:val="both"/>
      </w:pPr>
      <w:r>
        <w:rPr>
          <w:rFonts w:ascii="Times New Roman" w:hAnsi="Times New Roman" w:eastAsia="Times New Roman"/>
          <w:b w:val="0"/>
          <w:i w:val="0"/>
          <w:sz w:val="24"/>
        </w:rPr>
        <w:t>The credit-scoring engine follows an equivalent request-time approach at the population level. Below a minimum population threshold of eight eligible farms (`MIN_POPULATION_FARMS`), no percentile ranking is computed at all; instead, every eligible farm receives a deterministic, provisional score equal to the mean of its ten imputed features scaled to 0–100, avoiding the meaningless discrimination a percentile rank over a handful of farms would otherwise produce. At or above eight farms, the ten-feature population matrix is standardised and reduced via `PCA(n_components=1)` to a single composite health score; because PCA's sign is mathematically arbitrary, the resulting component is sign-corrected by correlating it against a plain row-mean composite, ensuring a higher score always corresponds to a healthier farm. `KMeans` clustering (four clusters at or above twelve farms, two clusters below that) is fitted on the same standardised matrix to derive discrete score tiers, with clusters ranked and labelled by their mean composite score. Both `PCA` and `KMeans` are seeded with a fixed `random_state` so that recomputing an unchanged population never reorders tiers or produces different scores from run to run — a property later verified directly in the test suite (Section 6.4).</w:t>
      </w:r>
    </w:p>
    <w:p>
      <w:pPr>
        <w:pStyle w:val="Heading3"/>
        <w:keepNext/>
        <w:spacing w:before="320" w:after="160"/>
      </w:pPr>
      <w:r>
        <w:rPr>
          <w:rFonts w:ascii="Times New Roman" w:hAnsi="Times New Roman" w:eastAsia="Times New Roman"/>
          <w:b/>
          <w:i w:val="0"/>
          <w:color w:val="334155"/>
          <w:sz w:val="25"/>
        </w:rPr>
        <w:t>3.2.4 Model Validation and Testing</w:t>
      </w:r>
    </w:p>
    <w:p>
      <w:pPr>
        <w:spacing w:after="200" w:line="360" w:lineRule="auto"/>
        <w:jc w:val="both"/>
      </w:pPr>
      <w:r>
        <w:rPr>
          <w:rFonts w:ascii="Times New Roman" w:hAnsi="Times New Roman" w:eastAsia="Times New Roman"/>
          <w:b w:val="0"/>
          <w:i w:val="0"/>
          <w:sz w:val="24"/>
        </w:rPr>
        <w:t>Because neither subsystem is trained against an external, labelled ground truth — the yield predictor has no held-out "true" future yield to validate against beyond a farm's own subsequent records, and the credit-scoring engine has, by design, no historical loan-repayment outcome to validate against at all — validation for both subsystems necessarily took the form of internal consistency and correctness testing rather than conventional held-out accuracy metrics. For the credit-scoring engine specifically, this comprised: exact feature-value assertions against hand-computed expected values; confirmation that a crop-only farm with missing production features is imputed rather than penalised or crashed on; confirmation that the below-eight-farms provisional fallback activates correctly; a determinism check that recomputing an unchanged population produces identical scores and tiers; a tier-monotonicity check that farms with better simulated operational quality land in better tiers on average; and, most rigorously, an independent re-implementation of the PCA contribution calculation, written separately from the production code, used to confirm that the sum of each farm's reported per-feature contributions exactly equals its sign-corrected composite score. Chapter 6 reports these results in full alongside the equivalent tests for the yield predictor and every other module in the codebase.</w:t>
      </w:r>
    </w:p>
    <w:p>
      <w:pPr>
        <w:pStyle w:val="Heading2"/>
        <w:keepNext/>
        <w:spacing w:before="320" w:after="160"/>
      </w:pPr>
      <w:r>
        <w:rPr>
          <w:rFonts w:ascii="Times New Roman" w:hAnsi="Times New Roman" w:eastAsia="Times New Roman"/>
          <w:b/>
          <w:i w:val="0"/>
          <w:color w:val="1E3A5F"/>
          <w:sz w:val="28"/>
        </w:rPr>
        <w:t>3.3 System Development Methodology and Justification</w:t>
      </w:r>
    </w:p>
    <w:p>
      <w:pPr>
        <w:pStyle w:val="Heading3"/>
        <w:keepNext/>
        <w:spacing w:before="320" w:after="160"/>
      </w:pPr>
      <w:r>
        <w:rPr>
          <w:rFonts w:ascii="Times New Roman" w:hAnsi="Times New Roman" w:eastAsia="Times New Roman"/>
          <w:b/>
          <w:i w:val="0"/>
          <w:color w:val="334155"/>
          <w:sz w:val="25"/>
        </w:rPr>
        <w:t>3.3.1 Justification of Methodology</w:t>
      </w:r>
    </w:p>
    <w:p>
      <w:pPr>
        <w:spacing w:after="200" w:line="360" w:lineRule="auto"/>
        <w:jc w:val="both"/>
      </w:pPr>
      <w:r>
        <w:rPr>
          <w:rFonts w:ascii="Times New Roman" w:hAnsi="Times New Roman" w:eastAsia="Times New Roman"/>
          <w:b w:val="0"/>
          <w:i w:val="0"/>
          <w:sz w:val="24"/>
        </w:rPr>
        <w:t>FarmIQ was developed using Object-Oriented Analysis and Design as its structuring paradigm, implemented as a set of seventeen independently-defined Django applications (accounts, farms, cows, crops, finance, inventory, notifications, tasks, weather, advisory, analysis, creditscore, blockchain, geomap, insights, website, core), each encapsulating a distinct domain responsibility with its own models, business-logic service layer, views, and test suite. This modular decomposition was well suited to FarmIQ's actual complexity: the system naturally separates into domains (herd management, financial records, machine learning prediction, blockchain anchoring, notification delivery) that could be developed, tested, and extended largely independently, while a small set of shared, reusable services — a centralised role-permission framework (`farms.permissions`), a single canonical content-hashing and Hedera-anchoring service (`blockchain.services`), and a unified multi-channel notification dispatcher (`notifications.services.notify`) — were deliberately factored out and consumed uniformly across otherwise-unrelated apps, avoiding duplicated logic for concerns that recur throughout the system.</w:t>
      </w:r>
    </w:p>
    <w:p>
      <w:pPr>
        <w:spacing w:after="200" w:line="360" w:lineRule="auto"/>
        <w:jc w:val="both"/>
      </w:pPr>
      <w:r>
        <w:rPr>
          <w:rFonts w:ascii="Times New Roman" w:hAnsi="Times New Roman" w:eastAsia="Times New Roman"/>
          <w:b w:val="0"/>
          <w:i w:val="0"/>
          <w:sz w:val="24"/>
        </w:rPr>
        <w:t>Development proceeded iteratively rather than through a single up-front design-then-build phase, evidenced directly by the project's own migration history: the system's core record-keeping apps (accounts, farms, cows, crops, finance, inventory, tasks, notifications) were extended repeatedly over time with new fields and models as requirements became clearer — for example, cows/migrations 0011 and 0012 added a health-record model, pedigree fields, weight tracking, and a reproduction/breeding calendar in successive, separate increments rather than as part of the original herd model — while five entire applications (blockchain, creditscore, geomap, insights, website) were added in a single, closely connected later phase of work, cross-referencing one another extensively (the credit-scoring engine reads directly from the blockchain app's FIQ ledger; crop records link to GPS field boundaries from the geomap app; blockchain anchoring fields were retrofitted onto the pre-existing milk-prediction, transaction, cow, and crop-activity models rather than designed in from the start). This pattern — stable core functionality extended through a sequence of scoped, testable increments, with major new capabilities added as connected but separately-migrated features — reflects an iterative, evolutionary development approach consistent with agile practice, in which working, tested increments of functionality are delivered and integrated progressively rather than attempting to specify the complete system's behaviour before any of it is built.</w:t>
      </w:r>
    </w:p>
    <w:p>
      <w:pPr>
        <w:spacing w:after="200" w:line="360" w:lineRule="auto"/>
        <w:jc w:val="both"/>
      </w:pPr>
      <w:r>
        <w:rPr>
          <w:rFonts w:ascii="Times New Roman" w:hAnsi="Times New Roman" w:eastAsia="Times New Roman"/>
          <w:b w:val="0"/>
          <w:i w:val="0"/>
          <w:sz w:val="24"/>
        </w:rPr>
        <w:t>This approach was appropriate to FarmIQ's context for the same reasons agile methodologies are generally favoured for systems with genuine requirements uncertainty: the optimal feature set for a smallholder-facing farm management platform, the right threshold at which a credit score becomes population-relative rather than provisional, and the specific combination of blockchain-anchored trust and tokenised incentive that would meaningfully encourage sustained data logging were not knowable with confidence in advance, and were instead refined through successive, working increments — each shipped with its own dedicated test suite (Chapter 6) rather than deferred to a single final testing phase.</w:t>
      </w:r>
    </w:p>
    <w:p>
      <w:pPr>
        <w:pStyle w:val="Heading3"/>
        <w:keepNext/>
        <w:spacing w:before="320" w:after="160"/>
      </w:pPr>
      <w:r>
        <w:rPr>
          <w:rFonts w:ascii="Times New Roman" w:hAnsi="Times New Roman" w:eastAsia="Times New Roman"/>
          <w:b/>
          <w:i w:val="0"/>
          <w:color w:val="334155"/>
          <w:sz w:val="25"/>
        </w:rPr>
        <w:t>3.3.2 Development and Feature Timeline</w:t>
      </w:r>
    </w:p>
    <w:p>
      <w:pPr>
        <w:spacing w:after="200" w:line="360" w:lineRule="auto"/>
        <w:jc w:val="both"/>
      </w:pPr>
      <w:r>
        <w:rPr>
          <w:rFonts w:ascii="Times New Roman" w:hAnsi="Times New Roman" w:eastAsia="Times New Roman"/>
          <w:b w:val="0"/>
          <w:i w:val="0"/>
          <w:sz w:val="24"/>
        </w:rPr>
        <w:t>Table 3.1 summarises the evolutionary sequence evidenced by the project's migration history, illustrating how FarmIQ's scope grew from a core record-keeping platform into the fully integrated system described in this documentation.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1FAE5"/>
          </w:tcPr>
          <w:p>
            <w:r/>
            <w:r>
              <w:rPr>
                <w:rFonts w:ascii="Times New Roman" w:hAnsi="Times New Roman" w:eastAsia="Times New Roman"/>
                <w:b/>
                <w:i w:val="0"/>
                <w:sz w:val="20"/>
              </w:rPr>
              <w:t>Phase</w:t>
            </w:r>
          </w:p>
        </w:tc>
        <w:tc>
          <w:tcPr>
            <w:tcW w:type="dxa" w:w="2880"/>
            <w:shd w:fill="D1FAE5"/>
          </w:tcPr>
          <w:p>
            <w:r/>
            <w:r>
              <w:rPr>
                <w:rFonts w:ascii="Times New Roman" w:hAnsi="Times New Roman" w:eastAsia="Times New Roman"/>
                <w:b/>
                <w:i w:val="0"/>
                <w:sz w:val="20"/>
              </w:rPr>
              <w:t>Capability added</w:t>
            </w:r>
          </w:p>
        </w:tc>
        <w:tc>
          <w:tcPr>
            <w:tcW w:type="dxa" w:w="2880"/>
            <w:shd w:fill="D1FAE5"/>
          </w:tcPr>
          <w:p>
            <w:r/>
            <w:r>
              <w:rPr>
                <w:rFonts w:ascii="Times New Roman" w:hAnsi="Times New Roman" w:eastAsia="Times New Roman"/>
                <w:b/>
                <w:i w:val="0"/>
                <w:sz w:val="20"/>
              </w:rPr>
              <w:t>Evidence</w:t>
            </w:r>
          </w:p>
        </w:tc>
      </w:tr>
      <w:tr>
        <w:tc>
          <w:tcPr>
            <w:tcW w:type="dxa" w:w="2880"/>
          </w:tcPr>
          <w:p>
            <w:r/>
            <w:r>
              <w:rPr>
                <w:rFonts w:ascii="Times New Roman" w:hAnsi="Times New Roman" w:eastAsia="Times New Roman"/>
                <w:b w:val="0"/>
                <w:i w:val="0"/>
                <w:sz w:val="19"/>
              </w:rPr>
              <w:t>Core platform</w:t>
            </w:r>
          </w:p>
        </w:tc>
        <w:tc>
          <w:tcPr>
            <w:tcW w:type="dxa" w:w="2880"/>
          </w:tcPr>
          <w:p>
            <w:r/>
            <w:r>
              <w:rPr>
                <w:rFonts w:ascii="Times New Roman" w:hAnsi="Times New Roman" w:eastAsia="Times New Roman"/>
                <w:b w:val="0"/>
                <w:i w:val="0"/>
                <w:sz w:val="19"/>
              </w:rPr>
              <w:t>Multi-tenant farm/role model, herd, crop, finance, inventory, task, and notification record-keeping</w:t>
            </w:r>
          </w:p>
        </w:tc>
        <w:tc>
          <w:tcPr>
            <w:tcW w:type="dxa" w:w="2880"/>
          </w:tcPr>
          <w:p>
            <w:r/>
            <w:r>
              <w:rPr>
                <w:rFonts w:ascii="Times New Roman" w:hAnsi="Times New Roman" w:eastAsia="Times New Roman"/>
                <w:b w:val="0"/>
                <w:i w:val="0"/>
                <w:sz w:val="19"/>
              </w:rPr>
              <w:t>Base models across accounts, farms, cows, crops, finance, inventory, tasks, notifications</w:t>
            </w:r>
          </w:p>
        </w:tc>
      </w:tr>
      <w:tr>
        <w:tc>
          <w:tcPr>
            <w:tcW w:type="dxa" w:w="2880"/>
          </w:tcPr>
          <w:p>
            <w:r/>
            <w:r>
              <w:rPr>
                <w:rFonts w:ascii="Times New Roman" w:hAnsi="Times New Roman" w:eastAsia="Times New Roman"/>
                <w:b w:val="0"/>
                <w:i w:val="0"/>
                <w:sz w:val="19"/>
              </w:rPr>
              <w:t>Production analytics</w:t>
            </w:r>
          </w:p>
        </w:tc>
        <w:tc>
          <w:tcPr>
            <w:tcW w:type="dxa" w:w="2880"/>
          </w:tcPr>
          <w:p>
            <w:r/>
            <w:r>
              <w:rPr>
                <w:rFonts w:ascii="Times New Roman" w:hAnsi="Times New Roman" w:eastAsia="Times New Roman"/>
                <w:b w:val="0"/>
                <w:i w:val="0"/>
                <w:sz w:val="19"/>
              </w:rPr>
              <w:t>On-demand ridge regression milk-yield forecasting with exact explainability</w:t>
            </w:r>
          </w:p>
        </w:tc>
        <w:tc>
          <w:tcPr>
            <w:tcW w:type="dxa" w:w="2880"/>
          </w:tcPr>
          <w:p>
            <w:r/>
            <w:r>
              <w:rPr>
                <w:rFonts w:ascii="Times New Roman" w:hAnsi="Times New Roman" w:eastAsia="Times New Roman"/>
                <w:b w:val="0"/>
                <w:i w:val="0"/>
                <w:sz w:val="19"/>
              </w:rPr>
              <w:t>analysis app and its `ml/` package</w:t>
            </w:r>
          </w:p>
        </w:tc>
      </w:tr>
      <w:tr>
        <w:tc>
          <w:tcPr>
            <w:tcW w:type="dxa" w:w="2880"/>
          </w:tcPr>
          <w:p>
            <w:r/>
            <w:r>
              <w:rPr>
                <w:rFonts w:ascii="Times New Roman" w:hAnsi="Times New Roman" w:eastAsia="Times New Roman"/>
                <w:b w:val="0"/>
                <w:i w:val="0"/>
                <w:sz w:val="19"/>
              </w:rPr>
              <w:t>Advisory content</w:t>
            </w:r>
          </w:p>
        </w:tc>
        <w:tc>
          <w:tcPr>
            <w:tcW w:type="dxa" w:w="2880"/>
          </w:tcPr>
          <w:p>
            <w:r/>
            <w:r>
              <w:rPr>
                <w:rFonts w:ascii="Times New Roman" w:hAnsi="Times New Roman" w:eastAsia="Times New Roman"/>
                <w:b w:val="0"/>
                <w:i w:val="0"/>
                <w:sz w:val="19"/>
              </w:rPr>
              <w:t>Static agronomy/dairy knowledge base, disease catalog, agri-extension centre lookup</w:t>
            </w:r>
          </w:p>
        </w:tc>
        <w:tc>
          <w:tcPr>
            <w:tcW w:type="dxa" w:w="2880"/>
          </w:tcPr>
          <w:p>
            <w:r/>
            <w:r>
              <w:rPr>
                <w:rFonts w:ascii="Times New Roman" w:hAnsi="Times New Roman" w:eastAsia="Times New Roman"/>
                <w:b w:val="0"/>
                <w:i w:val="0"/>
                <w:sz w:val="19"/>
              </w:rPr>
              <w:t>advisory app (early migrations)</w:t>
            </w:r>
          </w:p>
        </w:tc>
      </w:tr>
      <w:tr>
        <w:tc>
          <w:tcPr>
            <w:tcW w:type="dxa" w:w="2880"/>
          </w:tcPr>
          <w:p>
            <w:r/>
            <w:r>
              <w:rPr>
                <w:rFonts w:ascii="Times New Roman" w:hAnsi="Times New Roman" w:eastAsia="Times New Roman"/>
                <w:b w:val="0"/>
                <w:i w:val="0"/>
                <w:sz w:val="19"/>
              </w:rPr>
              <w:t>Herd depth</w:t>
            </w:r>
          </w:p>
        </w:tc>
        <w:tc>
          <w:tcPr>
            <w:tcW w:type="dxa" w:w="2880"/>
          </w:tcPr>
          <w:p>
            <w:r/>
            <w:r>
              <w:rPr>
                <w:rFonts w:ascii="Times New Roman" w:hAnsi="Times New Roman" w:eastAsia="Times New Roman"/>
                <w:b w:val="0"/>
                <w:i w:val="0"/>
                <w:sz w:val="19"/>
              </w:rPr>
              <w:t>Health records, pedigree fields, weight tracking, reproduction/breeding calendar</w:t>
            </w:r>
          </w:p>
        </w:tc>
        <w:tc>
          <w:tcPr>
            <w:tcW w:type="dxa" w:w="2880"/>
          </w:tcPr>
          <w:p>
            <w:r/>
            <w:r>
              <w:rPr>
                <w:rFonts w:ascii="Times New Roman" w:hAnsi="Times New Roman" w:eastAsia="Times New Roman"/>
                <w:b w:val="0"/>
                <w:i w:val="0"/>
                <w:sz w:val="19"/>
              </w:rPr>
              <w:t>cows/migrations 0011–0012</w:t>
            </w:r>
          </w:p>
        </w:tc>
      </w:tr>
      <w:tr>
        <w:tc>
          <w:tcPr>
            <w:tcW w:type="dxa" w:w="2880"/>
          </w:tcPr>
          <w:p>
            <w:r/>
            <w:r>
              <w:rPr>
                <w:rFonts w:ascii="Times New Roman" w:hAnsi="Times New Roman" w:eastAsia="Times New Roman"/>
                <w:b w:val="0"/>
                <w:i w:val="0"/>
                <w:sz w:val="19"/>
              </w:rPr>
              <w:t>Structured learning</w:t>
            </w:r>
          </w:p>
        </w:tc>
        <w:tc>
          <w:tcPr>
            <w:tcW w:type="dxa" w:w="2880"/>
          </w:tcPr>
          <w:p>
            <w:r/>
            <w:r>
              <w:rPr>
                <w:rFonts w:ascii="Times New Roman" w:hAnsi="Times New Roman" w:eastAsia="Times New Roman"/>
                <w:b w:val="0"/>
                <w:i w:val="0"/>
                <w:sz w:val="19"/>
              </w:rPr>
              <w:t>County-level crop suitability data, structured learning paths and lessons</w:t>
            </w:r>
          </w:p>
        </w:tc>
        <w:tc>
          <w:tcPr>
            <w:tcW w:type="dxa" w:w="2880"/>
          </w:tcPr>
          <w:p>
            <w:r/>
            <w:r>
              <w:rPr>
                <w:rFonts w:ascii="Times New Roman" w:hAnsi="Times New Roman" w:eastAsia="Times New Roman"/>
                <w:b w:val="0"/>
                <w:i w:val="0"/>
                <w:sz w:val="19"/>
              </w:rPr>
              <w:t>advisory/migrations 0003–0006</w:t>
            </w:r>
          </w:p>
        </w:tc>
      </w:tr>
      <w:tr>
        <w:tc>
          <w:tcPr>
            <w:tcW w:type="dxa" w:w="2880"/>
          </w:tcPr>
          <w:p>
            <w:r/>
            <w:r>
              <w:rPr>
                <w:rFonts w:ascii="Times New Roman" w:hAnsi="Times New Roman" w:eastAsia="Times New Roman"/>
                <w:b w:val="0"/>
                <w:i w:val="0"/>
                <w:sz w:val="19"/>
              </w:rPr>
              <w:t>Recurring tasks</w:t>
            </w:r>
          </w:p>
        </w:tc>
        <w:tc>
          <w:tcPr>
            <w:tcW w:type="dxa" w:w="2880"/>
          </w:tcPr>
          <w:p>
            <w:r/>
            <w:r>
              <w:rPr>
                <w:rFonts w:ascii="Times New Roman" w:hAnsi="Times New Roman" w:eastAsia="Times New Roman"/>
                <w:b w:val="0"/>
                <w:i w:val="0"/>
                <w:sz w:val="19"/>
              </w:rPr>
              <w:t>Task recurrence (`repeat_every_days`)</w:t>
            </w:r>
          </w:p>
        </w:tc>
        <w:tc>
          <w:tcPr>
            <w:tcW w:type="dxa" w:w="2880"/>
          </w:tcPr>
          <w:p>
            <w:r/>
            <w:r>
              <w:rPr>
                <w:rFonts w:ascii="Times New Roman" w:hAnsi="Times New Roman" w:eastAsia="Times New Roman"/>
                <w:b w:val="0"/>
                <w:i w:val="0"/>
                <w:sz w:val="19"/>
              </w:rPr>
              <w:t>tasks/migrations 0002</w:t>
            </w:r>
          </w:p>
        </w:tc>
      </w:tr>
      <w:tr>
        <w:tc>
          <w:tcPr>
            <w:tcW w:type="dxa" w:w="2880"/>
          </w:tcPr>
          <w:p>
            <w:r/>
            <w:r>
              <w:rPr>
                <w:rFonts w:ascii="Times New Roman" w:hAnsi="Times New Roman" w:eastAsia="Times New Roman"/>
                <w:b w:val="0"/>
                <w:i w:val="0"/>
                <w:sz w:val="19"/>
              </w:rPr>
              <w:t>WhatsApp opt-in</w:t>
            </w:r>
          </w:p>
        </w:tc>
        <w:tc>
          <w:tcPr>
            <w:tcW w:type="dxa" w:w="2880"/>
          </w:tcPr>
          <w:p>
            <w:r/>
            <w:r>
              <w:rPr>
                <w:rFonts w:ascii="Times New Roman" w:hAnsi="Times New Roman" w:eastAsia="Times New Roman"/>
                <w:b w:val="0"/>
                <w:i w:val="0"/>
                <w:sz w:val="19"/>
              </w:rPr>
              <w:t>WhatsApp notification preference and number fields</w:t>
            </w:r>
          </w:p>
        </w:tc>
        <w:tc>
          <w:tcPr>
            <w:tcW w:type="dxa" w:w="2880"/>
          </w:tcPr>
          <w:p>
            <w:r/>
            <w:r>
              <w:rPr>
                <w:rFonts w:ascii="Times New Roman" w:hAnsi="Times New Roman" w:eastAsia="Times New Roman"/>
                <w:b w:val="0"/>
                <w:i w:val="0"/>
                <w:sz w:val="19"/>
              </w:rPr>
              <w:t>accounts/migrations 0006</w:t>
            </w:r>
          </w:p>
        </w:tc>
      </w:tr>
      <w:tr>
        <w:tc>
          <w:tcPr>
            <w:tcW w:type="dxa" w:w="2880"/>
          </w:tcPr>
          <w:p>
            <w:r/>
            <w:r>
              <w:rPr>
                <w:rFonts w:ascii="Times New Roman" w:hAnsi="Times New Roman" w:eastAsia="Times New Roman"/>
                <w:b w:val="0"/>
                <w:i w:val="0"/>
                <w:sz w:val="19"/>
              </w:rPr>
              <w:t>Onboarding UX</w:t>
            </w:r>
          </w:p>
        </w:tc>
        <w:tc>
          <w:tcPr>
            <w:tcW w:type="dxa" w:w="2880"/>
          </w:tcPr>
          <w:p>
            <w:r/>
            <w:r>
              <w:rPr>
                <w:rFonts w:ascii="Times New Roman" w:hAnsi="Times New Roman" w:eastAsia="Times New Roman"/>
                <w:b w:val="0"/>
                <w:i w:val="0"/>
                <w:sz w:val="19"/>
              </w:rPr>
              <w:t>Dashboard tour flag</w:t>
            </w:r>
          </w:p>
        </w:tc>
        <w:tc>
          <w:tcPr>
            <w:tcW w:type="dxa" w:w="2880"/>
          </w:tcPr>
          <w:p>
            <w:r/>
            <w:r>
              <w:rPr>
                <w:rFonts w:ascii="Times New Roman" w:hAnsi="Times New Roman" w:eastAsia="Times New Roman"/>
                <w:b w:val="0"/>
                <w:i w:val="0"/>
                <w:sz w:val="19"/>
              </w:rPr>
              <w:t>accounts/migrations 0007</w:t>
            </w:r>
          </w:p>
        </w:tc>
      </w:tr>
      <w:tr>
        <w:tc>
          <w:tcPr>
            <w:tcW w:type="dxa" w:w="2880"/>
          </w:tcPr>
          <w:p>
            <w:r/>
            <w:r>
              <w:rPr>
                <w:rFonts w:ascii="Times New Roman" w:hAnsi="Times New Roman" w:eastAsia="Times New Roman"/>
                <w:b w:val="0"/>
                <w:i w:val="0"/>
                <w:sz w:val="19"/>
              </w:rPr>
              <w:t>Blockchain integration</w:t>
            </w:r>
          </w:p>
        </w:tc>
        <w:tc>
          <w:tcPr>
            <w:tcW w:type="dxa" w:w="2880"/>
          </w:tcPr>
          <w:p>
            <w:r/>
            <w:r>
              <w:rPr>
                <w:rFonts w:ascii="Times New Roman" w:hAnsi="Times New Roman" w:eastAsia="Times New Roman"/>
                <w:b w:val="0"/>
                <w:i w:val="0"/>
                <w:sz w:val="19"/>
              </w:rPr>
              <w:t>Hedera HTS/HCS service layer, cow/harvest NFTs, FIQ reward token, hash-anchoring retrofitted onto predictions, transactions, and (later) credit scores</w:t>
            </w:r>
          </w:p>
        </w:tc>
        <w:tc>
          <w:tcPr>
            <w:tcW w:type="dxa" w:w="2880"/>
          </w:tcPr>
          <w:p>
            <w:r/>
            <w:r>
              <w:rPr>
                <w:rFonts w:ascii="Times New Roman" w:hAnsi="Times New Roman" w:eastAsia="Times New Roman"/>
                <w:b w:val="0"/>
                <w:i w:val="0"/>
                <w:sz w:val="19"/>
              </w:rPr>
              <w:t>blockchain app (new); analysis/migrations 0002; finance/migrations 0004; cows/migrations 0010; crops/migrations 0004</w:t>
            </w:r>
          </w:p>
        </w:tc>
      </w:tr>
      <w:tr>
        <w:tc>
          <w:tcPr>
            <w:tcW w:type="dxa" w:w="2880"/>
          </w:tcPr>
          <w:p>
            <w:r/>
            <w:r>
              <w:rPr>
                <w:rFonts w:ascii="Times New Roman" w:hAnsi="Times New Roman" w:eastAsia="Times New Roman"/>
                <w:b w:val="0"/>
                <w:i w:val="0"/>
                <w:sz w:val="19"/>
              </w:rPr>
              <w:t>Alternative credit scoring</w:t>
            </w:r>
          </w:p>
        </w:tc>
        <w:tc>
          <w:tcPr>
            <w:tcW w:type="dxa" w:w="2880"/>
          </w:tcPr>
          <w:p>
            <w:r/>
            <w:r>
              <w:rPr>
                <w:rFonts w:ascii="Times New Roman" w:hAnsi="Times New Roman" w:eastAsia="Times New Roman"/>
                <w:b w:val="0"/>
                <w:i w:val="0"/>
                <w:sz w:val="19"/>
              </w:rPr>
              <w:t>PCA/K-means population-relative scoring engine, partner consent and API</w:t>
            </w:r>
          </w:p>
        </w:tc>
        <w:tc>
          <w:tcPr>
            <w:tcW w:type="dxa" w:w="2880"/>
          </w:tcPr>
          <w:p>
            <w:r/>
            <w:r>
              <w:rPr>
                <w:rFonts w:ascii="Times New Roman" w:hAnsi="Times New Roman" w:eastAsia="Times New Roman"/>
                <w:b w:val="0"/>
                <w:i w:val="0"/>
                <w:sz w:val="19"/>
              </w:rPr>
              <w:t>creditscore app (new); creditscore/migrations 0001–0003</w:t>
            </w:r>
          </w:p>
        </w:tc>
      </w:tr>
      <w:tr>
        <w:tc>
          <w:tcPr>
            <w:tcW w:type="dxa" w:w="2880"/>
          </w:tcPr>
          <w:p>
            <w:r/>
            <w:r>
              <w:rPr>
                <w:rFonts w:ascii="Times New Roman" w:hAnsi="Times New Roman" w:eastAsia="Times New Roman"/>
                <w:b w:val="0"/>
                <w:i w:val="0"/>
                <w:sz w:val="19"/>
              </w:rPr>
              <w:t>Field mapping</w:t>
            </w:r>
          </w:p>
        </w:tc>
        <w:tc>
          <w:tcPr>
            <w:tcW w:type="dxa" w:w="2880"/>
          </w:tcPr>
          <w:p>
            <w:r/>
            <w:r>
              <w:rPr>
                <w:rFonts w:ascii="Times New Roman" w:hAnsi="Times New Roman" w:eastAsia="Times New Roman"/>
                <w:b w:val="0"/>
                <w:i w:val="0"/>
                <w:sz w:val="19"/>
              </w:rPr>
              <w:t>GPS field-boundary surveying, geodesic area/perimeter calculation</w:t>
            </w:r>
          </w:p>
        </w:tc>
        <w:tc>
          <w:tcPr>
            <w:tcW w:type="dxa" w:w="2880"/>
          </w:tcPr>
          <w:p>
            <w:r/>
            <w:r>
              <w:rPr>
                <w:rFonts w:ascii="Times New Roman" w:hAnsi="Times New Roman" w:eastAsia="Times New Roman"/>
                <w:b w:val="0"/>
                <w:i w:val="0"/>
                <w:sz w:val="19"/>
              </w:rPr>
              <w:t>geomap app (new); crops/migrations 0005</w:t>
            </w:r>
          </w:p>
        </w:tc>
      </w:tr>
      <w:tr>
        <w:tc>
          <w:tcPr>
            <w:tcW w:type="dxa" w:w="2880"/>
          </w:tcPr>
          <w:p>
            <w:r/>
            <w:r>
              <w:rPr>
                <w:rFonts w:ascii="Times New Roman" w:hAnsi="Times New Roman" w:eastAsia="Times New Roman"/>
                <w:b w:val="0"/>
                <w:i w:val="0"/>
                <w:sz w:val="19"/>
              </w:rPr>
              <w:t>Rule-based insights</w:t>
            </w:r>
          </w:p>
        </w:tc>
        <w:tc>
          <w:tcPr>
            <w:tcW w:type="dxa" w:w="2880"/>
          </w:tcPr>
          <w:p>
            <w:r/>
            <w:r>
              <w:rPr>
                <w:rFonts w:ascii="Times New Roman" w:hAnsi="Times New Roman" w:eastAsia="Times New Roman"/>
                <w:b w:val="0"/>
                <w:i w:val="0"/>
                <w:sz w:val="19"/>
              </w:rPr>
              <w:t>Threshold-driven dashboard tips engine</w:t>
            </w:r>
          </w:p>
        </w:tc>
        <w:tc>
          <w:tcPr>
            <w:tcW w:type="dxa" w:w="2880"/>
          </w:tcPr>
          <w:p>
            <w:r/>
            <w:r>
              <w:rPr>
                <w:rFonts w:ascii="Times New Roman" w:hAnsi="Times New Roman" w:eastAsia="Times New Roman"/>
                <w:b w:val="0"/>
                <w:i w:val="0"/>
                <w:sz w:val="19"/>
              </w:rPr>
              <w:t>insights app (new)</w:t>
            </w:r>
          </w:p>
        </w:tc>
      </w:tr>
      <w:tr>
        <w:tc>
          <w:tcPr>
            <w:tcW w:type="dxa" w:w="2880"/>
          </w:tcPr>
          <w:p>
            <w:r/>
            <w:r>
              <w:rPr>
                <w:rFonts w:ascii="Times New Roman" w:hAnsi="Times New Roman" w:eastAsia="Times New Roman"/>
                <w:b w:val="0"/>
                <w:i w:val="0"/>
                <w:sz w:val="19"/>
              </w:rPr>
              <w:t>Public presence</w:t>
            </w:r>
          </w:p>
        </w:tc>
        <w:tc>
          <w:tcPr>
            <w:tcW w:type="dxa" w:w="2880"/>
          </w:tcPr>
          <w:p>
            <w:r/>
            <w:r>
              <w:rPr>
                <w:rFonts w:ascii="Times New Roman" w:hAnsi="Times New Roman" w:eastAsia="Times New Roman"/>
                <w:b w:val="0"/>
                <w:i w:val="0"/>
                <w:sz w:val="19"/>
              </w:rPr>
              <w:t>Per-farm public micro-sites with produce listing and order capture</w:t>
            </w:r>
          </w:p>
        </w:tc>
        <w:tc>
          <w:tcPr>
            <w:tcW w:type="dxa" w:w="2880"/>
          </w:tcPr>
          <w:p>
            <w:r/>
            <w:r>
              <w:rPr>
                <w:rFonts w:ascii="Times New Roman" w:hAnsi="Times New Roman" w:eastAsia="Times New Roman"/>
                <w:b w:val="0"/>
                <w:i w:val="0"/>
                <w:sz w:val="19"/>
              </w:rPr>
              <w:t>website app (new)</w:t>
            </w:r>
          </w:p>
        </w:tc>
      </w:tr>
    </w:tbl>
    <w:p>
      <w:pPr>
        <w:spacing w:after="40"/>
      </w:pPr>
    </w:p>
    <w:p>
      <w:pPr>
        <w:spacing w:before="80" w:after="280"/>
        <w:jc w:val="center"/>
      </w:pPr>
      <w:r>
        <w:rPr>
          <w:rFonts w:ascii="Times New Roman" w:hAnsi="Times New Roman" w:eastAsia="Times New Roman"/>
          <w:b/>
          <w:i/>
          <w:sz w:val="21"/>
        </w:rPr>
        <w:t>Table 3.1: FarmIQ's evolutionary development sequence, reconstructed from migration history</w:t>
      </w:r>
    </w:p>
    <w:p>
      <w:pPr>
        <w:pStyle w:val="Heading2"/>
        <w:keepNext/>
        <w:spacing w:before="320" w:after="160"/>
      </w:pPr>
      <w:r>
        <w:rPr>
          <w:rFonts w:ascii="Times New Roman" w:hAnsi="Times New Roman" w:eastAsia="Times New Roman"/>
          <w:b/>
          <w:i w:val="0"/>
          <w:color w:val="1E3A5F"/>
          <w:sz w:val="28"/>
        </w:rPr>
        <w:t>3.4 System Analysis Diagrams</w:t>
      </w:r>
    </w:p>
    <w:p>
      <w:pPr>
        <w:spacing w:after="200" w:line="360" w:lineRule="auto"/>
        <w:jc w:val="both"/>
      </w:pPr>
      <w:r>
        <w:rPr>
          <w:rFonts w:ascii="Times New Roman" w:hAnsi="Times New Roman" w:eastAsia="Times New Roman"/>
          <w:b w:val="0"/>
          <w:i w:val="0"/>
          <w:sz w:val="24"/>
        </w:rPr>
        <w:t>System analysis diagrams were used throughout development to understand and communicate the platform's structure and behaviour; their content is summarised here and presented in full in Chapter 4 alongside the system's functional requirements, since for an already-implemented system the analysis and design artefacts are most usefully read together against the requirements they satisfy.</w:t>
      </w:r>
    </w:p>
    <w:p>
      <w:pPr>
        <w:pStyle w:val="Heading3"/>
        <w:keepNext/>
        <w:spacing w:before="320" w:after="160"/>
      </w:pPr>
      <w:r>
        <w:rPr>
          <w:rFonts w:ascii="Times New Roman" w:hAnsi="Times New Roman" w:eastAsia="Times New Roman"/>
          <w:b/>
          <w:i w:val="0"/>
          <w:color w:val="334155"/>
          <w:sz w:val="25"/>
        </w:rPr>
        <w:t>3.4.1 Use Case Diagram</w:t>
      </w:r>
    </w:p>
    <w:p>
      <w:pPr>
        <w:spacing w:after="200" w:line="360" w:lineRule="auto"/>
        <w:jc w:val="both"/>
      </w:pPr>
      <w:r>
        <w:rPr>
          <w:rFonts w:ascii="Times New Roman" w:hAnsi="Times New Roman" w:eastAsia="Times New Roman"/>
          <w:b w:val="0"/>
          <w:i w:val="0"/>
          <w:sz w:val="24"/>
        </w:rPr>
        <w:t>Four actor types interact with FarmIQ: the Farmer (farm owner), Farm Manager, Farm Supervisor, and Farm Worker, each with a distinct permission tier defined on `FarmMembership` (Section 4.4.5), plus a platform-level Administrator role independent of any single farm. Primary use cases span record entry (milk, feeding, health, weight, crop activity, finance, inventory, tasks), analytics consumption (yield predictions, credit score, insights), blockchain interaction (viewing the FIQ wallet, minting milk certificates and worker rewards), and administrative functions (worker invitation, farm settings, data-partner consent management).</w:t>
      </w:r>
    </w:p>
    <w:p>
      <w:pPr>
        <w:pStyle w:val="Heading3"/>
        <w:keepNext/>
        <w:spacing w:before="320" w:after="160"/>
      </w:pPr>
      <w:r>
        <w:rPr>
          <w:rFonts w:ascii="Times New Roman" w:hAnsi="Times New Roman" w:eastAsia="Times New Roman"/>
          <w:b/>
          <w:i w:val="0"/>
          <w:color w:val="334155"/>
          <w:sz w:val="25"/>
        </w:rPr>
        <w:t>3.4.2 Sequence Diagram</w:t>
      </w:r>
    </w:p>
    <w:p>
      <w:pPr>
        <w:spacing w:after="200" w:line="360" w:lineRule="auto"/>
        <w:jc w:val="both"/>
      </w:pPr>
      <w:r>
        <w:rPr>
          <w:rFonts w:ascii="Times New Roman" w:hAnsi="Times New Roman" w:eastAsia="Times New Roman"/>
          <w:b w:val="0"/>
          <w:i w:val="0"/>
          <w:sz w:val="24"/>
        </w:rPr>
        <w:t>The core predictive workflow illustrates the system's request-time computation model: a user requests the milk-yield predictions page; the view loads the relevant cow's or block's recorded data; the `analysis.ml` package builds the feature vector, fits a ridge regression model against the farm's own historical records, and produces a prediction together with its exact per-feature contributions; the result is upserted into a `MilkPrediction` row; the row's canonical content hash is computed and compared against its previously-anchored hash; only if the hash differs is a new Hedera Consensus Service message submitted; and the page renders the prediction, its plain-language explanation, and (once anchored) a link to the corresponding Hedera transaction. The credit-scoring recompute workflow follows the same anchor-only-on-change pattern at the farm-population scope.</w:t>
      </w:r>
    </w:p>
    <w:p>
      <w:pPr>
        <w:pStyle w:val="Heading3"/>
        <w:keepNext/>
        <w:spacing w:before="320" w:after="160"/>
      </w:pPr>
      <w:r>
        <w:rPr>
          <w:rFonts w:ascii="Times New Roman" w:hAnsi="Times New Roman" w:eastAsia="Times New Roman"/>
          <w:b/>
          <w:i w:val="0"/>
          <w:color w:val="334155"/>
          <w:sz w:val="25"/>
        </w:rPr>
        <w:t>3.4.3 Entity-Relationship Diagram</w:t>
      </w:r>
    </w:p>
    <w:p>
      <w:pPr>
        <w:spacing w:after="200" w:line="360" w:lineRule="auto"/>
        <w:jc w:val="both"/>
      </w:pPr>
      <w:r>
        <w:rPr>
          <w:rFonts w:ascii="Times New Roman" w:hAnsi="Times New Roman" w:eastAsia="Times New Roman"/>
          <w:b w:val="0"/>
          <w:i w:val="0"/>
          <w:sz w:val="24"/>
        </w:rPr>
        <w:t>The relational schema centres on `Farm` and `FarmMembership` as the multi-tenancy backbone, with every domain app's core model (`Cow`, `Crop`, `Transaction`, `InventoryItem`, `Task`, `LandParcel`, `MilkPrediction`, `CreditScoreSnapshot`, `FiqLedgerEntry`) foreign-keyed to `Farm`, and record-level models (`MilkRecord`, `FeedingRecordCow`, `CropActivity`, `StockMovement`) foreign-keyed onward to their owning `Cow`/`Crop`/`InventoryItem`. The full schema is presented in Section 4.5.</w:t>
      </w:r>
    </w:p>
    <w:p>
      <w:pPr>
        <w:pStyle w:val="Heading2"/>
        <w:keepNext/>
        <w:spacing w:before="320" w:after="160"/>
      </w:pPr>
      <w:r>
        <w:rPr>
          <w:rFonts w:ascii="Times New Roman" w:hAnsi="Times New Roman" w:eastAsia="Times New Roman"/>
          <w:b/>
          <w:i w:val="0"/>
          <w:color w:val="1E3A5F"/>
          <w:sz w:val="28"/>
        </w:rPr>
        <w:t>3.5 Design Diagrams</w:t>
      </w:r>
    </w:p>
    <w:p>
      <w:pPr>
        <w:pStyle w:val="Heading3"/>
        <w:keepNext/>
        <w:spacing w:before="320" w:after="160"/>
      </w:pPr>
      <w:r>
        <w:rPr>
          <w:rFonts w:ascii="Times New Roman" w:hAnsi="Times New Roman" w:eastAsia="Times New Roman"/>
          <w:b/>
          <w:i w:val="0"/>
          <w:color w:val="334155"/>
          <w:sz w:val="25"/>
        </w:rPr>
        <w:t>3.5.1 Class Diagram</w:t>
      </w:r>
    </w:p>
    <w:p>
      <w:pPr>
        <w:spacing w:after="200" w:line="360" w:lineRule="auto"/>
        <w:jc w:val="both"/>
      </w:pPr>
      <w:r>
        <w:rPr>
          <w:rFonts w:ascii="Times New Roman" w:hAnsi="Times New Roman" w:eastAsia="Times New Roman"/>
          <w:b w:val="0"/>
          <w:i w:val="0"/>
          <w:sz w:val="24"/>
        </w:rPr>
        <w:t>FarmIQ's implementation follows Django's Model-View-Template pattern with an explicit service-layer convention: business logic that spans more than simple model field access is factored into a `services.py` (or `ml/`, `scoring.py`, `features.py`, `explain.py` for the analytics apps) module per app, keeping views thin and business rules independently testable. Representative classes include `Cow` (herd registry, with computed properties for days-in-milk, expected calving/dry-off dates, and next-heat-expected, all derived from `ReproductiveEvent` records rather than stored redundantly), `TrainedModel` (wraps a fitted `Ridge` regressor and its `StandardScaler`, exposing `predict_one()` to return both a prediction and the scaled input needed for exact contribution calculation), and `CreditScoreSnapshot` (an append-only record of a computed score, never overwritten, mirroring the same immutable-history pattern used for `Transaction` anchoring).</w:t>
      </w:r>
    </w:p>
    <w:p>
      <w:pPr>
        <w:pStyle w:val="Heading3"/>
        <w:keepNext/>
        <w:spacing w:before="320" w:after="160"/>
      </w:pPr>
      <w:r>
        <w:rPr>
          <w:rFonts w:ascii="Times New Roman" w:hAnsi="Times New Roman" w:eastAsia="Times New Roman"/>
          <w:b/>
          <w:i w:val="0"/>
          <w:color w:val="334155"/>
          <w:sz w:val="25"/>
        </w:rPr>
        <w:t>3.5.2 Database Schema</w:t>
      </w:r>
    </w:p>
    <w:p>
      <w:pPr>
        <w:spacing w:after="200" w:line="360" w:lineRule="auto"/>
        <w:jc w:val="both"/>
      </w:pPr>
      <w:r>
        <w:rPr>
          <w:rFonts w:ascii="Times New Roman" w:hAnsi="Times New Roman" w:eastAsia="Times New Roman"/>
          <w:b w:val="0"/>
          <w:i w:val="0"/>
          <w:sz w:val="24"/>
        </w:rPr>
        <w:t>The full database schema, covering all seventeen applications' models and their relationships, is presented in Section 4.5.</w:t>
      </w:r>
    </w:p>
    <w:p>
      <w:pPr>
        <w:pStyle w:val="Heading3"/>
        <w:keepNext/>
        <w:spacing w:before="320" w:after="160"/>
      </w:pPr>
      <w:r>
        <w:rPr>
          <w:rFonts w:ascii="Times New Roman" w:hAnsi="Times New Roman" w:eastAsia="Times New Roman"/>
          <w:b/>
          <w:i w:val="0"/>
          <w:color w:val="334155"/>
          <w:sz w:val="25"/>
        </w:rPr>
        <w:t>3.5.3 System Architecture Diagram</w:t>
      </w:r>
    </w:p>
    <w:p>
      <w:pPr>
        <w:spacing w:after="200" w:line="360" w:lineRule="auto"/>
        <w:jc w:val="both"/>
      </w:pPr>
      <w:r>
        <w:rPr>
          <w:rFonts w:ascii="Times New Roman" w:hAnsi="Times New Roman" w:eastAsia="Times New Roman"/>
          <w:b w:val="0"/>
          <w:i w:val="0"/>
          <w:sz w:val="24"/>
        </w:rPr>
        <w:t>FarmIQ follows a layered architecture: a Progressive Web Application frontend (Django templates, server-rendered, enhanced with a service worker for offline caching and an IndexedDB-backed offline submission queue); an application layer of role-gated Django views and forms; a service layer implementing business logic, machine learning, and Hedera integration; a data layer (SQLite in development, managed PostgreSQL in production); and three external integration surfaces (Hedera Hashgraph for blockchain anchoring and token minting, the Meta WhatsApp Cloud API and Web Push for notifications, and TomTom Maps for field-boundary rendering). Section 4.4 presents this architecture in full detail.</w:t>
      </w:r>
    </w:p>
    <w:p>
      <w:pPr>
        <w:pStyle w:val="Heading3"/>
        <w:keepNext/>
        <w:spacing w:before="320" w:after="160"/>
      </w:pPr>
      <w:r>
        <w:rPr>
          <w:rFonts w:ascii="Times New Roman" w:hAnsi="Times New Roman" w:eastAsia="Times New Roman"/>
          <w:b/>
          <w:i w:val="0"/>
          <w:color w:val="334155"/>
          <w:sz w:val="25"/>
        </w:rPr>
        <w:t>3.5.4 Activity Diagram</w:t>
      </w:r>
    </w:p>
    <w:p>
      <w:pPr>
        <w:spacing w:after="200" w:line="360" w:lineRule="auto"/>
        <w:jc w:val="both"/>
      </w:pPr>
      <w:r>
        <w:rPr>
          <w:rFonts w:ascii="Times New Roman" w:hAnsi="Times New Roman" w:eastAsia="Times New Roman"/>
          <w:b w:val="0"/>
          <w:i w:val="0"/>
          <w:sz w:val="24"/>
        </w:rPr>
        <w:t>The representative activity flow for a farm worker's daily use of the system is: log in via a farm-scoped, passwordless one-time-password flow; record a milk or feeding entry (queued locally and synchronised automatically if offline); the entry updates the relevant inventory stock movement and feeds the milk-yield model's next prediction; if the worker's logged records are later batch-rewarded by a manager, a FIQ token mint is triggered and anchored; and the farm's credit-scoring engine, when next recomputed, incorporates the resulting production-consistency and FIQ-diversity signals into the farm's score.</w:t>
      </w:r>
    </w:p>
    <w:p>
      <w:pPr>
        <w:pStyle w:val="Heading2"/>
        <w:keepNext/>
        <w:spacing w:before="320" w:after="160"/>
      </w:pPr>
      <w:r>
        <w:rPr>
          <w:rFonts w:ascii="Times New Roman" w:hAnsi="Times New Roman" w:eastAsia="Times New Roman"/>
          <w:b/>
          <w:i w:val="0"/>
          <w:color w:val="1E3A5F"/>
          <w:sz w:val="28"/>
        </w:rPr>
        <w:t>3.6 Deliverables</w:t>
      </w:r>
    </w:p>
    <w:p>
      <w:pPr>
        <w:spacing w:after="200" w:line="360" w:lineRule="auto"/>
        <w:jc w:val="both"/>
      </w:pPr>
      <w:r>
        <w:rPr>
          <w:rFonts w:ascii="Times New Roman" w:hAnsi="Times New Roman" w:eastAsia="Times New Roman"/>
          <w:b w:val="0"/>
          <w:i w:val="0"/>
          <w:sz w:val="24"/>
        </w:rPr>
        <w:t>FarmIQ's development produced the following deliverables:</w:t>
      </w:r>
    </w:p>
    <w:p>
      <w:pPr>
        <w:spacing w:after="200" w:line="360" w:lineRule="auto"/>
        <w:jc w:val="both"/>
      </w:pPr>
      <w:r>
        <w:rPr>
          <w:rFonts w:ascii="Times New Roman" w:hAnsi="Times New Roman" w:eastAsia="Times New Roman"/>
          <w:b/>
          <w:i w:val="0"/>
          <w:sz w:val="24"/>
        </w:rPr>
        <w:t>A production Django web application</w:t>
      </w:r>
      <w:r>
        <w:rPr>
          <w:rFonts w:ascii="Times New Roman" w:hAnsi="Times New Roman" w:eastAsia="Times New Roman"/>
          <w:b w:val="0"/>
          <w:i w:val="0"/>
          <w:sz w:val="24"/>
        </w:rPr>
        <w:t xml:space="preserve"> comprising seventeen integrated applications covering farm and role management, herd and crop record-keeping, finance and inventory tracking, task management, GPS field mapping, a rule-based insights engine, and public farm micro-sites, deployed as a Progressive Web Application with offline-first data capture.</w:t>
      </w:r>
    </w:p>
    <w:p>
      <w:pPr>
        <w:spacing w:after="200" w:line="360" w:lineRule="auto"/>
        <w:jc w:val="both"/>
      </w:pPr>
      <w:r>
        <w:rPr>
          <w:rFonts w:ascii="Times New Roman" w:hAnsi="Times New Roman" w:eastAsia="Times New Roman"/>
          <w:b/>
          <w:i w:val="0"/>
          <w:sz w:val="24"/>
        </w:rPr>
        <w:t>Two machine learning subsystems</w:t>
      </w:r>
      <w:r>
        <w:rPr>
          <w:rFonts w:ascii="Times New Roman" w:hAnsi="Times New Roman" w:eastAsia="Times New Roman"/>
          <w:b w:val="0"/>
          <w:i w:val="0"/>
          <w:sz w:val="24"/>
        </w:rPr>
        <w:t>: an on-demand ridge regression milk-yield predictor with exact, closed-form feature-level explainability at cow, block, and farm scope; and an unsupervised, population-relative alternative credit-scoring engine (PCA + K-means) with equivalent exact explainability and a deterministic fallback for small peer populations.</w:t>
      </w:r>
    </w:p>
    <w:p>
      <w:pPr>
        <w:spacing w:after="200" w:line="360" w:lineRule="auto"/>
        <w:jc w:val="both"/>
      </w:pPr>
      <w:r>
        <w:rPr>
          <w:rFonts w:ascii="Times New Roman" w:hAnsi="Times New Roman" w:eastAsia="Times New Roman"/>
          <w:b/>
          <w:i w:val="0"/>
          <w:sz w:val="24"/>
        </w:rPr>
        <w:t>A blockchain integration layer</w:t>
      </w:r>
      <w:r>
        <w:rPr>
          <w:rFonts w:ascii="Times New Roman" w:hAnsi="Times New Roman" w:eastAsia="Times New Roman"/>
          <w:b w:val="0"/>
          <w:i w:val="0"/>
          <w:sz w:val="24"/>
        </w:rPr>
        <w:t xml:space="preserve"> built on Hedera Hashgraph, minting non-fungible tokens for cow and harvest registrations, a fungible FIQ reward token for logging activity and completing tasks, and anchoring content hashes of predictions, financial transactions, and credit-score snapshots to the Hedera Consensus Service.</w:t>
      </w:r>
    </w:p>
    <w:p>
      <w:pPr>
        <w:spacing w:after="200" w:line="360" w:lineRule="auto"/>
        <w:jc w:val="both"/>
      </w:pPr>
      <w:r>
        <w:rPr>
          <w:rFonts w:ascii="Times New Roman" w:hAnsi="Times New Roman" w:eastAsia="Times New Roman"/>
          <w:b/>
          <w:i w:val="0"/>
          <w:sz w:val="24"/>
        </w:rPr>
        <w:t>A multi-channel notification system</w:t>
      </w:r>
      <w:r>
        <w:rPr>
          <w:rFonts w:ascii="Times New Roman" w:hAnsi="Times New Roman" w:eastAsia="Times New Roman"/>
          <w:b w:val="0"/>
          <w:i w:val="0"/>
          <w:sz w:val="24"/>
        </w:rPr>
        <w:t xml:space="preserve"> spanning in-app activity feeds, Web Push, and WhatsApp Cloud API delivery, with user-level delivery preferences.</w:t>
      </w:r>
    </w:p>
    <w:p>
      <w:pPr>
        <w:spacing w:after="200" w:line="360" w:lineRule="auto"/>
        <w:jc w:val="both"/>
      </w:pPr>
      <w:r>
        <w:rPr>
          <w:rFonts w:ascii="Times New Roman" w:hAnsi="Times New Roman" w:eastAsia="Times New Roman"/>
          <w:b/>
          <w:i w:val="0"/>
          <w:sz w:val="24"/>
        </w:rPr>
        <w:t>Automated test suites</w:t>
      </w:r>
      <w:r>
        <w:rPr>
          <w:rFonts w:ascii="Times New Roman" w:hAnsi="Times New Roman" w:eastAsia="Times New Roman"/>
          <w:b w:val="0"/>
          <w:i w:val="0"/>
          <w:sz w:val="24"/>
        </w:rPr>
        <w:t xml:space="preserve"> across the majority of the codebase's applications, exercised and reported in Chapter 6.</w:t>
      </w:r>
    </w:p>
    <w:p>
      <w:pPr>
        <w:spacing w:after="200" w:line="360" w:lineRule="auto"/>
        <w:jc w:val="both"/>
      </w:pPr>
      <w:r>
        <w:rPr>
          <w:rFonts w:ascii="Times New Roman" w:hAnsi="Times New Roman" w:eastAsia="Times New Roman"/>
          <w:b/>
          <w:i w:val="0"/>
          <w:sz w:val="24"/>
        </w:rPr>
        <w:t>This project documentation</w:t>
      </w:r>
      <w:r>
        <w:rPr>
          <w:rFonts w:ascii="Times New Roman" w:hAnsi="Times New Roman" w:eastAsia="Times New Roman"/>
          <w:b w:val="0"/>
          <w:i w:val="0"/>
          <w:sz w:val="24"/>
        </w:rPr>
        <w:t>, covering the system's background, literature grounding, methodology, analysis and design, implementation, and evaluation.</w:t>
      </w:r>
    </w:p>
    <w:p>
      <w:pPr>
        <w:pStyle w:val="Heading2"/>
        <w:keepNext/>
        <w:spacing w:before="320" w:after="160"/>
      </w:pPr>
      <w:r>
        <w:rPr>
          <w:rFonts w:ascii="Times New Roman" w:hAnsi="Times New Roman" w:eastAsia="Times New Roman"/>
          <w:b/>
          <w:i w:val="0"/>
          <w:color w:val="1E3A5F"/>
          <w:sz w:val="28"/>
        </w:rPr>
        <w:t>3.7 Tools and Techniques</w:t>
      </w:r>
    </w:p>
    <w:p>
      <w:pPr>
        <w:spacing w:after="200" w:line="360" w:lineRule="auto"/>
        <w:jc w:val="both"/>
      </w:pPr>
      <w:r>
        <w:rPr>
          <w:rFonts w:ascii="Times New Roman" w:hAnsi="Times New Roman" w:eastAsia="Times New Roman"/>
          <w:b/>
          <w:i w:val="0"/>
          <w:sz w:val="24"/>
        </w:rPr>
        <w:t>Backend framework.</w:t>
      </w:r>
      <w:r>
        <w:rPr>
          <w:rFonts w:ascii="Times New Roman" w:hAnsi="Times New Roman" w:eastAsia="Times New Roman"/>
          <w:b w:val="0"/>
          <w:i w:val="0"/>
          <w:sz w:val="24"/>
        </w:rPr>
        <w:t xml:space="preserve"> Django 5.2.17 with a custom, email-first, passwordless-authentication user model (`accounts.User`), django-environ for environment-based settings management, django-countries for structured country fields, and psycopg for PostgreSQL connectivity in production.</w:t>
      </w:r>
    </w:p>
    <w:p>
      <w:pPr>
        <w:spacing w:after="200" w:line="360" w:lineRule="auto"/>
        <w:jc w:val="both"/>
      </w:pPr>
      <w:r>
        <w:rPr>
          <w:rFonts w:ascii="Times New Roman" w:hAnsi="Times New Roman" w:eastAsia="Times New Roman"/>
          <w:b/>
          <w:i w:val="0"/>
          <w:sz w:val="24"/>
        </w:rPr>
        <w:t>Machine learning.</w:t>
      </w:r>
      <w:r>
        <w:rPr>
          <w:rFonts w:ascii="Times New Roman" w:hAnsi="Times New Roman" w:eastAsia="Times New Roman"/>
          <w:b w:val="0"/>
          <w:i w:val="0"/>
          <w:sz w:val="24"/>
        </w:rPr>
        <w:t xml:space="preserve"> scikit-learn 1.9.0 supplies both `Ridge` regression (milk-yield prediction) and `PCA`/`KMeans` (credit scoring); numpy underlies all numeric computation, including a deliberate hand-rolled percentile-rank and coefficient-of-variation implementation in place of scipy's equivalents, to keep the analytics apps' dependency footprint minimal.</w:t>
      </w:r>
    </w:p>
    <w:p>
      <w:pPr>
        <w:spacing w:after="200" w:line="360" w:lineRule="auto"/>
        <w:jc w:val="both"/>
      </w:pPr>
      <w:r>
        <w:rPr>
          <w:rFonts w:ascii="Times New Roman" w:hAnsi="Times New Roman" w:eastAsia="Times New Roman"/>
          <w:b/>
          <w:i w:val="0"/>
          <w:sz w:val="24"/>
        </w:rPr>
        <w:t>Blockchain.</w:t>
      </w:r>
      <w:r>
        <w:rPr>
          <w:rFonts w:ascii="Times New Roman" w:hAnsi="Times New Roman" w:eastAsia="Times New Roman"/>
          <w:b w:val="0"/>
          <w:i w:val="0"/>
          <w:sz w:val="24"/>
        </w:rPr>
        <w:t xml:space="preserve"> The `hiero-sdk-python` (Hiero/Hedera Python SDK) provides programmatic access to Hedera Token Service (NFT and fungible-token minting) and Hedera Consensus Service (hash anchoring), operated against the Hedera testnet during development.</w:t>
      </w:r>
    </w:p>
    <w:p>
      <w:pPr>
        <w:spacing w:after="200" w:line="360" w:lineRule="auto"/>
        <w:jc w:val="both"/>
      </w:pPr>
      <w:r>
        <w:rPr>
          <w:rFonts w:ascii="Times New Roman" w:hAnsi="Times New Roman" w:eastAsia="Times New Roman"/>
          <w:b/>
          <w:i w:val="0"/>
          <w:sz w:val="24"/>
        </w:rPr>
        <w:t>Frontend and PWA.</w:t>
      </w:r>
      <w:r>
        <w:rPr>
          <w:rFonts w:ascii="Times New Roman" w:hAnsi="Times New Roman" w:eastAsia="Times New Roman"/>
          <w:b w:val="0"/>
          <w:i w:val="0"/>
          <w:sz w:val="24"/>
        </w:rPr>
        <w:t xml:space="preserve"> Server-rendered Django templates styled with Tailwind CSS utility classes, progressively enhanced with a custom service worker (network-first caching strategy, deliberately not cache-first, so that a live farm-records application always shows fresh data when online) and an IndexedDB-backed offline submission queue (`static/js/offline-queue.js`) that is the platform's primary offline mechanism, given that the Background Sync API it also registers as a secondary path has no support in Safari/iOS.</w:t>
      </w:r>
    </w:p>
    <w:p>
      <w:pPr>
        <w:spacing w:after="200" w:line="360" w:lineRule="auto"/>
        <w:jc w:val="both"/>
      </w:pPr>
      <w:r>
        <w:rPr>
          <w:rFonts w:ascii="Times New Roman" w:hAnsi="Times New Roman" w:eastAsia="Times New Roman"/>
          <w:b/>
          <w:i w:val="0"/>
          <w:sz w:val="24"/>
        </w:rPr>
        <w:t>Notifications.</w:t>
      </w:r>
      <w:r>
        <w:rPr>
          <w:rFonts w:ascii="Times New Roman" w:hAnsi="Times New Roman" w:eastAsia="Times New Roman"/>
          <w:b w:val="0"/>
          <w:i w:val="0"/>
          <w:sz w:val="24"/>
        </w:rPr>
        <w:t xml:space="preserve"> The official Meta WhatsApp Cloud API for WhatsApp delivery, `pywebpush` and VAPID key-pairs for Web Push, and ZeptoMail (via standard SMTP) for transactional email in production.</w:t>
      </w:r>
    </w:p>
    <w:p>
      <w:pPr>
        <w:spacing w:after="200" w:line="360" w:lineRule="auto"/>
        <w:jc w:val="both"/>
      </w:pPr>
      <w:r>
        <w:rPr>
          <w:rFonts w:ascii="Times New Roman" w:hAnsi="Times New Roman" w:eastAsia="Times New Roman"/>
          <w:b/>
          <w:i w:val="0"/>
          <w:sz w:val="24"/>
        </w:rPr>
        <w:t>Reporting and export.</w:t>
      </w:r>
      <w:r>
        <w:rPr>
          <w:rFonts w:ascii="Times New Roman" w:hAnsi="Times New Roman" w:eastAsia="Times New Roman"/>
          <w:b w:val="0"/>
          <w:i w:val="0"/>
          <w:sz w:val="24"/>
        </w:rPr>
        <w:t xml:space="preserve"> `openpyxl` for styled XLSX export, `reportlab` for branded PDF export, and Python's standard `csv` module for CSV export, all three built from one shared report-aggregation function to guarantee the export formats never disagree with one another.</w:t>
      </w:r>
    </w:p>
    <w:p>
      <w:pPr>
        <w:spacing w:after="200" w:line="360" w:lineRule="auto"/>
        <w:jc w:val="both"/>
      </w:pPr>
      <w:r>
        <w:rPr>
          <w:rFonts w:ascii="Times New Roman" w:hAnsi="Times New Roman" w:eastAsia="Times New Roman"/>
          <w:b/>
          <w:i w:val="0"/>
          <w:sz w:val="24"/>
        </w:rPr>
        <w:t>Mapping.</w:t>
      </w:r>
      <w:r>
        <w:rPr>
          <w:rFonts w:ascii="Times New Roman" w:hAnsi="Times New Roman" w:eastAsia="Times New Roman"/>
          <w:b w:val="0"/>
          <w:i w:val="0"/>
          <w:sz w:val="24"/>
        </w:rPr>
        <w:t xml:space="preserve"> MapLibre GL JS on the frontend with a TomTom Maps Maker custom vector style for GPS field-boundary drawing, and a server-side spherical-excess polygon area formula (rather than a flat-plane shoelace formula, which drifts inaccurate away from the equator) for computing field area and perimeter.</w:t>
      </w:r>
    </w:p>
    <w:p>
      <w:pPr>
        <w:spacing w:after="200" w:line="360" w:lineRule="auto"/>
        <w:jc w:val="both"/>
      </w:pPr>
      <w:r>
        <w:rPr>
          <w:rFonts w:ascii="Times New Roman" w:hAnsi="Times New Roman" w:eastAsia="Times New Roman"/>
          <w:b/>
          <w:i w:val="0"/>
          <w:sz w:val="24"/>
        </w:rPr>
        <w:t>Testing.</w:t>
      </w:r>
      <w:r>
        <w:rPr>
          <w:rFonts w:ascii="Times New Roman" w:hAnsi="Times New Roman" w:eastAsia="Times New Roman"/>
          <w:b w:val="0"/>
          <w:i w:val="0"/>
          <w:sz w:val="24"/>
        </w:rPr>
        <w:t xml:space="preserve"> Django's built-in `TestCase`/`Client` framework, used across the majority of the codebase's applications; results are reported in full in Chapter 6.</w:t>
      </w:r>
    </w:p>
    <w:p>
      <w:pPr>
        <w:spacing w:after="200" w:line="360" w:lineRule="auto"/>
        <w:jc w:val="both"/>
      </w:pPr>
      <w:r>
        <w:rPr>
          <w:rFonts w:ascii="Times New Roman" w:hAnsi="Times New Roman" w:eastAsia="Times New Roman"/>
          <w:b/>
          <w:i w:val="0"/>
          <w:sz w:val="24"/>
        </w:rPr>
        <w:t>Deployment infrastructure.</w:t>
      </w:r>
      <w:r>
        <w:rPr>
          <w:rFonts w:ascii="Times New Roman" w:hAnsi="Times New Roman" w:eastAsia="Times New Roman"/>
          <w:b w:val="0"/>
          <w:i w:val="0"/>
          <w:sz w:val="24"/>
        </w:rPr>
        <w:t xml:space="preserve"> Vercel serverless hosting (explaining the project's consistent avoidance of background workers or scheduled jobs — every analytical feature computes synchronously, on demand, at request time), SQLite for local development, managed PostgreSQL (Neon) in production, and AWS S3 (via django-storages) for production media storage.</w:t>
      </w:r>
    </w:p>
    <w:p>
      <w:pPr>
        <w:spacing w:after="200" w:line="360" w:lineRule="auto"/>
        <w:jc w:val="both"/>
      </w:pPr>
      <w:r>
        <w:rPr>
          <w:rFonts w:ascii="Times New Roman" w:hAnsi="Times New Roman" w:eastAsia="Times New Roman"/>
          <w:b/>
          <w:i w:val="0"/>
          <w:sz w:val="24"/>
        </w:rPr>
        <w:t>Internationalisation.</w:t>
      </w:r>
      <w:r>
        <w:rPr>
          <w:rFonts w:ascii="Times New Roman" w:hAnsi="Times New Roman" w:eastAsia="Times New Roman"/>
          <w:b w:val="0"/>
          <w:i w:val="0"/>
          <w:sz w:val="24"/>
        </w:rPr>
        <w:t xml:space="preserve"> Django's built-in `gettext`-based translation framework, with English and Kiswahili (`sw`) locales; the Kiswahili translation file comprises over 3,200 lines with approximately 97 percent of extracted strings translated.</w:t>
      </w:r>
    </w:p>
    <w:p>
      <w:pPr>
        <w:pStyle w:val="Heading1"/>
        <w:keepNext/>
        <w:pageBreakBefore/>
        <w:spacing w:before="80" w:after="200"/>
      </w:pPr>
      <w:r>
        <w:rPr>
          <w:rFonts w:ascii="Times New Roman" w:hAnsi="Times New Roman" w:eastAsia="Times New Roman"/>
          <w:b/>
          <w:i w:val="0"/>
          <w:color w:val="047857"/>
          <w:sz w:val="36"/>
        </w:rPr>
        <w:t>Chapter 4: System Analysis and Design</w:t>
      </w:r>
    </w:p>
    <w:p>
      <w:pPr>
        <w:pStyle w:val="Heading2"/>
        <w:keepNext/>
        <w:spacing w:before="320" w:after="160"/>
      </w:pPr>
      <w:r>
        <w:rPr>
          <w:rFonts w:ascii="Times New Roman" w:hAnsi="Times New Roman" w:eastAsia="Times New Roman"/>
          <w:b/>
          <w:i w:val="0"/>
          <w:color w:val="1E3A5F"/>
          <w:sz w:val="28"/>
        </w:rPr>
        <w:t>4.1 Introduction</w:t>
      </w:r>
    </w:p>
    <w:p>
      <w:pPr>
        <w:spacing w:after="200" w:line="360" w:lineRule="auto"/>
        <w:jc w:val="both"/>
      </w:pPr>
      <w:r>
        <w:rPr>
          <w:rFonts w:ascii="Times New Roman" w:hAnsi="Times New Roman" w:eastAsia="Times New Roman"/>
          <w:b w:val="0"/>
          <w:i w:val="0"/>
          <w:sz w:val="24"/>
        </w:rPr>
        <w:t>This chapter presents the system analysis and design of FarmIQ, a multi-tenant Progressive Web Application supporting smallholder farm management, predictive analytics, blockchain-anchored trust, and alternative credit scoring. It is developed for environments where users may have intermittent connectivity, varying digital literacy, and no dedicated technical administrative staff, and is accordingly designed to be role-aware, explainable, offline-tolerant, and resilient to third-party service failure. The chapter presents FarmIQ's functional, non-functional, data, and interface requirements; the system analysis diagrams (context, use case, data flow, activity, and entity-relationship) that model its behaviour and structure; and the system design (architecture, layered design, workflow, component interaction, role hierarchy, and database schema) that these requirements were translated into.</w:t>
      </w:r>
    </w:p>
    <w:p>
      <w:pPr>
        <w:pStyle w:val="Heading2"/>
        <w:keepNext/>
        <w:spacing w:before="320" w:after="160"/>
      </w:pPr>
      <w:r>
        <w:rPr>
          <w:rFonts w:ascii="Times New Roman" w:hAnsi="Times New Roman" w:eastAsia="Times New Roman"/>
          <w:b/>
          <w:i w:val="0"/>
          <w:color w:val="1E3A5F"/>
          <w:sz w:val="28"/>
        </w:rPr>
        <w:t>4.2 System Requirements</w:t>
      </w:r>
    </w:p>
    <w:p>
      <w:pPr>
        <w:spacing w:after="200" w:line="360" w:lineRule="auto"/>
        <w:jc w:val="both"/>
      </w:pPr>
      <w:r>
        <w:rPr>
          <w:rFonts w:ascii="Times New Roman" w:hAnsi="Times New Roman" w:eastAsia="Times New Roman"/>
          <w:b w:val="0"/>
          <w:i w:val="0"/>
          <w:sz w:val="24"/>
        </w:rPr>
        <w:t>FarmIQ's requirements were shaped by the need to support genuine day-to-day farm operation, not only demonstrative functionality, for a user population with limited connectivity and variable digital literacy, while producing analytical outputs (predictions, scores) trustworthy enough to be shared with an external financial data partner.</w:t>
      </w:r>
    </w:p>
    <w:p>
      <w:pPr>
        <w:pStyle w:val="Heading3"/>
        <w:keepNext/>
        <w:spacing w:before="320" w:after="160"/>
      </w:pPr>
      <w:r>
        <w:rPr>
          <w:rFonts w:ascii="Times New Roman" w:hAnsi="Times New Roman" w:eastAsia="Times New Roman"/>
          <w:b/>
          <w:i w:val="0"/>
          <w:color w:val="334155"/>
          <w:sz w:val="25"/>
        </w:rPr>
        <w:t>4.2.1 Functional Requirements</w:t>
      </w:r>
    </w:p>
    <w:p>
      <w:pPr>
        <w:spacing w:after="200" w:line="360" w:lineRule="auto"/>
        <w:jc w:val="both"/>
      </w:pPr>
      <w:r>
        <w:rPr>
          <w:rFonts w:ascii="Times New Roman" w:hAnsi="Times New Roman" w:eastAsia="Times New Roman"/>
          <w:b/>
          <w:i w:val="0"/>
          <w:sz w:val="24"/>
        </w:rPr>
        <w:t>Farm and role management.</w:t>
      </w:r>
      <w:r>
        <w:rPr>
          <w:rFonts w:ascii="Times New Roman" w:hAnsi="Times New Roman" w:eastAsia="Times New Roman"/>
          <w:b w:val="0"/>
          <w:i w:val="0"/>
          <w:sz w:val="24"/>
        </w:rPr>
        <w:t xml:space="preserve"> The system must support multiple farms, each with multiple users holding one of four roles (Farmer/Owner, Manager, Supervisor, Worker), and must restrict actions according to role: only a Farmer may register a new farm; Farmer and Manager may invite and manage workers; Farmer, Manager, and Supervisor may create, edit, and delete herd/crop/finance/inventory records and manage blocks; all four roles, including Worker, may record day-to-day production data (milk, feeding, harvest, tasks) but Worker may not edit or delete existing records once logged.</w:t>
      </w:r>
    </w:p>
    <w:p>
      <w:pPr>
        <w:spacing w:after="200" w:line="360" w:lineRule="auto"/>
        <w:jc w:val="both"/>
      </w:pPr>
      <w:r>
        <w:rPr>
          <w:rFonts w:ascii="Times New Roman" w:hAnsi="Times New Roman" w:eastAsia="Times New Roman"/>
          <w:b/>
          <w:i w:val="0"/>
          <w:sz w:val="24"/>
        </w:rPr>
        <w:t>Herd management.</w:t>
      </w:r>
      <w:r>
        <w:rPr>
          <w:rFonts w:ascii="Times New Roman" w:hAnsi="Times New Roman" w:eastAsia="Times New Roman"/>
          <w:b w:val="0"/>
          <w:i w:val="0"/>
          <w:sz w:val="24"/>
        </w:rPr>
        <w:t xml:space="preserve"> The system must allow registration and tracking of individual animals (tag ID, breed, category, block, sire/dam pedigree), daily milk and feeding records, health records and treatment history, weight tracking, and a reproduction/breeding calendar from which calving, dry-off, and next-heat dates are computed.</w:t>
      </w:r>
    </w:p>
    <w:p>
      <w:pPr>
        <w:spacing w:after="200" w:line="360" w:lineRule="auto"/>
        <w:jc w:val="both"/>
      </w:pPr>
      <w:r>
        <w:rPr>
          <w:rFonts w:ascii="Times New Roman" w:hAnsi="Times New Roman" w:eastAsia="Times New Roman"/>
          <w:b/>
          <w:i w:val="0"/>
          <w:sz w:val="24"/>
        </w:rPr>
        <w:t>Crop management.</w:t>
      </w:r>
      <w:r>
        <w:rPr>
          <w:rFonts w:ascii="Times New Roman" w:hAnsi="Times New Roman" w:eastAsia="Times New Roman"/>
          <w:b w:val="0"/>
          <w:i w:val="0"/>
          <w:sz w:val="24"/>
        </w:rPr>
        <w:t xml:space="preserve"> The system must allow tracking of individual crops from planting through harvest, logging of crop activities (planting, weeding, spraying, fertilising, harvesting), and optional association of a crop with a GPS-surveyed field boundary.</w:t>
      </w:r>
    </w:p>
    <w:p>
      <w:pPr>
        <w:spacing w:after="200" w:line="360" w:lineRule="auto"/>
        <w:jc w:val="both"/>
      </w:pPr>
      <w:r>
        <w:rPr>
          <w:rFonts w:ascii="Times New Roman" w:hAnsi="Times New Roman" w:eastAsia="Times New Roman"/>
          <w:b/>
          <w:i w:val="0"/>
          <w:sz w:val="24"/>
        </w:rPr>
        <w:t>Finance and inventory management.</w:t>
      </w:r>
      <w:r>
        <w:rPr>
          <w:rFonts w:ascii="Times New Roman" w:hAnsi="Times New Roman" w:eastAsia="Times New Roman"/>
          <w:b w:val="0"/>
          <w:i w:val="0"/>
          <w:sz w:val="24"/>
        </w:rPr>
        <w:t xml:space="preserve"> The system must record income and expense transactions by category, and must track inventory stock levels with automatic, concurrency-safe balance updates driven by milk production, feed usage, and crop harvest events elsewhere in the system.</w:t>
      </w:r>
    </w:p>
    <w:p>
      <w:pPr>
        <w:spacing w:after="200" w:line="360" w:lineRule="auto"/>
        <w:jc w:val="both"/>
      </w:pPr>
      <w:r>
        <w:rPr>
          <w:rFonts w:ascii="Times New Roman" w:hAnsi="Times New Roman" w:eastAsia="Times New Roman"/>
          <w:b/>
          <w:i w:val="0"/>
          <w:sz w:val="24"/>
        </w:rPr>
        <w:t>Production forecasting.</w:t>
      </w:r>
      <w:r>
        <w:rPr>
          <w:rFonts w:ascii="Times New Roman" w:hAnsi="Times New Roman" w:eastAsia="Times New Roman"/>
          <w:b w:val="0"/>
          <w:i w:val="0"/>
          <w:sz w:val="24"/>
        </w:rPr>
        <w:t xml:space="preserve"> The system must generate an on-demand milk-yield forecast at cow, block, and farm scope from a farm's own recorded data, accompanied by an exact, human-readable explanation of the features driving the forecast.</w:t>
      </w:r>
    </w:p>
    <w:p>
      <w:pPr>
        <w:spacing w:after="200" w:line="360" w:lineRule="auto"/>
        <w:jc w:val="both"/>
      </w:pPr>
      <w:r>
        <w:rPr>
          <w:rFonts w:ascii="Times New Roman" w:hAnsi="Times New Roman" w:eastAsia="Times New Roman"/>
          <w:b/>
          <w:i w:val="0"/>
          <w:sz w:val="24"/>
        </w:rPr>
        <w:t>Alternative credit scoring.</w:t>
      </w:r>
      <w:r>
        <w:rPr>
          <w:rFonts w:ascii="Times New Roman" w:hAnsi="Times New Roman" w:eastAsia="Times New Roman"/>
          <w:b w:val="0"/>
          <w:i w:val="0"/>
          <w:sz w:val="24"/>
        </w:rPr>
        <w:t xml:space="preserve"> The system must compute an explainable, 0–100 credit score and tier (Poor/Fair/Good/Excellent) for a farm, ranked against its current eligible peer population where a sufficient population exists, or a deterministic provisional composite otherwise, together with a category-level and feature-level breakdown; this score must be exposed to consenting external data partners through a dedicated, authenticated, and audit-logged API.</w:t>
      </w:r>
    </w:p>
    <w:p>
      <w:pPr>
        <w:spacing w:after="200" w:line="360" w:lineRule="auto"/>
        <w:jc w:val="both"/>
      </w:pPr>
      <w:r>
        <w:rPr>
          <w:rFonts w:ascii="Times New Roman" w:hAnsi="Times New Roman" w:eastAsia="Times New Roman"/>
          <w:b/>
          <w:i w:val="0"/>
          <w:sz w:val="24"/>
        </w:rPr>
        <w:t>Blockchain-anchored trust and incentives.</w:t>
      </w:r>
      <w:r>
        <w:rPr>
          <w:rFonts w:ascii="Times New Roman" w:hAnsi="Times New Roman" w:eastAsia="Times New Roman"/>
          <w:b w:val="0"/>
          <w:i w:val="0"/>
          <w:sz w:val="24"/>
        </w:rPr>
        <w:t xml:space="preserve"> The system must mint a non-fungible token on registration of a cow or a harvest event, mint a fungible FIQ reward token for milk certification and batched worker data-logging rewards, and anchor a content hash of every changed prediction, financial transaction, and credit-score snapshot to a public, timestamped ledger, without ever blocking the underlying user action if the blockchain service is unavailable.</w:t>
      </w:r>
    </w:p>
    <w:p>
      <w:pPr>
        <w:spacing w:after="200" w:line="360" w:lineRule="auto"/>
        <w:jc w:val="both"/>
      </w:pPr>
      <w:r>
        <w:rPr>
          <w:rFonts w:ascii="Times New Roman" w:hAnsi="Times New Roman" w:eastAsia="Times New Roman"/>
          <w:b/>
          <w:i w:val="0"/>
          <w:sz w:val="24"/>
        </w:rPr>
        <w:t>Notifications.</w:t>
      </w:r>
      <w:r>
        <w:rPr>
          <w:rFonts w:ascii="Times New Roman" w:hAnsi="Times New Roman" w:eastAsia="Times New Roman"/>
          <w:b w:val="0"/>
          <w:i w:val="0"/>
          <w:sz w:val="24"/>
        </w:rPr>
        <w:t xml:space="preserve"> The system must deliver notifications through an in-app activity feed, Web Push, and WhatsApp, according to each user's own delivery preference, and must degrade gracefully (skip, not fail) if a channel is unconfigured or unreachable.</w:t>
      </w:r>
    </w:p>
    <w:p>
      <w:pPr>
        <w:spacing w:after="200" w:line="360" w:lineRule="auto"/>
        <w:jc w:val="both"/>
      </w:pPr>
      <w:r>
        <w:rPr>
          <w:rFonts w:ascii="Times New Roman" w:hAnsi="Times New Roman" w:eastAsia="Times New Roman"/>
          <w:b/>
          <w:i w:val="0"/>
          <w:sz w:val="24"/>
        </w:rPr>
        <w:t>Reporting.</w:t>
      </w:r>
      <w:r>
        <w:rPr>
          <w:rFonts w:ascii="Times New Roman" w:hAnsi="Times New Roman" w:eastAsia="Times New Roman"/>
          <w:b w:val="0"/>
          <w:i w:val="0"/>
          <w:sz w:val="24"/>
        </w:rPr>
        <w:t xml:space="preserve"> The system must allow export of farm production, financial, and inventory data as CSV, XLSX, and PDF over daily, monthly, quarterly, and yearly periods, from a single shared data-aggregation function so the three formats cannot disagree.</w:t>
      </w:r>
    </w:p>
    <w:p>
      <w:pPr>
        <w:spacing w:after="200" w:line="360" w:lineRule="auto"/>
        <w:jc w:val="both"/>
      </w:pPr>
      <w:r>
        <w:rPr>
          <w:rFonts w:ascii="Times New Roman" w:hAnsi="Times New Roman" w:eastAsia="Times New Roman"/>
          <w:b/>
          <w:i w:val="0"/>
          <w:sz w:val="24"/>
        </w:rPr>
        <w:t>Offline data capture.</w:t>
      </w:r>
      <w:r>
        <w:rPr>
          <w:rFonts w:ascii="Times New Roman" w:hAnsi="Times New Roman" w:eastAsia="Times New Roman"/>
          <w:b w:val="0"/>
          <w:i w:val="0"/>
          <w:sz w:val="24"/>
        </w:rPr>
        <w:t xml:space="preserve"> The system must allow a user to submit a production record (such as a milk or feeding entry) while offline, queue it locally, and automatically resubmit it once connectivity returns.</w:t>
      </w:r>
    </w:p>
    <w:p>
      <w:pPr>
        <w:pStyle w:val="Heading3"/>
        <w:keepNext/>
        <w:spacing w:before="320" w:after="160"/>
      </w:pPr>
      <w:r>
        <w:rPr>
          <w:rFonts w:ascii="Times New Roman" w:hAnsi="Times New Roman" w:eastAsia="Times New Roman"/>
          <w:b/>
          <w:i w:val="0"/>
          <w:color w:val="334155"/>
          <w:sz w:val="25"/>
        </w:rPr>
        <w:t>4.2.2 Non-Functional Requirements</w:t>
      </w:r>
    </w:p>
    <w:p>
      <w:pPr>
        <w:spacing w:after="200" w:line="360" w:lineRule="auto"/>
        <w:jc w:val="both"/>
      </w:pPr>
      <w:r>
        <w:rPr>
          <w:rFonts w:ascii="Times New Roman" w:hAnsi="Times New Roman" w:eastAsia="Times New Roman"/>
          <w:b/>
          <w:i w:val="0"/>
          <w:sz w:val="24"/>
        </w:rPr>
        <w:t>Explainability.</w:t>
      </w:r>
      <w:r>
        <w:rPr>
          <w:rFonts w:ascii="Times New Roman" w:hAnsi="Times New Roman" w:eastAsia="Times New Roman"/>
          <w:b w:val="0"/>
          <w:i w:val="0"/>
          <w:sz w:val="24"/>
        </w:rPr>
        <w:t xml:space="preserve"> Every automated prediction or score must be accompanied by an exact, independently-recomputable explanation of its contributing features, not merely a confidence value or an approximated explanation.</w:t>
      </w:r>
    </w:p>
    <w:p>
      <w:pPr>
        <w:spacing w:after="200" w:line="360" w:lineRule="auto"/>
        <w:jc w:val="both"/>
      </w:pPr>
      <w:r>
        <w:rPr>
          <w:rFonts w:ascii="Times New Roman" w:hAnsi="Times New Roman" w:eastAsia="Times New Roman"/>
          <w:b/>
          <w:i w:val="0"/>
          <w:sz w:val="24"/>
        </w:rPr>
        <w:t>Resilience.</w:t>
      </w:r>
      <w:r>
        <w:rPr>
          <w:rFonts w:ascii="Times New Roman" w:hAnsi="Times New Roman" w:eastAsia="Times New Roman"/>
          <w:b w:val="0"/>
          <w:i w:val="0"/>
          <w:sz w:val="24"/>
        </w:rPr>
        <w:t xml:space="preserve"> Failure of any third-party integration (Hedera, WhatsApp, Web Push, email, weather, mapping) must degrade the specific feature it supports without affecting any other part of the system or raising an unhandled error to the user.</w:t>
      </w:r>
    </w:p>
    <w:p>
      <w:pPr>
        <w:spacing w:after="200" w:line="360" w:lineRule="auto"/>
        <w:jc w:val="both"/>
      </w:pPr>
      <w:r>
        <w:rPr>
          <w:rFonts w:ascii="Times New Roman" w:hAnsi="Times New Roman" w:eastAsia="Times New Roman"/>
          <w:b/>
          <w:i w:val="0"/>
          <w:sz w:val="24"/>
        </w:rPr>
        <w:t>Determinism.</w:t>
      </w:r>
      <w:r>
        <w:rPr>
          <w:rFonts w:ascii="Times New Roman" w:hAnsi="Times New Roman" w:eastAsia="Times New Roman"/>
          <w:b w:val="0"/>
          <w:i w:val="0"/>
          <w:sz w:val="24"/>
        </w:rPr>
        <w:t xml:space="preserve"> Recomputing an unchanged credit-score population, or an unchanged prediction, must produce identical output; blockchain anchoring must occur only when the underlying content has actually changed, to avoid redundant paid transactions.</w:t>
      </w:r>
    </w:p>
    <w:p>
      <w:pPr>
        <w:spacing w:after="200" w:line="360" w:lineRule="auto"/>
        <w:jc w:val="both"/>
      </w:pPr>
      <w:r>
        <w:rPr>
          <w:rFonts w:ascii="Times New Roman" w:hAnsi="Times New Roman" w:eastAsia="Times New Roman"/>
          <w:b/>
          <w:i w:val="0"/>
          <w:sz w:val="24"/>
        </w:rPr>
        <w:t>Accessibility.</w:t>
      </w:r>
      <w:r>
        <w:rPr>
          <w:rFonts w:ascii="Times New Roman" w:hAnsi="Times New Roman" w:eastAsia="Times New Roman"/>
          <w:b w:val="0"/>
          <w:i w:val="0"/>
          <w:sz w:val="24"/>
        </w:rPr>
        <w:t xml:space="preserve"> The interface must be usable on low-end mobile devices over an intermittent connection, must function (for data entry) while fully offline, and must be available in both English and Kiswahili.</w:t>
      </w:r>
    </w:p>
    <w:p>
      <w:pPr>
        <w:spacing w:after="200" w:line="360" w:lineRule="auto"/>
        <w:jc w:val="both"/>
      </w:pPr>
      <w:r>
        <w:rPr>
          <w:rFonts w:ascii="Times New Roman" w:hAnsi="Times New Roman" w:eastAsia="Times New Roman"/>
          <w:b/>
          <w:i w:val="0"/>
          <w:sz w:val="24"/>
        </w:rPr>
        <w:t>Security and access control.</w:t>
      </w:r>
      <w:r>
        <w:rPr>
          <w:rFonts w:ascii="Times New Roman" w:hAnsi="Times New Roman" w:eastAsia="Times New Roman"/>
          <w:b w:val="0"/>
          <w:i w:val="0"/>
          <w:sz w:val="24"/>
        </w:rPr>
        <w:t xml:space="preserve"> Authentication must not depend on a user-managed password; all data access must be scoped to farms the requesting user is an active member of; and role-based permissions must be enforced centrally rather than duplicated per view.</w:t>
      </w:r>
    </w:p>
    <w:p>
      <w:pPr>
        <w:spacing w:after="200" w:line="360" w:lineRule="auto"/>
        <w:jc w:val="both"/>
      </w:pPr>
      <w:r>
        <w:rPr>
          <w:rFonts w:ascii="Times New Roman" w:hAnsi="Times New Roman" w:eastAsia="Times New Roman"/>
          <w:b/>
          <w:i w:val="0"/>
          <w:sz w:val="24"/>
        </w:rPr>
        <w:t>Data integrity.</w:t>
      </w:r>
      <w:r>
        <w:rPr>
          <w:rFonts w:ascii="Times New Roman" w:hAnsi="Times New Roman" w:eastAsia="Times New Roman"/>
          <w:b w:val="0"/>
          <w:i w:val="0"/>
          <w:sz w:val="24"/>
        </w:rPr>
        <w:t xml:space="preserve"> Concurrent modification of shared resources (notably inventory stock levels) must be protected against lost updates.</w:t>
      </w:r>
    </w:p>
    <w:p>
      <w:pPr>
        <w:spacing w:after="200" w:line="360" w:lineRule="auto"/>
        <w:jc w:val="both"/>
      </w:pPr>
      <w:r>
        <w:rPr>
          <w:rFonts w:ascii="Times New Roman" w:hAnsi="Times New Roman" w:eastAsia="Times New Roman"/>
          <w:b/>
          <w:i w:val="0"/>
          <w:sz w:val="24"/>
        </w:rPr>
        <w:t>Auditability.</w:t>
      </w:r>
      <w:r>
        <w:rPr>
          <w:rFonts w:ascii="Times New Roman" w:hAnsi="Times New Roman" w:eastAsia="Times New Roman"/>
          <w:b w:val="0"/>
          <w:i w:val="0"/>
          <w:sz w:val="24"/>
        </w:rPr>
        <w:t xml:space="preserve"> A farm's credit-score history must be append-only, never overwritten, so that a lender-facing history can show a score's evolution with every past value provably unaltered.</w:t>
      </w:r>
    </w:p>
    <w:p>
      <w:pPr>
        <w:pStyle w:val="Heading3"/>
        <w:keepNext/>
        <w:spacing w:before="320" w:after="160"/>
      </w:pPr>
      <w:r>
        <w:rPr>
          <w:rFonts w:ascii="Times New Roman" w:hAnsi="Times New Roman" w:eastAsia="Times New Roman"/>
          <w:b/>
          <w:i w:val="0"/>
          <w:color w:val="334155"/>
          <w:sz w:val="25"/>
        </w:rPr>
        <w:t>4.2.3 Data Requirements</w:t>
      </w:r>
    </w:p>
    <w:p>
      <w:pPr>
        <w:spacing w:after="200" w:line="360" w:lineRule="auto"/>
        <w:jc w:val="both"/>
      </w:pPr>
      <w:r>
        <w:rPr>
          <w:rFonts w:ascii="Times New Roman" w:hAnsi="Times New Roman" w:eastAsia="Times New Roman"/>
          <w:b w:val="0"/>
          <w:i w:val="0"/>
          <w:sz w:val="24"/>
        </w:rPr>
        <w:t>Core persisted entities include: `Farm` and `FarmMembership` (multi-tenancy and roles); `Cow`, `MilkRecord`, `FeedingRecord(Cow)`, `CowHealthRecord`, `CowWeightRecord`, `ReproductiveEvent` (herd); `Crop`, `CropActivity`, `LandParcel` (crops and field mapping); `Transaction` (finance); `InventoryItem`, `StockMovement` (inventory); `Task` (work assignment); `Notification`, `PushSubscription` (notifications); `MilkPrediction` (yield forecasts); `CreditScoreSnapshot`, `DataPartner`, `DataShareConsent` (credit scoring); `HederaConfig`, `MilkProductionCertificate`, `FiqLedgerEntry` (blockchain); `FarmInsight` (rule-based insights); and `FarmSite`, `SitePage`, `Product`, `Order` (public micro-sites). Every farm-scoped record carries a foreign key to `Farm` (directly or transitively), and every analytical or trust-bearing record (`MilkPrediction`, `Transaction`, `CreditScoreSnapshot`) carries a `content_hash` and the corresponding Hedera anchoring metadata (`hedera_topic_id`, `hedera_sequence_number`, `hedera_consensus_timestamp`).</w:t>
      </w:r>
    </w:p>
    <w:p>
      <w:pPr>
        <w:pStyle w:val="Heading3"/>
        <w:keepNext/>
        <w:spacing w:before="320" w:after="160"/>
      </w:pPr>
      <w:r>
        <w:rPr>
          <w:rFonts w:ascii="Times New Roman" w:hAnsi="Times New Roman" w:eastAsia="Times New Roman"/>
          <w:b/>
          <w:i w:val="0"/>
          <w:color w:val="334155"/>
          <w:sz w:val="25"/>
        </w:rPr>
        <w:t>4.2.4 Interface and Integration Requirements</w:t>
      </w:r>
    </w:p>
    <w:p>
      <w:pPr>
        <w:spacing w:after="200" w:line="360" w:lineRule="auto"/>
        <w:jc w:val="both"/>
      </w:pPr>
      <w:r>
        <w:rPr>
          <w:rFonts w:ascii="Times New Roman" w:hAnsi="Times New Roman" w:eastAsia="Times New Roman"/>
          <w:b/>
          <w:i w:val="0"/>
          <w:sz w:val="24"/>
        </w:rPr>
        <w:t>Frontend interface.</w:t>
      </w:r>
      <w:r>
        <w:rPr>
          <w:rFonts w:ascii="Times New Roman" w:hAnsi="Times New Roman" w:eastAsia="Times New Roman"/>
          <w:b w:val="0"/>
          <w:i w:val="0"/>
          <w:sz w:val="24"/>
        </w:rPr>
        <w:t xml:space="preserve"> The system must be delivered as a Progressive Web Application, installable to a device home screen, with an app-shell service worker providing offline availability of the interface itself and an IndexedDB-backed queue providing offline availability of data entry.</w:t>
      </w:r>
    </w:p>
    <w:p>
      <w:pPr>
        <w:spacing w:after="200" w:line="360" w:lineRule="auto"/>
        <w:jc w:val="both"/>
      </w:pPr>
      <w:r>
        <w:rPr>
          <w:rFonts w:ascii="Times New Roman" w:hAnsi="Times New Roman" w:eastAsia="Times New Roman"/>
          <w:b/>
          <w:i w:val="0"/>
          <w:sz w:val="24"/>
        </w:rPr>
        <w:t>Hedera integration.</w:t>
      </w:r>
      <w:r>
        <w:rPr>
          <w:rFonts w:ascii="Times New Roman" w:hAnsi="Times New Roman" w:eastAsia="Times New Roman"/>
          <w:b w:val="0"/>
          <w:i w:val="0"/>
          <w:sz w:val="24"/>
        </w:rPr>
        <w:t xml:space="preserve"> The system must integrate with Hedera Token Service for NFT and fungible-token minting and Hedera Consensus Service for hash anchoring, treating the blockchain as a best-effort trust layer rather than a system of record — the underlying database remains authoritative at all times.</w:t>
      </w:r>
    </w:p>
    <w:p>
      <w:pPr>
        <w:spacing w:after="200" w:line="360" w:lineRule="auto"/>
        <w:jc w:val="both"/>
      </w:pPr>
      <w:r>
        <w:rPr>
          <w:rFonts w:ascii="Times New Roman" w:hAnsi="Times New Roman" w:eastAsia="Times New Roman"/>
          <w:b/>
          <w:i w:val="0"/>
          <w:sz w:val="24"/>
        </w:rPr>
        <w:t>WhatsApp integration.</w:t>
      </w:r>
      <w:r>
        <w:rPr>
          <w:rFonts w:ascii="Times New Roman" w:hAnsi="Times New Roman" w:eastAsia="Times New Roman"/>
          <w:b w:val="0"/>
          <w:i w:val="0"/>
          <w:sz w:val="24"/>
        </w:rPr>
        <w:t xml:space="preserve"> The system must integrate with the Meta WhatsApp Cloud API for outbound notification delivery, respecting the platform's 24-hour free-form messaging window.</w:t>
      </w:r>
    </w:p>
    <w:p>
      <w:pPr>
        <w:spacing w:after="200" w:line="360" w:lineRule="auto"/>
        <w:jc w:val="both"/>
      </w:pPr>
      <w:r>
        <w:rPr>
          <w:rFonts w:ascii="Times New Roman" w:hAnsi="Times New Roman" w:eastAsia="Times New Roman"/>
          <w:b/>
          <w:i w:val="0"/>
          <w:sz w:val="24"/>
        </w:rPr>
        <w:t>Mapping integration.</w:t>
      </w:r>
      <w:r>
        <w:rPr>
          <w:rFonts w:ascii="Times New Roman" w:hAnsi="Times New Roman" w:eastAsia="Times New Roman"/>
          <w:b w:val="0"/>
          <w:i w:val="0"/>
          <w:sz w:val="24"/>
        </w:rPr>
        <w:t xml:space="preserve"> The system must integrate with TomTom Maps for rendering and capturing GPS field boundaries, with area and perimeter computed server-side (never trusting a client-submitted value) using a spherical-excess formula appropriate to Kenya's equatorial location.</w:t>
      </w:r>
    </w:p>
    <w:p>
      <w:pPr>
        <w:spacing w:after="200" w:line="360" w:lineRule="auto"/>
        <w:jc w:val="both"/>
      </w:pPr>
      <w:r>
        <w:rPr>
          <w:rFonts w:ascii="Times New Roman" w:hAnsi="Times New Roman" w:eastAsia="Times New Roman"/>
          <w:b/>
          <w:i w:val="0"/>
          <w:sz w:val="24"/>
        </w:rPr>
        <w:t>Email integration.</w:t>
      </w:r>
      <w:r>
        <w:rPr>
          <w:rFonts w:ascii="Times New Roman" w:hAnsi="Times New Roman" w:eastAsia="Times New Roman"/>
          <w:b w:val="0"/>
          <w:i w:val="0"/>
          <w:sz w:val="24"/>
        </w:rPr>
        <w:t xml:space="preserve"> The system must integrate with a transactional email provider (ZeptoMail in production) for one-time-password delivery and report emailing, with a console-only fallback in development.</w:t>
      </w:r>
    </w:p>
    <w:p>
      <w:pPr>
        <w:pStyle w:val="Heading2"/>
        <w:keepNext/>
        <w:spacing w:before="320" w:after="160"/>
      </w:pPr>
      <w:r>
        <w:rPr>
          <w:rFonts w:ascii="Times New Roman" w:hAnsi="Times New Roman" w:eastAsia="Times New Roman"/>
          <w:b/>
          <w:i w:val="0"/>
          <w:color w:val="1E3A5F"/>
          <w:sz w:val="28"/>
        </w:rPr>
        <w:t>4.3 System Analysis Diagrams</w:t>
      </w:r>
    </w:p>
    <w:p>
      <w:pPr>
        <w:pStyle w:val="Heading3"/>
        <w:keepNext/>
        <w:spacing w:before="320" w:after="160"/>
      </w:pPr>
      <w:r>
        <w:rPr>
          <w:rFonts w:ascii="Times New Roman" w:hAnsi="Times New Roman" w:eastAsia="Times New Roman"/>
          <w:b/>
          <w:i w:val="0"/>
          <w:color w:val="334155"/>
          <w:sz w:val="25"/>
        </w:rPr>
        <w:t>4.3.1 Context Diagram</w:t>
      </w:r>
    </w:p>
    <w:p>
      <w:pPr>
        <w:spacing w:after="200" w:line="360" w:lineRule="auto"/>
        <w:jc w:val="both"/>
      </w:pPr>
      <w:r>
        <w:rPr>
          <w:rFonts w:ascii="Times New Roman" w:hAnsi="Times New Roman" w:eastAsia="Times New Roman"/>
          <w:b w:val="0"/>
          <w:i w:val="0"/>
          <w:sz w:val="24"/>
        </w:rPr>
        <w:t>At the highest level, FarmIQ sits between four categories of external entity: farm users (Farmer, Manager, Supervisor, Worker) interacting through the PWA; platform administrators managing the system independently of any single farm; external data partners (SACCOs, microfinance institutions, insurers) consuming the credit-scoring API under farm-granted consent; and third-party services (Hedera Hashgraph, Meta WhatsApp Cloud API, TomTom Maps, a transactional email provider, and a weather data provider) that FarmIQ integrates with but does not depend on for core operation. This context establishes that FarmIQ is not an isolated record-keeping tool but an integrated information system whose value — particularly its credit-scoring output — is partly realised through consumption by parties outside the farm itself.</w:t>
      </w:r>
    </w:p>
    <w:p>
      <w:pPr>
        <w:pStyle w:val="Heading3"/>
        <w:keepNext/>
        <w:spacing w:before="320" w:after="160"/>
      </w:pPr>
      <w:r>
        <w:rPr>
          <w:rFonts w:ascii="Times New Roman" w:hAnsi="Times New Roman" w:eastAsia="Times New Roman"/>
          <w:b/>
          <w:i w:val="0"/>
          <w:color w:val="334155"/>
          <w:sz w:val="25"/>
        </w:rPr>
        <w:t>4.3.2 Use Case Diagram</w:t>
      </w:r>
    </w:p>
    <w:p>
      <w:pPr>
        <w:spacing w:after="200" w:line="360" w:lineRule="auto"/>
        <w:jc w:val="both"/>
      </w:pPr>
      <w:r>
        <w:rPr>
          <w:rFonts w:ascii="Times New Roman" w:hAnsi="Times New Roman" w:eastAsia="Times New Roman"/>
          <w:b w:val="0"/>
          <w:i w:val="0"/>
          <w:sz w:val="24"/>
        </w:rPr>
        <w:t>The primary use cases per actor are as follows. The Farmer's use cases are a superset of the Manager's, which are a superset of the Supervisor's, which are a superset of the Worker's, reflecting the nested permission hierarchy detailed in Section 4.4.5: all four roles can record production data and view their own farm's dashboard; Supervisor and above can edit/delete records and manage blocks; Manager and above can manage workers and trigger batched FIQ rewards; only the Farmer can register a new farm or delete the account. A separate, non-overlapping Platform Administrator actor manages cross-farm concerns (user administration, platform-wide monitoring) independently of the farm-role hierarchy. A Data Partner actor, external to any farm, has exactly one use case: retrieve a consented farm's credit score via the authenticated API.</w:t>
      </w:r>
    </w:p>
    <w:p>
      <w:pPr>
        <w:pStyle w:val="Heading3"/>
        <w:keepNext/>
        <w:spacing w:before="320" w:after="160"/>
      </w:pPr>
      <w:r>
        <w:rPr>
          <w:rFonts w:ascii="Times New Roman" w:hAnsi="Times New Roman" w:eastAsia="Times New Roman"/>
          <w:b/>
          <w:i w:val="0"/>
          <w:color w:val="334155"/>
          <w:sz w:val="25"/>
        </w:rPr>
        <w:t>4.3.3 Data Flow Diagram</w:t>
      </w:r>
    </w:p>
    <w:p>
      <w:pPr>
        <w:spacing w:after="200" w:line="360" w:lineRule="auto"/>
        <w:jc w:val="both"/>
      </w:pPr>
      <w:r>
        <w:rPr>
          <w:rFonts w:ascii="Times New Roman" w:hAnsi="Times New Roman" w:eastAsia="Times New Roman"/>
          <w:b w:val="0"/>
          <w:i w:val="0"/>
          <w:sz w:val="24"/>
        </w:rPr>
        <w:t>The dominant data flow pattern in FarmIQ is request-time computation rather than a persisted pipeline: a user's request for a predictions or credit-score page triggers the corresponding service to read current farm records directly from the database, compute a result (fitting a ridge regression model, or standardising and reducing the peer population via PCA/K-means), persist the result, hash-diff it against the previous stored result, and — only if the hash differs — submit a hash-anchoring transaction to Hedera before rendering the page. Record-entry flows (a milk record, a crop activity, a transaction) similarly cascade synchronously: creating a `MilkRecord` triggers an inventory stock movement and feeds the next yield prediction; creating a harvesting `CropActivity` triggers both a stock movement and (if configured) an NFT mint; and a targeted `Notification` triggers, in the same request, an in-app row, a Web Push send, and — if the recipient has opted in — a WhatsApp message, each independently best-effort.</w:t>
      </w:r>
    </w:p>
    <w:p>
      <w:pPr>
        <w:pStyle w:val="Heading3"/>
        <w:keepNext/>
        <w:spacing w:before="320" w:after="160"/>
      </w:pPr>
      <w:r>
        <w:rPr>
          <w:rFonts w:ascii="Times New Roman" w:hAnsi="Times New Roman" w:eastAsia="Times New Roman"/>
          <w:b/>
          <w:i w:val="0"/>
          <w:color w:val="334155"/>
          <w:sz w:val="25"/>
        </w:rPr>
        <w:t>4.3.4 Activity Diagram</w:t>
      </w:r>
    </w:p>
    <w:p>
      <w:pPr>
        <w:spacing w:after="200" w:line="360" w:lineRule="auto"/>
        <w:jc w:val="both"/>
      </w:pPr>
      <w:r>
        <w:rPr>
          <w:rFonts w:ascii="Times New Roman" w:hAnsi="Times New Roman" w:eastAsia="Times New Roman"/>
          <w:b w:val="0"/>
          <w:i w:val="0"/>
          <w:sz w:val="24"/>
        </w:rPr>
        <w:t>The representative activity flow for the credit-scoring engine is: a Farmer, Manager, or Supervisor triggers a recompute; the system determines the farm's eligible peer population (farms at least thirty days old with at least five records across production, finance, and task activity); if the population is below eight farms, a provisional composite score is computed directly from the farm's own imputed features; otherwise, the full population matrix is standardised, reduced via PCA to a percentile-ranked composite score, and clustered via K-means into a discrete tier; the resulting snapshot is hashed and compared to the farm's previous snapshot; if the hash differs, a new, permanent `CreditScoreSnapshot` row is created and a hash-anchoring transaction is submitted to Hedera; the score, tier, category breakdown, and plain-language explanation are then rendered to the user.</w:t>
      </w:r>
    </w:p>
    <w:p>
      <w:pPr>
        <w:pStyle w:val="Heading3"/>
        <w:keepNext/>
        <w:spacing w:before="320" w:after="160"/>
      </w:pPr>
      <w:r>
        <w:rPr>
          <w:rFonts w:ascii="Times New Roman" w:hAnsi="Times New Roman" w:eastAsia="Times New Roman"/>
          <w:b/>
          <w:i w:val="0"/>
          <w:color w:val="334155"/>
          <w:sz w:val="25"/>
        </w:rPr>
        <w:t>4.3.5 Entity Relationship Diagram</w:t>
      </w:r>
    </w:p>
    <w:p>
      <w:pPr>
        <w:spacing w:after="200" w:line="360" w:lineRule="auto"/>
        <w:jc w:val="both"/>
      </w:pPr>
      <w:r>
        <w:rPr>
          <w:rFonts w:ascii="Times New Roman" w:hAnsi="Times New Roman" w:eastAsia="Times New Roman"/>
          <w:b w:val="0"/>
          <w:i w:val="0"/>
          <w:sz w:val="24"/>
        </w:rPr>
        <w:t>The core entity relationships are as follows. `Farm` is the central multi-tenancy entity, related one-to-many to `FarmMembership` (through which `User` relates many-to-many to `Farm`, with a role per membership), and related one-to-many to every domain model (`Cow`, `Crop`, `Transaction`, `InventoryItem`, `Task`, `LandParcel`, `MilkPrediction`, `CreditScoreSnapshot`, `FiqLedgerEntry`, `Notification`). Second-level relationships include `Cow`→`MilkRecord`/`FeedingRecordCow`/`CowHealthRecord`/`CowWeightRecord`/`ReproductiveEvent`, `Crop`→`CropActivity`, and `InventoryItem`→`StockMovement`. Cross-app relationships bind the system's newer features to its core: `Crop.land_parcel` references `geomap.LandParcel`; `CreditScoreSnapshot`'s underlying feature computation reads from `finance.Transaction`, `cows.MilkRecord`, `crops.CropActivity`, `tasks.Task`, and `blockchain.FiqLedgerEntry` without a direct foreign key (a read-time aggregation, not a stored relationship); and `blockchain.HederaConfig` is referenced indirectly by every anchoring-capable model through the shared `blockchain.services.anchor_hash` function rather than a foreign key.</w:t>
      </w:r>
    </w:p>
    <w:p>
      <w:pPr>
        <w:pStyle w:val="Heading2"/>
        <w:keepNext/>
        <w:spacing w:before="320" w:after="160"/>
      </w:pPr>
      <w:r>
        <w:rPr>
          <w:rFonts w:ascii="Times New Roman" w:hAnsi="Times New Roman" w:eastAsia="Times New Roman"/>
          <w:b/>
          <w:i w:val="0"/>
          <w:color w:val="1E3A5F"/>
          <w:sz w:val="28"/>
        </w:rPr>
        <w:t>4.4 System Design</w:t>
      </w:r>
    </w:p>
    <w:p>
      <w:pPr>
        <w:pStyle w:val="Heading3"/>
        <w:keepNext/>
        <w:spacing w:before="320" w:after="160"/>
      </w:pPr>
      <w:r>
        <w:rPr>
          <w:rFonts w:ascii="Times New Roman" w:hAnsi="Times New Roman" w:eastAsia="Times New Roman"/>
          <w:b/>
          <w:i w:val="0"/>
          <w:color w:val="334155"/>
          <w:sz w:val="25"/>
        </w:rPr>
        <w:t>4.4.1 High-Level System Architecture Diagram</w:t>
      </w:r>
    </w:p>
    <w:p>
      <w:pPr>
        <w:spacing w:after="200" w:line="360" w:lineRule="auto"/>
        <w:jc w:val="both"/>
      </w:pPr>
      <w:r>
        <w:rPr>
          <w:rFonts w:ascii="Times New Roman" w:hAnsi="Times New Roman" w:eastAsia="Times New Roman"/>
          <w:b w:val="0"/>
          <w:i w:val="0"/>
          <w:sz w:val="24"/>
        </w:rPr>
        <w:t>FarmIQ's high-level architecture (Figure 4.3) comprises five interacting layers: a Progressive Web Application frontend; an application layer of role-gated Django views; a service layer implementing business logic, machine learning, and third-party integration; a data layer (relational database); and an external integration layer (Hedera, WhatsApp, Web Push, TomTom Maps, email, weather). This separation keeps each layer responsible only for the concern it is best suited to: the frontend for interaction and offline resilience, the application layer for request handling and permission enforcement, the service layer for business rules and computation, the data layer for persistence, and the integration layer for best-effort communication with systems FarmIQ does not control.</w:t>
      </w:r>
    </w:p>
    <w:p>
      <w:pPr>
        <w:spacing w:before="200"/>
        <w:jc w:val="center"/>
      </w:pPr>
      <w:r>
        <w:drawing>
          <wp:inline xmlns:a="http://schemas.openxmlformats.org/drawingml/2006/main" xmlns:pic="http://schemas.openxmlformats.org/drawingml/2006/picture">
            <wp:extent cx="5486400" cy="3989088"/>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486400" cy="3989088"/>
                    </a:xfrm>
                    <a:prstGeom prst="rect"/>
                  </pic:spPr>
                </pic:pic>
              </a:graphicData>
            </a:graphic>
          </wp:inline>
        </w:drawing>
      </w:r>
    </w:p>
    <w:p>
      <w:pPr>
        <w:spacing w:after="280"/>
        <w:jc w:val="center"/>
      </w:pPr>
      <w:r>
        <w:rPr>
          <w:rFonts w:ascii="Times New Roman" w:hAnsi="Times New Roman" w:eastAsia="Times New Roman"/>
          <w:b/>
          <w:i/>
          <w:sz w:val="21"/>
        </w:rPr>
        <w:t>Figure 4.3: FarmIQ High-Level System Architecture</w:t>
      </w:r>
    </w:p>
    <w:p>
      <w:pPr>
        <w:pStyle w:val="Heading3"/>
        <w:keepNext/>
        <w:spacing w:before="320" w:after="160"/>
      </w:pPr>
      <w:r>
        <w:rPr>
          <w:rFonts w:ascii="Times New Roman" w:hAnsi="Times New Roman" w:eastAsia="Times New Roman"/>
          <w:b/>
          <w:i w:val="0"/>
          <w:color w:val="334155"/>
          <w:sz w:val="25"/>
        </w:rPr>
        <w:t>4.4.2 Layered System Design</w:t>
      </w:r>
    </w:p>
    <w:p>
      <w:pPr>
        <w:spacing w:after="200" w:line="360" w:lineRule="auto"/>
        <w:jc w:val="both"/>
      </w:pPr>
      <w:r>
        <w:rPr>
          <w:rFonts w:ascii="Times New Roman" w:hAnsi="Times New Roman" w:eastAsia="Times New Roman"/>
          <w:b w:val="0"/>
          <w:i w:val="0"/>
          <w:sz w:val="24"/>
        </w:rPr>
        <w:t>Each of FarmIQ's seventeen Django applications follows the same internal layering: models define persisted state; a `services.py` (or, for the analytics apps, a dedicated `ml/`, `scoring.py`, `features.py`, `explain.py` module set) implements business logic and computation independent of any HTTP concern; views translate requests into service calls, enforcing permissions via decorators from the centralised `farms.permissions` module before any business logic executes; and templates render the result. This consistent layering is what allows five newer applications (blockchain, creditscore, geomap, insights, website) to integrate cleanly with twelve pre-existing ones without modifying their internal structure — each new application's service layer simply reads from the established models of the apps it depends on.</w:t>
      </w:r>
    </w:p>
    <w:p>
      <w:pPr>
        <w:pStyle w:val="Heading3"/>
        <w:keepNext/>
        <w:spacing w:before="320" w:after="160"/>
      </w:pPr>
      <w:r>
        <w:rPr>
          <w:rFonts w:ascii="Times New Roman" w:hAnsi="Times New Roman" w:eastAsia="Times New Roman"/>
          <w:b/>
          <w:i w:val="0"/>
          <w:color w:val="334155"/>
          <w:sz w:val="25"/>
        </w:rPr>
        <w:t>4.4.3 System Workflow Diagram</w:t>
      </w:r>
    </w:p>
    <w:p>
      <w:pPr>
        <w:spacing w:after="200" w:line="360" w:lineRule="auto"/>
        <w:jc w:val="both"/>
      </w:pPr>
      <w:r>
        <w:rPr>
          <w:rFonts w:ascii="Times New Roman" w:hAnsi="Times New Roman" w:eastAsia="Times New Roman"/>
          <w:b w:val="0"/>
          <w:i w:val="0"/>
          <w:sz w:val="24"/>
        </w:rPr>
        <w:t>The end-to-end workflow for a typical production day is: a Worker logs milk and feeding records (queued offline if necessary); these records update inventory stock and accumulate toward the yield model's feature set; a Supervisor reviews the day's records and, if satisfied, a Manager triggers a batched FIQ reward for the Worker's logged data; periodically, a Farmer views the predictions dashboard, triggering a fresh yield forecast and its Hedera anchoring; and, at a lower frequency (since it is heavier and carries a real, if small, Hedera fee), the Farmer or Manager triggers a credit-score recompute, whose result becomes visible both to the farm and, where consent has been granted, to an external data partner via the API.</w:t>
      </w:r>
    </w:p>
    <w:p>
      <w:pPr>
        <w:pStyle w:val="Heading3"/>
        <w:keepNext/>
        <w:spacing w:before="320" w:after="160"/>
      </w:pPr>
      <w:r>
        <w:rPr>
          <w:rFonts w:ascii="Times New Roman" w:hAnsi="Times New Roman" w:eastAsia="Times New Roman"/>
          <w:b/>
          <w:i w:val="0"/>
          <w:color w:val="334155"/>
          <w:sz w:val="25"/>
        </w:rPr>
        <w:t>4.4.4 Component Interaction Diagram</w:t>
      </w:r>
    </w:p>
    <w:p>
      <w:pPr>
        <w:spacing w:after="200" w:line="360" w:lineRule="auto"/>
        <w:jc w:val="both"/>
      </w:pPr>
      <w:r>
        <w:rPr>
          <w:rFonts w:ascii="Times New Roman" w:hAnsi="Times New Roman" w:eastAsia="Times New Roman"/>
          <w:b w:val="0"/>
          <w:i w:val="0"/>
          <w:sz w:val="24"/>
        </w:rPr>
        <w:t>Three shared, cross-cutting services are consumed uniformly by multiple otherwise-independent applications: `farms.permissions` (RBAC decorators, consumed by cows, crops, finance, inventory, tasks, creditscore, geomap, and analysis views under locally-aliased names such as `manage_records_required`); `blockchain.services` (content-hashing and Hedera anchoring, consumed by analysis, finance, and creditscore); and `notifications.services.notify` (multi-channel dispatch, consumed throughout the codebase wherever a user-visible event occurs). This component structure means a change to the permission model, the anchoring convention, or the notification channels need only be made once, in the owning service, rather than once per consuming application.</w:t>
      </w:r>
    </w:p>
    <w:p>
      <w:pPr>
        <w:pStyle w:val="Heading3"/>
        <w:keepNext/>
        <w:spacing w:before="320" w:after="160"/>
      </w:pPr>
      <w:r>
        <w:rPr>
          <w:rFonts w:ascii="Times New Roman" w:hAnsi="Times New Roman" w:eastAsia="Times New Roman"/>
          <w:b/>
          <w:i w:val="0"/>
          <w:color w:val="334155"/>
          <w:sz w:val="25"/>
        </w:rPr>
        <w:t>4.4.5 Role Hierarchy and Access Control Design</w:t>
      </w:r>
    </w:p>
    <w:p>
      <w:pPr>
        <w:spacing w:after="200" w:line="360" w:lineRule="auto"/>
        <w:jc w:val="both"/>
      </w:pPr>
      <w:r>
        <w:rPr>
          <w:rFonts w:ascii="Times New Roman" w:hAnsi="Times New Roman" w:eastAsia="Times New Roman"/>
          <w:b w:val="0"/>
          <w:i w:val="0"/>
          <w:sz w:val="24"/>
        </w:rPr>
        <w:t>FarmIQ's role-based access control is defined as a small set of boolean properties on `FarmMembership`, evaluated against four ordered roles — Farmer (Owner) ⊃ Manager ⊃ Supervisor ⊃ Worker — where each named permission is granted to a role and every role above it in ownership terms, except that "edit or delete an existing record" and "view analytics/reports" are both withheld from Worker specifically (a Worker may create new records but never modify or remove existing ones, and sees data-entry surfaces rather than analytical ones). Figure 4.4 presents this hierarchy.</w:t>
      </w:r>
    </w:p>
    <w:p>
      <w:pPr>
        <w:spacing w:before="200"/>
        <w:jc w:val="center"/>
      </w:pPr>
      <w:r>
        <w:drawing>
          <wp:inline xmlns:a="http://schemas.openxmlformats.org/drawingml/2006/main" xmlns:pic="http://schemas.openxmlformats.org/drawingml/2006/picture">
            <wp:extent cx="5486400" cy="3769507"/>
            <wp:docPr id="3" name="Picture 3"/>
            <wp:cNvGraphicFramePr>
              <a:graphicFrameLocks noChangeAspect="1"/>
            </wp:cNvGraphicFramePr>
            <a:graphic>
              <a:graphicData uri="http://schemas.openxmlformats.org/drawingml/2006/picture">
                <pic:pic>
                  <pic:nvPicPr>
                    <pic:cNvPr id="0" name="fig_role_hierarchy.png"/>
                    <pic:cNvPicPr/>
                  </pic:nvPicPr>
                  <pic:blipFill>
                    <a:blip r:embed="rId11"/>
                    <a:stretch>
                      <a:fillRect/>
                    </a:stretch>
                  </pic:blipFill>
                  <pic:spPr>
                    <a:xfrm>
                      <a:off x="0" y="0"/>
                      <a:ext cx="5486400" cy="3769507"/>
                    </a:xfrm>
                    <a:prstGeom prst="rect"/>
                  </pic:spPr>
                </pic:pic>
              </a:graphicData>
            </a:graphic>
          </wp:inline>
        </w:drawing>
      </w:r>
    </w:p>
    <w:p>
      <w:pPr>
        <w:spacing w:after="280"/>
        <w:jc w:val="center"/>
      </w:pPr>
      <w:r>
        <w:rPr>
          <w:rFonts w:ascii="Times New Roman" w:hAnsi="Times New Roman" w:eastAsia="Times New Roman"/>
          <w:b/>
          <w:i/>
          <w:sz w:val="21"/>
        </w:rPr>
        <w:t>Figure 4.4: FarmIQ Role Hierarchy and Permissions</w:t>
      </w:r>
    </w:p>
    <w:p>
      <w:pPr>
        <w:spacing w:after="200" w:line="360" w:lineRule="auto"/>
        <w:jc w:val="both"/>
      </w:pPr>
      <w:r>
        <w:rPr>
          <w:rFonts w:ascii="Times New Roman" w:hAnsi="Times New Roman" w:eastAsia="Times New Roman"/>
          <w:b w:val="0"/>
          <w:i w:val="0"/>
          <w:sz w:val="24"/>
        </w:rPr>
        <w:t>A small, explicit `ASSIGNABLE_ROLES` mapping further restricts who may invite whom: a Farmer may invite a Manager, Supervisor, or Worker; a Manager may invite only a Supervisor or Worker; Supervisor and Worker cannot invite anyone. This design centralises what would otherwise be scattered permission checks into a single, testable source of truth, consumed by every application through a small family of decorator factories.</w:t>
      </w:r>
    </w:p>
    <w:p>
      <w:pPr>
        <w:pStyle w:val="Heading3"/>
        <w:keepNext/>
        <w:spacing w:before="320" w:after="160"/>
      </w:pPr>
      <w:r>
        <w:rPr>
          <w:rFonts w:ascii="Times New Roman" w:hAnsi="Times New Roman" w:eastAsia="Times New Roman"/>
          <w:b/>
          <w:i w:val="0"/>
          <w:color w:val="334155"/>
          <w:sz w:val="25"/>
        </w:rPr>
        <w:t>4.4.6 Integration Design Diagram</w:t>
      </w:r>
    </w:p>
    <w:p>
      <w:pPr>
        <w:spacing w:after="200" w:line="360" w:lineRule="auto"/>
        <w:jc w:val="both"/>
      </w:pPr>
      <w:r>
        <w:rPr>
          <w:rFonts w:ascii="Times New Roman" w:hAnsi="Times New Roman" w:eastAsia="Times New Roman"/>
          <w:b w:val="0"/>
          <w:i w:val="0"/>
          <w:sz w:val="24"/>
        </w:rPr>
        <w:t>External integrations follow a uniform best-effort pattern regardless of which service is involved: a service-layer function attempts the integration (minting a token, anchoring a hash, sending a WhatsApp message, sending a push notification, geocoding a farm, fetching weather data), catches any failure internally, logs it, and returns `None` or otherwise no-ops, so that the calling code path — which always persists the primary database record first — never fails or blocks because a third-party service is slow, misconfigured, or down. This pattern is applied identically across Hedera, WhatsApp, Web Push, and email integrations, and is directly verified for the Hedera case in the test suite (Section 6.5).</w:t>
      </w:r>
    </w:p>
    <w:p>
      <w:pPr>
        <w:pStyle w:val="Heading2"/>
        <w:keepNext/>
        <w:spacing w:before="320" w:after="160"/>
      </w:pPr>
      <w:r>
        <w:rPr>
          <w:rFonts w:ascii="Times New Roman" w:hAnsi="Times New Roman" w:eastAsia="Times New Roman"/>
          <w:b/>
          <w:i w:val="0"/>
          <w:color w:val="1E3A5F"/>
          <w:sz w:val="28"/>
        </w:rPr>
        <w:t>4.5 Database Schema</w:t>
      </w:r>
    </w:p>
    <w:p>
      <w:pPr>
        <w:spacing w:after="200" w:line="360" w:lineRule="auto"/>
        <w:jc w:val="both"/>
      </w:pPr>
      <w:r>
        <w:rPr>
          <w:rFonts w:ascii="Times New Roman" w:hAnsi="Times New Roman" w:eastAsia="Times New Roman"/>
          <w:b w:val="0"/>
          <w:i w:val="0"/>
          <w:sz w:val="24"/>
        </w:rPr>
        <w:t>The database schema spans seventeen Django applications' models. Table 4.1 summarises the core tables most relevant to FarmIQ's distinguishing capabilities (production forecasting, credit scoring, and blockchain anchoring); the complete schema, including the full herd, crop, finance, inventory, task, and notification tables, follows the entity relationships described in Section 4.3.5.</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1FAE5"/>
          </w:tcPr>
          <w:p>
            <w:r/>
            <w:r>
              <w:rPr>
                <w:rFonts w:ascii="Times New Roman" w:hAnsi="Times New Roman" w:eastAsia="Times New Roman"/>
                <w:b/>
                <w:i w:val="0"/>
                <w:sz w:val="20"/>
              </w:rPr>
              <w:t>Table</w:t>
            </w:r>
          </w:p>
        </w:tc>
        <w:tc>
          <w:tcPr>
            <w:tcW w:type="dxa" w:w="2880"/>
            <w:shd w:fill="D1FAE5"/>
          </w:tcPr>
          <w:p>
            <w:r/>
            <w:r>
              <w:rPr>
                <w:rFonts w:ascii="Times New Roman" w:hAnsi="Times New Roman" w:eastAsia="Times New Roman"/>
                <w:b/>
                <w:i w:val="0"/>
                <w:sz w:val="20"/>
              </w:rPr>
              <w:t>Key fields</w:t>
            </w:r>
          </w:p>
        </w:tc>
        <w:tc>
          <w:tcPr>
            <w:tcW w:type="dxa" w:w="2880"/>
            <w:shd w:fill="D1FAE5"/>
          </w:tcPr>
          <w:p>
            <w:r/>
            <w:r>
              <w:rPr>
                <w:rFonts w:ascii="Times New Roman" w:hAnsi="Times New Roman" w:eastAsia="Times New Roman"/>
                <w:b/>
                <w:i w:val="0"/>
                <w:sz w:val="20"/>
              </w:rPr>
              <w:t>Relationships</w:t>
            </w:r>
          </w:p>
        </w:tc>
      </w:tr>
      <w:tr>
        <w:tc>
          <w:tcPr>
            <w:tcW w:type="dxa" w:w="2880"/>
          </w:tcPr>
          <w:p>
            <w:r/>
            <w:r>
              <w:rPr>
                <w:rFonts w:ascii="Times New Roman" w:hAnsi="Times New Roman" w:eastAsia="Times New Roman"/>
                <w:b w:val="0"/>
                <w:i w:val="0"/>
                <w:sz w:val="19"/>
              </w:rPr>
              <w:t>farms_farm</w:t>
            </w:r>
          </w:p>
        </w:tc>
        <w:tc>
          <w:tcPr>
            <w:tcW w:type="dxa" w:w="2880"/>
          </w:tcPr>
          <w:p>
            <w:r/>
            <w:r>
              <w:rPr>
                <w:rFonts w:ascii="Times New Roman" w:hAnsi="Times New Roman" w:eastAsia="Times New Roman"/>
                <w:b w:val="0"/>
                <w:i w:val="0"/>
                <w:sz w:val="19"/>
              </w:rPr>
              <w:t>id, name, code (unique), owner_id, county, latitude, longitude</w:t>
            </w:r>
          </w:p>
        </w:tc>
        <w:tc>
          <w:tcPr>
            <w:tcW w:type="dxa" w:w="2880"/>
          </w:tcPr>
          <w:p>
            <w:r/>
            <w:r>
              <w:rPr>
                <w:rFonts w:ascii="Times New Roman" w:hAnsi="Times New Roman" w:eastAsia="Times New Roman"/>
                <w:b w:val="0"/>
                <w:i w:val="0"/>
                <w:sz w:val="19"/>
              </w:rPr>
              <w:t>owner → accounts_user</w:t>
            </w:r>
          </w:p>
        </w:tc>
      </w:tr>
      <w:tr>
        <w:tc>
          <w:tcPr>
            <w:tcW w:type="dxa" w:w="2880"/>
          </w:tcPr>
          <w:p>
            <w:r/>
            <w:r>
              <w:rPr>
                <w:rFonts w:ascii="Times New Roman" w:hAnsi="Times New Roman" w:eastAsia="Times New Roman"/>
                <w:b w:val="0"/>
                <w:i w:val="0"/>
                <w:sz w:val="19"/>
              </w:rPr>
              <w:t>farms_farmmembership</w:t>
            </w:r>
          </w:p>
        </w:tc>
        <w:tc>
          <w:tcPr>
            <w:tcW w:type="dxa" w:w="2880"/>
          </w:tcPr>
          <w:p>
            <w:r/>
            <w:r>
              <w:rPr>
                <w:rFonts w:ascii="Times New Roman" w:hAnsi="Times New Roman" w:eastAsia="Times New Roman"/>
                <w:b w:val="0"/>
                <w:i w:val="0"/>
                <w:sz w:val="19"/>
              </w:rPr>
              <w:t>id, user_id, farm_id, role, status</w:t>
            </w:r>
          </w:p>
        </w:tc>
        <w:tc>
          <w:tcPr>
            <w:tcW w:type="dxa" w:w="2880"/>
          </w:tcPr>
          <w:p>
            <w:r/>
            <w:r>
              <w:rPr>
                <w:rFonts w:ascii="Times New Roman" w:hAnsi="Times New Roman" w:eastAsia="Times New Roman"/>
                <w:b w:val="0"/>
                <w:i w:val="0"/>
                <w:sz w:val="19"/>
              </w:rPr>
              <w:t>unique(user, farm); user → accounts_user; farm → farms_farm</w:t>
            </w:r>
          </w:p>
        </w:tc>
      </w:tr>
      <w:tr>
        <w:tc>
          <w:tcPr>
            <w:tcW w:type="dxa" w:w="2880"/>
          </w:tcPr>
          <w:p>
            <w:r/>
            <w:r>
              <w:rPr>
                <w:rFonts w:ascii="Times New Roman" w:hAnsi="Times New Roman" w:eastAsia="Times New Roman"/>
                <w:b w:val="0"/>
                <w:i w:val="0"/>
                <w:sz w:val="19"/>
              </w:rPr>
              <w:t>cows_cow</w:t>
            </w:r>
          </w:p>
        </w:tc>
        <w:tc>
          <w:tcPr>
            <w:tcW w:type="dxa" w:w="2880"/>
          </w:tcPr>
          <w:p>
            <w:r/>
            <w:r>
              <w:rPr>
                <w:rFonts w:ascii="Times New Roman" w:hAnsi="Times New Roman" w:eastAsia="Times New Roman"/>
                <w:b w:val="0"/>
                <w:i w:val="0"/>
                <w:sz w:val="19"/>
              </w:rPr>
              <w:t>id, farm_id, block_id, tag_id, category, last_calving_date, hedera_token_id</w:t>
            </w:r>
          </w:p>
        </w:tc>
        <w:tc>
          <w:tcPr>
            <w:tcW w:type="dxa" w:w="2880"/>
          </w:tcPr>
          <w:p>
            <w:r/>
            <w:r>
              <w:rPr>
                <w:rFonts w:ascii="Times New Roman" w:hAnsi="Times New Roman" w:eastAsia="Times New Roman"/>
                <w:b w:val="0"/>
                <w:i w:val="0"/>
                <w:sz w:val="19"/>
              </w:rPr>
              <w:t>farm → farms_farm; sire/dam → self</w:t>
            </w:r>
          </w:p>
        </w:tc>
      </w:tr>
      <w:tr>
        <w:tc>
          <w:tcPr>
            <w:tcW w:type="dxa" w:w="2880"/>
          </w:tcPr>
          <w:p>
            <w:r/>
            <w:r>
              <w:rPr>
                <w:rFonts w:ascii="Times New Roman" w:hAnsi="Times New Roman" w:eastAsia="Times New Roman"/>
                <w:b w:val="0"/>
                <w:i w:val="0"/>
                <w:sz w:val="19"/>
              </w:rPr>
              <w:t>cows_milkrecord</w:t>
            </w:r>
          </w:p>
        </w:tc>
        <w:tc>
          <w:tcPr>
            <w:tcW w:type="dxa" w:w="2880"/>
          </w:tcPr>
          <w:p>
            <w:r/>
            <w:r>
              <w:rPr>
                <w:rFonts w:ascii="Times New Roman" w:hAnsi="Times New Roman" w:eastAsia="Times New Roman"/>
                <w:b w:val="0"/>
                <w:i w:val="0"/>
                <w:sz w:val="19"/>
              </w:rPr>
              <w:t>id, cow_id, date, session, liters</w:t>
            </w:r>
          </w:p>
        </w:tc>
        <w:tc>
          <w:tcPr>
            <w:tcW w:type="dxa" w:w="2880"/>
          </w:tcPr>
          <w:p>
            <w:r/>
            <w:r>
              <w:rPr>
                <w:rFonts w:ascii="Times New Roman" w:hAnsi="Times New Roman" w:eastAsia="Times New Roman"/>
                <w:b w:val="0"/>
                <w:i w:val="0"/>
                <w:sz w:val="19"/>
              </w:rPr>
              <w:t>cow → cows_cow</w:t>
            </w:r>
          </w:p>
        </w:tc>
      </w:tr>
      <w:tr>
        <w:tc>
          <w:tcPr>
            <w:tcW w:type="dxa" w:w="2880"/>
          </w:tcPr>
          <w:p>
            <w:r/>
            <w:r>
              <w:rPr>
                <w:rFonts w:ascii="Times New Roman" w:hAnsi="Times New Roman" w:eastAsia="Times New Roman"/>
                <w:b w:val="0"/>
                <w:i w:val="0"/>
                <w:sz w:val="19"/>
              </w:rPr>
              <w:t>analysis_milkprediction</w:t>
            </w:r>
          </w:p>
        </w:tc>
        <w:tc>
          <w:tcPr>
            <w:tcW w:type="dxa" w:w="2880"/>
          </w:tcPr>
          <w:p>
            <w:r/>
            <w:r>
              <w:rPr>
                <w:rFonts w:ascii="Times New Roman" w:hAnsi="Times New Roman" w:eastAsia="Times New Roman"/>
                <w:b w:val="0"/>
                <w:i w:val="0"/>
                <w:sz w:val="19"/>
              </w:rPr>
              <w:t>id, farm_id, scope, cow_id, block_id, predicted_date, predicted_liters, contributions (JSON), content_hash, hedera_topic_id, hedera_sequence_number</w:t>
            </w:r>
          </w:p>
        </w:tc>
        <w:tc>
          <w:tcPr>
            <w:tcW w:type="dxa" w:w="2880"/>
          </w:tcPr>
          <w:p>
            <w:r/>
            <w:r>
              <w:rPr>
                <w:rFonts w:ascii="Times New Roman" w:hAnsi="Times New Roman" w:eastAsia="Times New Roman"/>
                <w:b w:val="0"/>
                <w:i w:val="0"/>
                <w:sz w:val="19"/>
              </w:rPr>
              <w:t>unique(farm, scope, cow, block, predicted_date)</w:t>
            </w:r>
          </w:p>
        </w:tc>
      </w:tr>
      <w:tr>
        <w:tc>
          <w:tcPr>
            <w:tcW w:type="dxa" w:w="2880"/>
          </w:tcPr>
          <w:p>
            <w:r/>
            <w:r>
              <w:rPr>
                <w:rFonts w:ascii="Times New Roman" w:hAnsi="Times New Roman" w:eastAsia="Times New Roman"/>
                <w:b w:val="0"/>
                <w:i w:val="0"/>
                <w:sz w:val="19"/>
              </w:rPr>
              <w:t>creditscore_creditscoresnapshot</w:t>
            </w:r>
          </w:p>
        </w:tc>
        <w:tc>
          <w:tcPr>
            <w:tcW w:type="dxa" w:w="2880"/>
          </w:tcPr>
          <w:p>
            <w:r/>
            <w:r>
              <w:rPr>
                <w:rFonts w:ascii="Times New Roman" w:hAnsi="Times New Roman" w:eastAsia="Times New Roman"/>
                <w:b w:val="0"/>
                <w:i w:val="0"/>
                <w:sz w:val="19"/>
              </w:rPr>
              <w:t>id, farm_id, score, tier, method, population_size, category_breakdown (JSON), feature_values (JSON), contributions (JSON), content_hash, hedera_topic_id</w:t>
            </w:r>
          </w:p>
        </w:tc>
        <w:tc>
          <w:tcPr>
            <w:tcW w:type="dxa" w:w="2880"/>
          </w:tcPr>
          <w:p>
            <w:r/>
            <w:r>
              <w:rPr>
                <w:rFonts w:ascii="Times New Roman" w:hAnsi="Times New Roman" w:eastAsia="Times New Roman"/>
                <w:b w:val="0"/>
                <w:i w:val="0"/>
                <w:sz w:val="19"/>
              </w:rPr>
              <w:t>farm → farms_farm; append-only</w:t>
            </w:r>
          </w:p>
        </w:tc>
      </w:tr>
      <w:tr>
        <w:tc>
          <w:tcPr>
            <w:tcW w:type="dxa" w:w="2880"/>
          </w:tcPr>
          <w:p>
            <w:r/>
            <w:r>
              <w:rPr>
                <w:rFonts w:ascii="Times New Roman" w:hAnsi="Times New Roman" w:eastAsia="Times New Roman"/>
                <w:b w:val="0"/>
                <w:i w:val="0"/>
                <w:sz w:val="19"/>
              </w:rPr>
              <w:t>creditscore_datapartner</w:t>
            </w:r>
          </w:p>
        </w:tc>
        <w:tc>
          <w:tcPr>
            <w:tcW w:type="dxa" w:w="2880"/>
          </w:tcPr>
          <w:p>
            <w:r/>
            <w:r>
              <w:rPr>
                <w:rFonts w:ascii="Times New Roman" w:hAnsi="Times New Roman" w:eastAsia="Times New Roman"/>
                <w:b w:val="0"/>
                <w:i w:val="0"/>
                <w:sz w:val="19"/>
              </w:rPr>
              <w:t>id, name, api_key, is_active</w:t>
            </w:r>
          </w:p>
        </w:tc>
        <w:tc>
          <w:tcPr>
            <w:tcW w:type="dxa" w:w="2880"/>
          </w:tcPr>
          <w:p>
            <w:r/>
            <w:r>
              <w:rPr>
                <w:rFonts w:ascii="Times New Roman" w:hAnsi="Times New Roman" w:eastAsia="Times New Roman"/>
                <w:b w:val="0"/>
                <w:i w:val="0"/>
                <w:sz w:val="19"/>
              </w:rPr>
              <w:t>—</w:t>
            </w:r>
          </w:p>
        </w:tc>
      </w:tr>
      <w:tr>
        <w:tc>
          <w:tcPr>
            <w:tcW w:type="dxa" w:w="2880"/>
          </w:tcPr>
          <w:p>
            <w:r/>
            <w:r>
              <w:rPr>
                <w:rFonts w:ascii="Times New Roman" w:hAnsi="Times New Roman" w:eastAsia="Times New Roman"/>
                <w:b w:val="0"/>
                <w:i w:val="0"/>
                <w:sz w:val="19"/>
              </w:rPr>
              <w:t>creditscore_datashareconsent</w:t>
            </w:r>
          </w:p>
        </w:tc>
        <w:tc>
          <w:tcPr>
            <w:tcW w:type="dxa" w:w="2880"/>
          </w:tcPr>
          <w:p>
            <w:r/>
            <w:r>
              <w:rPr>
                <w:rFonts w:ascii="Times New Roman" w:hAnsi="Times New Roman" w:eastAsia="Times New Roman"/>
                <w:b w:val="0"/>
                <w:i w:val="0"/>
                <w:sz w:val="19"/>
              </w:rPr>
              <w:t>id, farm_id, partner_id, revoked_at</w:t>
            </w:r>
          </w:p>
        </w:tc>
        <w:tc>
          <w:tcPr>
            <w:tcW w:type="dxa" w:w="2880"/>
          </w:tcPr>
          <w:p>
            <w:r/>
            <w:r>
              <w:rPr>
                <w:rFonts w:ascii="Times New Roman" w:hAnsi="Times New Roman" w:eastAsia="Times New Roman"/>
                <w:b w:val="0"/>
                <w:i w:val="0"/>
                <w:sz w:val="19"/>
              </w:rPr>
              <w:t>unique(farm, partner)</w:t>
            </w:r>
          </w:p>
        </w:tc>
      </w:tr>
      <w:tr>
        <w:tc>
          <w:tcPr>
            <w:tcW w:type="dxa" w:w="2880"/>
          </w:tcPr>
          <w:p>
            <w:r/>
            <w:r>
              <w:rPr>
                <w:rFonts w:ascii="Times New Roman" w:hAnsi="Times New Roman" w:eastAsia="Times New Roman"/>
                <w:b w:val="0"/>
                <w:i w:val="0"/>
                <w:sz w:val="19"/>
              </w:rPr>
              <w:t>blockchain_hederaconfig</w:t>
            </w:r>
          </w:p>
        </w:tc>
        <w:tc>
          <w:tcPr>
            <w:tcW w:type="dxa" w:w="2880"/>
          </w:tcPr>
          <w:p>
            <w:r/>
            <w:r>
              <w:rPr>
                <w:rFonts w:ascii="Times New Roman" w:hAnsi="Times New Roman" w:eastAsia="Times New Roman"/>
                <w:b w:val="0"/>
                <w:i w:val="0"/>
                <w:sz w:val="19"/>
              </w:rPr>
              <w:t>id (=1, singleton), cow_nft_token_id, harvest_nft_token_id, fiq_token_id, prediction_topic_id, finance_topic_id, credit_score_topic_id</w:t>
            </w:r>
          </w:p>
        </w:tc>
        <w:tc>
          <w:tcPr>
            <w:tcW w:type="dxa" w:w="2880"/>
          </w:tcPr>
          <w:p>
            <w:r/>
            <w:r>
              <w:rPr>
                <w:rFonts w:ascii="Times New Roman" w:hAnsi="Times New Roman" w:eastAsia="Times New Roman"/>
                <w:b w:val="0"/>
                <w:i w:val="0"/>
                <w:sz w:val="19"/>
              </w:rPr>
              <w:t>—</w:t>
            </w:r>
          </w:p>
        </w:tc>
      </w:tr>
      <w:tr>
        <w:tc>
          <w:tcPr>
            <w:tcW w:type="dxa" w:w="2880"/>
          </w:tcPr>
          <w:p>
            <w:r/>
            <w:r>
              <w:rPr>
                <w:rFonts w:ascii="Times New Roman" w:hAnsi="Times New Roman" w:eastAsia="Times New Roman"/>
                <w:b w:val="0"/>
                <w:i w:val="0"/>
                <w:sz w:val="19"/>
              </w:rPr>
              <w:t>blockchain_fiqledgerentry</w:t>
            </w:r>
          </w:p>
        </w:tc>
        <w:tc>
          <w:tcPr>
            <w:tcW w:type="dxa" w:w="2880"/>
          </w:tcPr>
          <w:p>
            <w:r/>
            <w:r>
              <w:rPr>
                <w:rFonts w:ascii="Times New Roman" w:hAnsi="Times New Roman" w:eastAsia="Times New Roman"/>
                <w:b w:val="0"/>
                <w:i w:val="0"/>
                <w:sz w:val="19"/>
              </w:rPr>
              <w:t>id, farm_id, amount, reason, earned_by_id, hedera_transaction_id</w:t>
            </w:r>
          </w:p>
        </w:tc>
        <w:tc>
          <w:tcPr>
            <w:tcW w:type="dxa" w:w="2880"/>
          </w:tcPr>
          <w:p>
            <w:r/>
            <w:r>
              <w:rPr>
                <w:rFonts w:ascii="Times New Roman" w:hAnsi="Times New Roman" w:eastAsia="Times New Roman"/>
                <w:b w:val="0"/>
                <w:i w:val="0"/>
                <w:sz w:val="19"/>
              </w:rPr>
              <w:t>farm → farms_farm; earned_by → accounts_user</w:t>
            </w:r>
          </w:p>
        </w:tc>
      </w:tr>
      <w:tr>
        <w:tc>
          <w:tcPr>
            <w:tcW w:type="dxa" w:w="2880"/>
          </w:tcPr>
          <w:p>
            <w:r/>
            <w:r>
              <w:rPr>
                <w:rFonts w:ascii="Times New Roman" w:hAnsi="Times New Roman" w:eastAsia="Times New Roman"/>
                <w:b w:val="0"/>
                <w:i w:val="0"/>
                <w:sz w:val="19"/>
              </w:rPr>
              <w:t>finance_transaction</w:t>
            </w:r>
          </w:p>
        </w:tc>
        <w:tc>
          <w:tcPr>
            <w:tcW w:type="dxa" w:w="2880"/>
          </w:tcPr>
          <w:p>
            <w:r/>
            <w:r>
              <w:rPr>
                <w:rFonts w:ascii="Times New Roman" w:hAnsi="Times New Roman" w:eastAsia="Times New Roman"/>
                <w:b w:val="0"/>
                <w:i w:val="0"/>
                <w:sz w:val="19"/>
              </w:rPr>
              <w:t>id, farm_id, kind, category, amount, date, content_hash, hedera_topic_id</w:t>
            </w:r>
          </w:p>
        </w:tc>
        <w:tc>
          <w:tcPr>
            <w:tcW w:type="dxa" w:w="2880"/>
          </w:tcPr>
          <w:p>
            <w:r/>
            <w:r>
              <w:rPr>
                <w:rFonts w:ascii="Times New Roman" w:hAnsi="Times New Roman" w:eastAsia="Times New Roman"/>
                <w:b w:val="0"/>
                <w:i w:val="0"/>
                <w:sz w:val="19"/>
              </w:rPr>
              <w:t>farm → farms_farm; never edits after anchoring</w:t>
            </w:r>
          </w:p>
        </w:tc>
      </w:tr>
      <w:tr>
        <w:tc>
          <w:tcPr>
            <w:tcW w:type="dxa" w:w="2880"/>
          </w:tcPr>
          <w:p>
            <w:r/>
            <w:r>
              <w:rPr>
                <w:rFonts w:ascii="Times New Roman" w:hAnsi="Times New Roman" w:eastAsia="Times New Roman"/>
                <w:b w:val="0"/>
                <w:i w:val="0"/>
                <w:sz w:val="19"/>
              </w:rPr>
              <w:t>geomap_landparcel</w:t>
            </w:r>
          </w:p>
        </w:tc>
        <w:tc>
          <w:tcPr>
            <w:tcW w:type="dxa" w:w="2880"/>
          </w:tcPr>
          <w:p>
            <w:r/>
            <w:r>
              <w:rPr>
                <w:rFonts w:ascii="Times New Roman" w:hAnsi="Times New Roman" w:eastAsia="Times New Roman"/>
                <w:b w:val="0"/>
                <w:i w:val="0"/>
                <w:sz w:val="19"/>
              </w:rPr>
              <w:t>id, farm_id, block_id, name, coordinates (JSON), area_sqm, perimeter_m</w:t>
            </w:r>
          </w:p>
        </w:tc>
        <w:tc>
          <w:tcPr>
            <w:tcW w:type="dxa" w:w="2880"/>
          </w:tcPr>
          <w:p>
            <w:r/>
            <w:r>
              <w:rPr>
                <w:rFonts w:ascii="Times New Roman" w:hAnsi="Times New Roman" w:eastAsia="Times New Roman"/>
                <w:b w:val="0"/>
                <w:i w:val="0"/>
                <w:sz w:val="19"/>
              </w:rPr>
              <w:t>farm → farms_farm</w:t>
            </w:r>
          </w:p>
        </w:tc>
      </w:tr>
      <w:tr>
        <w:tc>
          <w:tcPr>
            <w:tcW w:type="dxa" w:w="2880"/>
          </w:tcPr>
          <w:p>
            <w:r/>
            <w:r>
              <w:rPr>
                <w:rFonts w:ascii="Times New Roman" w:hAnsi="Times New Roman" w:eastAsia="Times New Roman"/>
                <w:b w:val="0"/>
                <w:i w:val="0"/>
                <w:sz w:val="19"/>
              </w:rPr>
              <w:t>insights_farminsight</w:t>
            </w:r>
          </w:p>
        </w:tc>
        <w:tc>
          <w:tcPr>
            <w:tcW w:type="dxa" w:w="2880"/>
          </w:tcPr>
          <w:p>
            <w:r/>
            <w:r>
              <w:rPr>
                <w:rFonts w:ascii="Times New Roman" w:hAnsi="Times New Roman" w:eastAsia="Times New Roman"/>
                <w:b w:val="0"/>
                <w:i w:val="0"/>
                <w:sz w:val="19"/>
              </w:rPr>
              <w:t>id, farm_id, key, category, severity, title, description</w:t>
            </w:r>
          </w:p>
        </w:tc>
        <w:tc>
          <w:tcPr>
            <w:tcW w:type="dxa" w:w="2880"/>
          </w:tcPr>
          <w:p>
            <w:r/>
            <w:r>
              <w:rPr>
                <w:rFonts w:ascii="Times New Roman" w:hAnsi="Times New Roman" w:eastAsia="Times New Roman"/>
                <w:b w:val="0"/>
                <w:i w:val="0"/>
                <w:sz w:val="19"/>
              </w:rPr>
              <w:t>unique(farm, key)</w:t>
            </w:r>
          </w:p>
        </w:tc>
      </w:tr>
    </w:tbl>
    <w:p>
      <w:pPr>
        <w:spacing w:after="40"/>
      </w:pPr>
    </w:p>
    <w:p>
      <w:pPr>
        <w:spacing w:before="80" w:after="280"/>
        <w:jc w:val="center"/>
      </w:pPr>
      <w:r>
        <w:rPr>
          <w:rFonts w:ascii="Times New Roman" w:hAnsi="Times New Roman" w:eastAsia="Times New Roman"/>
          <w:b/>
          <w:i/>
          <w:sz w:val="21"/>
        </w:rPr>
        <w:t>Table 4.1: Core database tables underlying FarmIQ's distinguishing analytical and trust capabilities</w:t>
      </w:r>
    </w:p>
    <w:p>
      <w:pPr>
        <w:pStyle w:val="Heading1"/>
        <w:keepNext/>
        <w:pageBreakBefore/>
        <w:spacing w:before="80" w:after="200"/>
      </w:pPr>
      <w:r>
        <w:rPr>
          <w:rFonts w:ascii="Times New Roman" w:hAnsi="Times New Roman" w:eastAsia="Times New Roman"/>
          <w:b/>
          <w:i w:val="0"/>
          <w:color w:val="047857"/>
          <w:sz w:val="36"/>
        </w:rPr>
        <w:t>Chapter 5: Implementation</w:t>
      </w:r>
    </w:p>
    <w:p>
      <w:pPr>
        <w:pStyle w:val="Heading2"/>
        <w:keepNext/>
        <w:spacing w:before="320" w:after="160"/>
      </w:pPr>
      <w:r>
        <w:rPr>
          <w:rFonts w:ascii="Times New Roman" w:hAnsi="Times New Roman" w:eastAsia="Times New Roman"/>
          <w:b/>
          <w:i w:val="0"/>
          <w:color w:val="1E3A5F"/>
          <w:sz w:val="28"/>
        </w:rPr>
        <w:t>5.1 Introduction</w:t>
      </w:r>
    </w:p>
    <w:p>
      <w:pPr>
        <w:spacing w:after="200" w:line="360" w:lineRule="auto"/>
        <w:jc w:val="both"/>
      </w:pPr>
      <w:r>
        <w:rPr>
          <w:rFonts w:ascii="Times New Roman" w:hAnsi="Times New Roman" w:eastAsia="Times New Roman"/>
          <w:b w:val="0"/>
          <w:i w:val="0"/>
          <w:sz w:val="24"/>
        </w:rPr>
        <w:t>This chapter describes how the design presented in Chapter 4 was implemented. FarmIQ is built as a Django 5.2.17 monolith of seventeen local applications, deployed as a Progressive Web Application on Vercel's serverless platform, with SQLite for local development and managed PostgreSQL (Neon) in production. The chapter first describes the development environment and technology stack, then walks through the implementation of each functional area, with particular depth given to the two machine learning subsystems and the blockchain integration layer that distinguish FarmIQ from a conventional farm record-keeping tool, before covering the platform's offline-first PWA mechanics, internationalisation, and security implementation.</w:t>
      </w:r>
    </w:p>
    <w:p>
      <w:pPr>
        <w:pStyle w:val="Heading2"/>
        <w:keepNext/>
        <w:spacing w:before="320" w:after="160"/>
      </w:pPr>
      <w:r>
        <w:rPr>
          <w:rFonts w:ascii="Times New Roman" w:hAnsi="Times New Roman" w:eastAsia="Times New Roman"/>
          <w:b/>
          <w:i w:val="0"/>
          <w:color w:val="1E3A5F"/>
          <w:sz w:val="28"/>
        </w:rPr>
        <w:t>5.2 Development Environment and Technology Stack</w:t>
      </w:r>
    </w:p>
    <w:p>
      <w:pPr>
        <w:spacing w:after="200" w:line="360" w:lineRule="auto"/>
        <w:jc w:val="both"/>
      </w:pPr>
      <w:r>
        <w:rPr>
          <w:rFonts w:ascii="Times New Roman" w:hAnsi="Times New Roman" w:eastAsia="Times New Roman"/>
          <w:b w:val="0"/>
          <w:i w:val="0"/>
          <w:sz w:val="24"/>
        </w:rPr>
        <w:t>FarmIQ's backend is implemented in Python using Django 5.2.17, with `django-environ` for environment-based configuration, `django-countries` for structured country data, and `psycopg` for PostgreSQL connectivity. The custom `accounts.User` model (`AUTH_USER_MODEL = 'accounts.User'`) replaces Django's default username/password model with an email-first identity and no password at all — accounts authenticate exclusively through a one-time password, with `set_unusable_password()` called at signup. The machine learning subsystems depend on scikit-learn 1.9.0, numpy, and scipy (the latter present only as a scikit-learn transitive dependency; the codebase follows an explicit "no direct scipy calls" convention, computing percentile ranks and coefficients of variation directly in numpy instead). Blockchain functionality depends on `hiero-sdk-python`, the Hiero/Hedera Python SDK, together with its cryptographic and Ethereum-compatibility dependencies. Reporting depends on `openpyxl` (XLSX), `reportlab` (PDF), and Python's standard `csv` module. Push notifications depend on `pywebpush` and `py-vapid`. Notably absent from the dependency set is any task-queue or scheduler package — no Celery, no Redis, no RQ — a direct consequence of the Vercel serverless deployment target, which has no long-lived process to run a background worker against; every "smart" feature in the system is therefore computed synchronously, at request time, rather than by a scheduled job.</w:t>
      </w:r>
    </w:p>
    <w:p>
      <w:pPr>
        <w:spacing w:after="200" w:line="360" w:lineRule="auto"/>
        <w:jc w:val="both"/>
      </w:pPr>
      <w:r>
        <w:rPr>
          <w:rFonts w:ascii="Times New Roman" w:hAnsi="Times New Roman" w:eastAsia="Times New Roman"/>
          <w:b w:val="0"/>
          <w:i w:val="0"/>
          <w:sz w:val="24"/>
        </w:rPr>
        <w:t>The frontend is server-rendered Django templates styled with Tailwind CSS utility classes, progressively enhanced with vanilla JavaScript for offline queuing (`static/js/offline-queue.js`) and a service worker (`static/pwa/serviceworker.js`) registered through the `django-pwa` package, which also dynamically serves the web app manifest from `PWA_APP_*` settings rather than a static `manifest.json` file. Static assets are served from `STATIC_ROOT` via Vercel's CDN in production; media uploads fall back to local disk in development and switch automatically to AWS S3 (via `django-storages`) when `AWS_STORAGE_BUCKET_NAME` is configured.</w:t>
      </w:r>
    </w:p>
    <w:p>
      <w:pPr>
        <w:pStyle w:val="Heading2"/>
        <w:keepNext/>
        <w:spacing w:before="320" w:after="160"/>
      </w:pPr>
      <w:r>
        <w:rPr>
          <w:rFonts w:ascii="Times New Roman" w:hAnsi="Times New Roman" w:eastAsia="Times New Roman"/>
          <w:b/>
          <w:i w:val="0"/>
          <w:color w:val="1E3A5F"/>
          <w:sz w:val="28"/>
        </w:rPr>
        <w:t>5.3 Farm, Role, and Authentication Implementation</w:t>
      </w:r>
    </w:p>
    <w:p>
      <w:pPr>
        <w:spacing w:after="200" w:line="360" w:lineRule="auto"/>
        <w:jc w:val="both"/>
      </w:pPr>
      <w:r>
        <w:rPr>
          <w:rFonts w:ascii="Times New Roman" w:hAnsi="Times New Roman" w:eastAsia="Times New Roman"/>
          <w:b w:val="0"/>
          <w:i w:val="0"/>
          <w:sz w:val="24"/>
        </w:rPr>
        <w:t>Authentication is implemented as a farm-scoped, three-step, passwordless login wizard: a user first identifies the farm by its eight-character `Farm.code` (two letters derived from the farm's name plus six random alphanumeric characters, generated uniquely at farm creation), then their email address (validated against an active `FarmMembership` at that specific farm), then a six-digit one-time password emailed to them. A parallel, farm-independent login path exists for platform administrators, gated on a separate `User.is_platform_admin` property (`is_superuser` or `platform_role == 'admin'`) rather than any farm role. `accounts.services.issue_otp()` implements OTP issuance with resend-cooldown reuse (avoiding a duplicate email on an accidental double form submission), a ten-minute validity window, and a five-attempt lockout, raising a dedicated `OTPDeliveryError` on SMTP failure so the view can show a friendly retry message instead of a raw server error.</w:t>
      </w:r>
    </w:p>
    <w:p>
      <w:pPr>
        <w:spacing w:after="200" w:line="360" w:lineRule="auto"/>
        <w:jc w:val="both"/>
      </w:pPr>
      <w:r>
        <w:rPr>
          <w:rFonts w:ascii="Times New Roman" w:hAnsi="Times New Roman" w:eastAsia="Times New Roman"/>
          <w:b w:val="0"/>
          <w:i w:val="0"/>
          <w:sz w:val="24"/>
        </w:rPr>
        <w:t>Role-based access control is implemented centrally in `farms.permissions`, resolving the active farm for a (potentially multi-farm) user from the session's `active_farm_id`, then exposing a small family of decorator factories — `manage_workers_required`, `manage_herd_required` (aliased as `manage_records_required` in several consuming apps), `record_production_required` (aliased as `log_activity_required`), `any_member_required`, `edit_delete_required`, `farmer_required`, and `platform_admin_required` — each wrapping `login_required` and evaluating a boolean property on `FarmMembership`. This centralisation means every application that needs identical tiering (crops, inventory, finance, creditscore, geomap all require the same Farmer/Manager/Supervisor tier for record management) imports and aliases the same underlying decorator rather than re-implementing the check, and a single test suite (`farms/tests.py`, extended by permission assertions embedded throughout the other apps' test suites, such as `accounts/tests.py`'s confirmation that a Worker is blocked from the worker-management page) exercises the shared logic once.</w:t>
      </w:r>
    </w:p>
    <w:p>
      <w:pPr>
        <w:pStyle w:val="Heading2"/>
        <w:keepNext/>
        <w:spacing w:before="320" w:after="160"/>
      </w:pPr>
      <w:r>
        <w:rPr>
          <w:rFonts w:ascii="Times New Roman" w:hAnsi="Times New Roman" w:eastAsia="Times New Roman"/>
          <w:b/>
          <w:i w:val="0"/>
          <w:color w:val="1E3A5F"/>
          <w:sz w:val="28"/>
        </w:rPr>
        <w:t>5.4 Herd, Crop, Finance, Inventory, and Task Implementation</w:t>
      </w:r>
    </w:p>
    <w:p>
      <w:pPr>
        <w:spacing w:after="200" w:line="360" w:lineRule="auto"/>
        <w:jc w:val="both"/>
      </w:pPr>
      <w:r>
        <w:rPr>
          <w:rFonts w:ascii="Times New Roman" w:hAnsi="Times New Roman" w:eastAsia="Times New Roman"/>
          <w:b w:val="0"/>
          <w:i w:val="0"/>
          <w:sz w:val="24"/>
        </w:rPr>
        <w:t>The `cows` application is the largest single model file in the codebase, implementing the animal registry (`Cow`, with computed properties for days-in-milk, expected calving date, expected dry-off date, and next-heat-expected, all derived on the fly from `ReproductiveEvent` records rather than stored redundantly, using a 283-day gestation period and a 60-day target dry period as standard dairy-management constants), block-transfer auditing (`CowTransfer`), per-session and per-cow feeding allocation (`FeedingRecord`/`FeedingRecordCow`, whose per-cow split is what makes the milk-yield model's per-cow feed feature and the feed/milk correlation analysis possible), health records (`CowHealthRecord`, optionally linked to the `advisory` app's disease catalog), and weight tracking (`CowWeightRecord`), which can either record a directly-measured weight or estimate one from heart-girth tape measurement using the classical cattle-weighing formula `girth³ ⁄ 11800` kg — a standard, low-tech zootechnical approximation, explicitly less accurate than a body-length-adjusted formula but usable from a single tape measurement in the field, appropriate to a smallholder context with no scale.</w:t>
      </w:r>
    </w:p>
    <w:p>
      <w:pPr>
        <w:spacing w:after="200" w:line="360" w:lineRule="auto"/>
        <w:jc w:val="both"/>
      </w:pPr>
      <w:r>
        <w:rPr>
          <w:rFonts w:ascii="Times New Roman" w:hAnsi="Times New Roman" w:eastAsia="Times New Roman"/>
          <w:b w:val="0"/>
          <w:i w:val="0"/>
          <w:sz w:val="24"/>
        </w:rPr>
        <w:t>The `crops` application tracks a crop's lifecycle (planned → growing → harvested) and its constituent activities (planting, weeding, spraying, fertilising, harvesting), with a harvesting activity automatically restocking a produce inventory item and, once GPS field mapping was added, an optional link from a `Crop` to a `geomap.LandParcel` so a crop's field can be identified either by free-text name or a mapped boundary.</w:t>
      </w:r>
    </w:p>
    <w:p>
      <w:pPr>
        <w:spacing w:after="200" w:line="360" w:lineRule="auto"/>
        <w:jc w:val="both"/>
      </w:pPr>
      <w:r>
        <w:rPr>
          <w:rFonts w:ascii="Times New Roman" w:hAnsi="Times New Roman" w:eastAsia="Times New Roman"/>
          <w:b w:val="0"/>
          <w:i w:val="0"/>
          <w:sz w:val="24"/>
        </w:rPr>
        <w:t>The `finance` application implements a category-taxonomy income/expense ledger (`Transaction`, ten categories spanning feed, veterinary, labour, equipment, transport, utilities, water, fuel, sales, and other), while `inventory` implements stock tracking (`InventoryItem`, `StockMovement`) with `select_for_update()`-protected, atomically-applied movements to prevent lost updates when two users log stock changes concurrently on the same item — a concern the implementation explicitly notes matters more now that stock movements also feed FIQ reward amounts and credit-score features downstream. A set of auto-wiring helper functions (`record_milk_production`, `record_milk_sale`, `record_milk_internal_use`, `record_feed_usage`, `record_crop_harvest`) is called from the owning apps' views so that, for example, creating a `MilkRecord` automatically creates the corresponding stock movement without the `cows` app needing any direct knowledge of `inventory`'s internals.</w:t>
      </w:r>
    </w:p>
    <w:p>
      <w:pPr>
        <w:spacing w:after="200" w:line="360" w:lineRule="auto"/>
        <w:jc w:val="both"/>
      </w:pPr>
      <w:r>
        <w:rPr>
          <w:rFonts w:ascii="Times New Roman" w:hAnsi="Times New Roman" w:eastAsia="Times New Roman"/>
          <w:b w:val="0"/>
          <w:i w:val="0"/>
          <w:sz w:val="24"/>
        </w:rPr>
        <w:t>The `tasks` application implements assignment (to a `FarmMembership`, not directly to a `User`, tying an assignment to a specific role at a specific farm), priority and status tracking, and recurrence: a task with `repeat_every_days` set clones itself to a new due date automatically once marked done, supporting routine actions such as quarterly deworming without manual re-creation.</w:t>
      </w:r>
    </w:p>
    <w:p>
      <w:pPr>
        <w:pStyle w:val="Heading2"/>
        <w:keepNext/>
        <w:spacing w:before="320" w:after="160"/>
      </w:pPr>
      <w:r>
        <w:rPr>
          <w:rFonts w:ascii="Times New Roman" w:hAnsi="Times New Roman" w:eastAsia="Times New Roman"/>
          <w:b/>
          <w:i w:val="0"/>
          <w:color w:val="1E3A5F"/>
          <w:sz w:val="28"/>
        </w:rPr>
        <w:t>5.5 Milk-Yield Prediction Implementation</w:t>
      </w:r>
    </w:p>
    <w:p>
      <w:pPr>
        <w:spacing w:after="200" w:line="360" w:lineRule="auto"/>
        <w:jc w:val="both"/>
      </w:pPr>
      <w:r>
        <w:rPr>
          <w:rFonts w:ascii="Times New Roman" w:hAnsi="Times New Roman" w:eastAsia="Times New Roman"/>
          <w:b w:val="0"/>
          <w:i w:val="0"/>
          <w:sz w:val="24"/>
        </w:rPr>
        <w:t>The milk-yield predictor is implemented across four modules under `analysis/ml/`. Feature engineering (`features.py`) constructs one row per (cow, date) with a recorded milk total, computing five features: `days_in_milk` (the date minus the cow's `last_calving_date`, median-imputed across known rows where a calving date is missing, defaulting to 150 days if no calving data exists anywhere), `dairy_meal_kg` and `silage_hay_kg` (summed from that cow's `FeedingRecordCow` allocations on the given date), `rolling_avg_liters_7d` (the mean of the cow's own recorded yield over the preceding seven days, or the current value if no history exists), and `is_heifer` (a binary indicator from `Cow.category`).</w:t>
      </w:r>
    </w:p>
    <w:p>
      <w:pPr>
        <w:spacing w:after="200" w:line="360" w:lineRule="auto"/>
        <w:jc w:val="both"/>
      </w:pPr>
      <w:r>
        <w:rPr>
          <w:rFonts w:ascii="Times New Roman" w:hAnsi="Times New Roman" w:eastAsia="Times New Roman"/>
          <w:b w:val="0"/>
          <w:i w:val="0"/>
          <w:sz w:val="24"/>
        </w:rPr>
        <w:t>Training (`ml/train.py`) fits a scikit-learn `Ridge` regressor (L2 penalty, alpha = 1.0) on `StandardScaler`-normalised features, entirely at request time — no model is persisted between requests, and no background training job exists, a deliberate consequence of the project's serverless deployment target combined with the observation that fitting a ridge regression on a single farm's data is computationally cheap enough to redo on every relevant page view. A minimum of thirty rows (`MIN_ROWS`) is required before a model is trained; below that, the function returns `None` as a cold-start guard.</w:t>
      </w:r>
    </w:p>
    <w:p>
      <w:pPr>
        <w:spacing w:after="200" w:line="360" w:lineRule="auto"/>
        <w:jc w:val="both"/>
      </w:pPr>
      <w:r>
        <w:rPr>
          <w:rFonts w:ascii="Times New Roman" w:hAnsi="Times New Roman" w:eastAsia="Times New Roman"/>
          <w:b w:val="0"/>
          <w:i w:val="0"/>
          <w:sz w:val="24"/>
        </w:rPr>
        <w:t>Prediction (`ml/predict.py`) attempts a per-cow model first; if the individual cow has fewer than thirty recorded rows — which is nearly always true early in a cow's productive life — the system falls back to a pooled, whole-farm model, so the feature remains useful before months of per-cow data accumulate. Forecasts extend forward in time by incrementing `days_in_milk` day-by-day from the cow's latest known feature snapshot, or, for a brand-new cow with zero records, from a farm-wide ten-day rolling average of features. Block- and farm-scope predictions are computed by summing the relevant per-cow predictions, rather than fitting a separate model at those scopes.</w:t>
      </w:r>
    </w:p>
    <w:p>
      <w:pPr>
        <w:spacing w:after="200" w:line="360" w:lineRule="auto"/>
        <w:jc w:val="both"/>
      </w:pPr>
      <w:r>
        <w:rPr>
          <w:rFonts w:ascii="Times New Roman" w:hAnsi="Times New Roman" w:eastAsia="Times New Roman"/>
          <w:b w:val="0"/>
          <w:i w:val="0"/>
          <w:sz w:val="24"/>
        </w:rPr>
        <w:t>Explainability (`ml/explain.py`) computes each feature's contribution to a prediction as the exact closed-form product `coefficient_i × standardized_value_i` — mathematically identical to what SHAP's `LinearExplainer` would produce for a linear model, but computed directly via basic linear algebra rather than importing the `shap` library, which the implementation notes was a deliberate choice because `shap`'s dependency chain (numba, llvmlite, pandas) does not fit comfortably within Vercel's serverless function size limit. The intercept plus the sum of all contributions is mathematically guaranteed to equal the prediction exactly. A `plain_language_summary()` function renders the top two contributions above a 0.05-litre negligibility threshold into a human-readable sentence (for example, "+1.2L from dairy meal fed, +0.8L from days since calving"). A separate module (`ml/correlation.py`) computes the plain Pearson correlation coefficient (via `numpy.corrcoef`, again avoiding scipy) between daily feed quantity and daily milk yield, over a selectable period with a minimum three-day overlap.</w:t>
      </w:r>
    </w:p>
    <w:p>
      <w:pPr>
        <w:spacing w:after="200" w:line="360" w:lineRule="auto"/>
        <w:jc w:val="both"/>
      </w:pPr>
      <w:r>
        <w:rPr>
          <w:rFonts w:ascii="Times New Roman" w:hAnsi="Times New Roman" w:eastAsia="Times New Roman"/>
          <w:b w:val="0"/>
          <w:i w:val="0"/>
          <w:sz w:val="24"/>
        </w:rPr>
        <w:t>Each stored `MilkPrediction` is canonically hashed and anchored to Hedera only when its content has changed since the last anchor (`analysis.services.anchor_changed_predictions()`), since predictions are recomputed on every dashboard view and would otherwise generate a new, paid Hedera transaction on every page load regardless of whether the underlying forecast actually changed.</w:t>
      </w:r>
    </w:p>
    <w:p>
      <w:pPr>
        <w:spacing w:before="200"/>
        <w:jc w:val="center"/>
      </w:pPr>
      <w:r>
        <w:drawing>
          <wp:inline xmlns:a="http://schemas.openxmlformats.org/drawingml/2006/main" xmlns:pic="http://schemas.openxmlformats.org/drawingml/2006/picture">
            <wp:extent cx="5486400" cy="2768367"/>
            <wp:docPr id="4" name="Picture 4"/>
            <wp:cNvGraphicFramePr>
              <a:graphicFrameLocks noChangeAspect="1"/>
            </wp:cNvGraphicFramePr>
            <a:graphic>
              <a:graphicData uri="http://schemas.openxmlformats.org/drawingml/2006/picture">
                <pic:pic>
                  <pic:nvPicPr>
                    <pic:cNvPr id="0" name="fig_milkyield_pipeline.png"/>
                    <pic:cNvPicPr/>
                  </pic:nvPicPr>
                  <pic:blipFill>
                    <a:blip r:embed="rId12"/>
                    <a:stretch>
                      <a:fillRect/>
                    </a:stretch>
                  </pic:blipFill>
                  <pic:spPr>
                    <a:xfrm>
                      <a:off x="0" y="0"/>
                      <a:ext cx="5486400" cy="2768367"/>
                    </a:xfrm>
                    <a:prstGeom prst="rect"/>
                  </pic:spPr>
                </pic:pic>
              </a:graphicData>
            </a:graphic>
          </wp:inline>
        </w:drawing>
      </w:r>
    </w:p>
    <w:p>
      <w:pPr>
        <w:spacing w:after="280"/>
        <w:jc w:val="center"/>
      </w:pPr>
      <w:r>
        <w:rPr>
          <w:rFonts w:ascii="Times New Roman" w:hAnsi="Times New Roman" w:eastAsia="Times New Roman"/>
          <w:b/>
          <w:i/>
          <w:sz w:val="21"/>
        </w:rPr>
        <w:t>Figure 5.1: Milk-Yield Prediction Pipeline (Ridge Regression)</w:t>
      </w:r>
    </w:p>
    <w:p>
      <w:pPr>
        <w:pStyle w:val="Heading2"/>
        <w:keepNext/>
        <w:spacing w:before="320" w:after="160"/>
      </w:pPr>
      <w:r>
        <w:rPr>
          <w:rFonts w:ascii="Times New Roman" w:hAnsi="Times New Roman" w:eastAsia="Times New Roman"/>
          <w:b/>
          <w:i w:val="0"/>
          <w:color w:val="1E3A5F"/>
          <w:sz w:val="28"/>
        </w:rPr>
        <w:t>5.6 Alternative Credit-Scoring Implementation</w:t>
      </w:r>
    </w:p>
    <w:p>
      <w:pPr>
        <w:spacing w:after="200" w:line="360" w:lineRule="auto"/>
        <w:jc w:val="both"/>
      </w:pPr>
      <w:r>
        <w:rPr>
          <w:rFonts w:ascii="Times New Roman" w:hAnsi="Times New Roman" w:eastAsia="Times New Roman"/>
          <w:b w:val="0"/>
          <w:i w:val="0"/>
          <w:sz w:val="24"/>
        </w:rPr>
        <w:t>The credit-scoring engine is implemented across `creditscore/features.py`, `scoring.py`, `explain.py`, `services.py`, and `api.py`. Feature engineering computes ten features per farm, each normalised so that a higher value always indicates a healthier farm: `farm_age_norm` (age in days divided by a 1,095-day / three-year cap), `expense_ratio_health` (one minus the expense-to-income ratio, clamped to [0, 1], with a special case returning 0.0 if income is zero but expense is positive, or a neutral 0.5 if there is no income data at all), `income_stability` (one minus the coefficient of variation of monthly income over a 180-day window, or `None` if fewer than two months of data exist), `yield_consistency` (one minus the coefficient of variation of daily milk totals over a 90-day window, or `None` if fewer than five recorded days or no active cows exist), `herd_size_norm` (cow count divided by a fifty-cow cap), `income_category_diversity` and `crop_activity_diversity` (distinct non-"other" transaction categories or crop-activity types, divided by the number of possible categories), `task_on_time_rate` (the fraction of completed tasks finished by their due date over a 90-day window, or a neutral 0.5 if no tasks exist), and `fiq_balance_norm` and `fiq_source_diversity` (the farm's total FIQ ledger balance divided by a 500-token cap, and the count of distinct FIQ-earning reasons divided by three).</w:t>
      </w:r>
    </w:p>
    <w:p>
      <w:pPr>
        <w:spacing w:after="200" w:line="360" w:lineRule="auto"/>
        <w:jc w:val="both"/>
      </w:pPr>
      <w:r>
        <w:rPr>
          <w:rFonts w:ascii="Times New Roman" w:hAnsi="Times New Roman" w:eastAsia="Times New Roman"/>
          <w:b w:val="0"/>
          <w:i w:val="0"/>
          <w:sz w:val="24"/>
        </w:rPr>
        <w:t>A farm is eligible for population-relative scoring only if it is at least thirty days old and has at least five total records across milk, transactions, crop activities, and completed tasks (`eligible_farms()`); `build_population_matrix()` then assembles the eligible population into a farms-by-features matrix, imputing each column's missing values with that column's own median across the sub-population in which it was actually observed — not zero — so that, for example, a crop-only farm with no active cows receives `None` for `yield_consistency` and `herd_size_norm`, and is imputed from the population's crop-only-adjacent median rather than penalised outright for operating a different enterprise mix.</w:t>
      </w:r>
    </w:p>
    <w:p>
      <w:pPr>
        <w:spacing w:after="200" w:line="360" w:lineRule="auto"/>
        <w:jc w:val="both"/>
      </w:pPr>
      <w:r>
        <w:rPr>
          <w:rFonts w:ascii="Times New Roman" w:hAnsi="Times New Roman" w:eastAsia="Times New Roman"/>
          <w:b w:val="0"/>
          <w:i w:val="0"/>
          <w:sz w:val="24"/>
        </w:rPr>
        <w:t>Scoring (`scoring.py`) branches on population size. Below eight eligible farms (`MIN_POPULATION_FARMS`), every farm receives a `compute_provisional_score()`: the plain mean of its ten imputed 0–1 features, scaled to 0–100 and rounded, with tiers from fixed thresholds (below 40 Poor, below 60 Fair, below 80 Good, otherwise Excellent), recorded with `method='provisional'`. At or above eight farms, the ten-column matrix is standardised with `StandardScaler` and reduced with `PCA(n_components=1, random_state=42)` to a single composite health score; because PCA's sign is mathematically arbitrary, the resulting component is oriented via `np.corrcoef(pc1, raw_composite)` against a plain row-mean composite, so that a higher score always corresponds to a healthier farm, with the same sign correction applied to the loadings used for explanation. Each farm's final 0–100 score is its percentile rank within the population, computed via a double-argsort rather than `scipy.stats.rankdata`, consistent with the codebase's no-direct-scipy convention. Discrete tiers are derived separately, via `KMeans(n_clusters=k, random_state=42, n_init=10)` on the same standardised matrix — four clusters at or above twelve farms, two clusters below that — with clusters ranked and labelled by mean PC1. Because the continuous score (from PCA) and the discrete tier (from K-means) are two different lenses on the same standardised data, they can occasionally disagree (a farm may rank numerically higher yet land in a nominally lower cluster) by design, a property the implementation treats as expected rather than as a bug to reconcile. A separate, simpler category breakdown (tenure, financial, production, diversification, behavioural, blockchain — six domains) is computed as the unweighted mean of each domain's own raw, imputed feature values, deliberately not population-relative, so it can be shown to a farmer without needing to explain PCA.</w:t>
      </w:r>
    </w:p>
    <w:p>
      <w:pPr>
        <w:spacing w:after="200" w:line="360" w:lineRule="auto"/>
        <w:jc w:val="both"/>
      </w:pPr>
      <w:r>
        <w:rPr>
          <w:rFonts w:ascii="Times New Roman" w:hAnsi="Times New Roman" w:eastAsia="Times New Roman"/>
          <w:b w:val="0"/>
          <w:i w:val="0"/>
          <w:sz w:val="24"/>
        </w:rPr>
        <w:t>Explainability (`explain.py`) computes each feature's contribution to the sign-corrected composite as `loading_i × standardized_value_i × sign`, which sums exactly to that composite — a property verified independently in the test suite (Section 6.4) via a from-scratch re-implementation of the calculation rather than merely trusting the production code's own assertion. Because the displayed 0–100 score is a *rank* of the composite rather than a linear function of it, the implementation is explicit — both in code comments and in the interface copy it drives — that per-feature contributions explain what drove the underlying composite, not an exact points breakdown of the displayed rank, avoiding an overstated claim of precision. The provisional-method equivalent contribution is simply `imputed_value_i − 0.5`, the feature's deviation from the neutral midpoint. `plain_language_summary()` renders the top two positive and top two negative contributions above a 0.05 negligibility threshold as "driven up by..." / "held back by..." prose.</w:t>
      </w:r>
    </w:p>
    <w:p>
      <w:pPr>
        <w:spacing w:after="200" w:line="360" w:lineRule="auto"/>
        <w:jc w:val="both"/>
      </w:pPr>
      <w:r>
        <w:rPr>
          <w:rFonts w:ascii="Times New Roman" w:hAnsi="Times New Roman" w:eastAsia="Times New Roman"/>
          <w:b w:val="0"/>
          <w:i w:val="0"/>
          <w:sz w:val="24"/>
        </w:rPr>
        <w:t>`creditscore.services.recompute_farm_score()` orchestrates a recompute: it computes the population (or provisional) result, canonically hashes the resulting payload, and creates and anchors a new, permanent `CreditScoreSnapshot` only if the hash differs from the farm's latest snapshot — the same hash-diff gating pattern used for predictions and finance transactions — so that repeated clicks with no underlying change do not create duplicate rows or duplicate paid Hedera messages. Recompute is a manual, permission-gated action (Farmer, Manager, or Supervisor only — verified by test to exclude Worker), not automatic on every page view, since population-wide scoring is computationally heavier than a single farm's yield prediction and each recompute carries a real, if small, Hedera fee.</w:t>
      </w:r>
    </w:p>
    <w:p>
      <w:pPr>
        <w:spacing w:after="200" w:line="360" w:lineRule="auto"/>
        <w:jc w:val="both"/>
      </w:pPr>
      <w:r>
        <w:rPr>
          <w:rFonts w:ascii="Times New Roman" w:hAnsi="Times New Roman" w:eastAsia="Times New Roman"/>
          <w:b w:val="0"/>
          <w:i w:val="0"/>
          <w:sz w:val="24"/>
        </w:rPr>
        <w:t>The credit-scoring API (`creditscore/api.py`) exposes `GET /credit-score/api/farms/&lt;id&gt;/score/`, authenticated via an `X-API-Key` header matched against a `DataPartner.api_key` (a `secrets.token_hex(32)` value). The endpoint deliberately returns an identical response for three distinct failure conditions — an invalid API key, a farm that exists but has not granted that partner active `DataShareConsent`, and a farm ID that does not exist at all — preventing an untrusted partner from using the response to either guess valid API keys or enumerate which farm IDs exist on the platform. A successful response includes the score, tier, method, population size, category breakdown, and explanation, together with a `verification` block (`content_hash`, `hedera_topic_id`, `sequence_number`, `consensus_timestamp`) that lets the receiving partner independently recompute the same hash from the returned data and confirm it matches the corresponding public Hedera Consensus Service message.</w:t>
      </w:r>
    </w:p>
    <w:p>
      <w:pPr>
        <w:spacing w:before="200"/>
        <w:jc w:val="center"/>
      </w:pPr>
      <w:r>
        <w:drawing>
          <wp:inline xmlns:a="http://schemas.openxmlformats.org/drawingml/2006/main" xmlns:pic="http://schemas.openxmlformats.org/drawingml/2006/picture">
            <wp:extent cx="5486400" cy="3128211"/>
            <wp:docPr id="5" name="Picture 5"/>
            <wp:cNvGraphicFramePr>
              <a:graphicFrameLocks noChangeAspect="1"/>
            </wp:cNvGraphicFramePr>
            <a:graphic>
              <a:graphicData uri="http://schemas.openxmlformats.org/drawingml/2006/picture">
                <pic:pic>
                  <pic:nvPicPr>
                    <pic:cNvPr id="0" name="fig_creditscore_pipeline.png"/>
                    <pic:cNvPicPr/>
                  </pic:nvPicPr>
                  <pic:blipFill>
                    <a:blip r:embed="rId13"/>
                    <a:stretch>
                      <a:fillRect/>
                    </a:stretch>
                  </pic:blipFill>
                  <pic:spPr>
                    <a:xfrm>
                      <a:off x="0" y="0"/>
                      <a:ext cx="5486400" cy="3128211"/>
                    </a:xfrm>
                    <a:prstGeom prst="rect"/>
                  </pic:spPr>
                </pic:pic>
              </a:graphicData>
            </a:graphic>
          </wp:inline>
        </w:drawing>
      </w:r>
    </w:p>
    <w:p>
      <w:pPr>
        <w:spacing w:after="280"/>
        <w:jc w:val="center"/>
      </w:pPr>
      <w:r>
        <w:rPr>
          <w:rFonts w:ascii="Times New Roman" w:hAnsi="Times New Roman" w:eastAsia="Times New Roman"/>
          <w:b/>
          <w:i/>
          <w:sz w:val="21"/>
        </w:rPr>
        <w:t>Figure 5.2: Alternative Credit-Scoring Pipeline (PCA + KMeans)</w:t>
      </w:r>
    </w:p>
    <w:p>
      <w:pPr>
        <w:pStyle w:val="Heading2"/>
        <w:keepNext/>
        <w:spacing w:before="320" w:after="160"/>
      </w:pPr>
      <w:r>
        <w:rPr>
          <w:rFonts w:ascii="Times New Roman" w:hAnsi="Times New Roman" w:eastAsia="Times New Roman"/>
          <w:b/>
          <w:i w:val="0"/>
          <w:color w:val="1E3A5F"/>
          <w:sz w:val="28"/>
        </w:rPr>
        <w:t>5.7 Blockchain Implementation</w:t>
      </w:r>
    </w:p>
    <w:p>
      <w:pPr>
        <w:spacing w:after="200" w:line="360" w:lineRule="auto"/>
        <w:jc w:val="both"/>
      </w:pPr>
      <w:r>
        <w:rPr>
          <w:rFonts w:ascii="Times New Roman" w:hAnsi="Times New Roman" w:eastAsia="Times New Roman"/>
          <w:b w:val="0"/>
          <w:i w:val="0"/>
          <w:sz w:val="24"/>
        </w:rPr>
        <w:t>Blockchain functionality is implemented in the `blockchain` application, built on `hiero-sdk-python`. `HederaConfig` is a singleton database row (not a `.env` secret, since the five token/topic IDs it stores are public, HashScan-lookupable identifiers) holding the platform's shared cow-NFT collection, harvest-NFT collection, FIQ fungible-token, and three Hedera Consensus Service topic IDs (for predictions, finance, and — added in a later migration — credit scores); each is created lazily, row-locked with `select_for_update()` to avoid a race condition creating duplicate collections under concurrent first use.</w:t>
      </w:r>
    </w:p>
    <w:p>
      <w:pPr>
        <w:spacing w:after="200" w:line="360" w:lineRule="auto"/>
        <w:jc w:val="both"/>
      </w:pPr>
      <w:r>
        <w:rPr>
          <w:rFonts w:ascii="Times New Roman" w:hAnsi="Times New Roman" w:eastAsia="Times New Roman"/>
          <w:b w:val="0"/>
          <w:i w:val="0"/>
          <w:sz w:val="24"/>
        </w:rPr>
        <w:t>`blockchain.services.get_client()` lazily builds and caches a Hedera client from `HEDERA_OPERATOR_ID`/`HEDERA_OPERATOR_KEY`, returning `None` — never raising — if these are unconfigured, so every blockchain-dependent feature degrades gracefully in an environment without Hedera credentials. Operator-key parsing tries ECDSA (secp256k1) before Ed25519, a deliberate ordering to work around Hedera testnet accounts with an EVM-compatible address, whose keys the SDK's naive auto-detector can otherwise misidentify, parsing successfully but signing incorrectly and producing a confusing `INVALID_SIGNATURE` error at transaction time rather than at configuration time.</w:t>
      </w:r>
    </w:p>
    <w:p>
      <w:pPr>
        <w:spacing w:after="200" w:line="360" w:lineRule="auto"/>
        <w:jc w:val="both"/>
      </w:pPr>
      <w:r>
        <w:rPr>
          <w:rFonts w:ascii="Times New Roman" w:hAnsi="Times New Roman" w:eastAsia="Times New Roman"/>
          <w:b w:val="0"/>
          <w:i w:val="0"/>
          <w:sz w:val="24"/>
        </w:rPr>
        <w:t>Reward amounts are fixed platform constants: 10.00 FIQ per cow registered, 0.50 FIQ per kilogram harvested, 1.00 FIQ per litre of milk certified, 2.00 FIQ per task completed, and 0.20 FIQ per data record in a batched worker reward. `mint_cow_nft()` and `mint_harvest_nft()` each mint one NFT serial on a shared, lazily-created collection, with on-chain metadata capped to Hedera's 100-byte public-metadata limit and restricted to non-sensitive fields (tag ID, breed, and farm identifier for a cow; crop, quantity, date, and farm identifier for a harvest). `mint_fiq()` is a "dumb" primitive that mints fungible FIQ to the treasury account; callers are responsible for creating the matching `FiqLedgerEntry` themselves, and only after a successful mint — the ledger, not the on-chain balance, is the authoritative record of which farm has earned how much, since no farm or individual user holds their own Hedera account in this system; custody remains entirely in the single admin/treasury account, and "who owns what" is tracked in FarmIQ's own database.</w:t>
      </w:r>
    </w:p>
    <w:p>
      <w:pPr>
        <w:spacing w:after="200" w:line="360" w:lineRule="auto"/>
        <w:jc w:val="both"/>
      </w:pPr>
      <w:r>
        <w:rPr>
          <w:rFonts w:ascii="Times New Roman" w:hAnsi="Times New Roman" w:eastAsia="Times New Roman"/>
          <w:b w:val="0"/>
          <w:i w:val="0"/>
          <w:sz w:val="24"/>
        </w:rPr>
        <w:t>`anchor_hash()` submits only a SHA-256 hash string — never raw record data — to the relevant HCS topic (created lazily on first use), returning the topic ID, sequence number, and consensus timestamp derived from the submitting transaction's own `valid_start` rather than an additional `TransactionRecordQuery` round-trip, saving a network call. `compute_content_hash()` implements the single hashing convention shared identically across the three anchoring call sites: canonical JSON serialisation (`json.dumps(payload, sort_keys=True, separators=(',', ':'))`) followed by SHA-256 hex digest. Every mint and anchor function wraps its logic in a broad `try/except` with `logger.exception`, returning `None` on any failure, so that a Hedera outage can never block a farmer from saving a cow, a transaction, or a credit-score recompute — the primary database write always happens first, and the blockchain call is attempted only afterward, on a best-effort basis.</w:t>
      </w:r>
    </w:p>
    <w:p>
      <w:pPr>
        <w:spacing w:after="200" w:line="360" w:lineRule="auto"/>
        <w:jc w:val="both"/>
      </w:pPr>
      <w:r>
        <w:rPr>
          <w:rFonts w:ascii="Times New Roman" w:hAnsi="Times New Roman" w:eastAsia="Times New Roman"/>
          <w:b w:val="0"/>
          <w:i w:val="0"/>
          <w:sz w:val="24"/>
        </w:rPr>
        <w:t>Trigger points are: cow creation (mints a cow NFT); a harvesting crop activity (mints a harvest NFT); milk certificate creation, a manually-batched action available to Farmer, Manager, or Supervisor (mints FIQ equal to total litres certified); a worker batch reward, also manually triggered by a manager-tier role, which counts a specific worker's logged milk, feeding, crop-activity, and stock-movement records in a date range and mints FIQ proportional to that count (deliberately batched, since a fast data-entry workflow should not carry a live, paid Hedera transaction on every single record logged); and the three hash-anchoring call sites in `analysis`, `finance`, and `creditscore`. Finance transactions are anchored once, at creation, and deliberately never re-anchored on edit, so that a later edit whose hash no longer matches the originally-anchored hash is the audit trail correctly revealing a post-hoc alteration — a documented design property, not a defect.</w:t>
      </w:r>
    </w:p>
    <w:p>
      <w:pPr>
        <w:spacing w:after="200" w:line="360" w:lineRule="auto"/>
        <w:jc w:val="both"/>
      </w:pPr>
      <w:r>
        <w:rPr>
          <w:rFonts w:ascii="Times New Roman" w:hAnsi="Times New Roman" w:eastAsia="Times New Roman"/>
          <w:b w:val="0"/>
          <w:i w:val="0"/>
          <w:sz w:val="24"/>
        </w:rPr>
        <w:t>The Wallet page (`blockchain/views.wallet_view`) shows a farm's total FIQ balance, computed live as the sum of every `FiqLedgerEntry` for that farm rather than cached, a table of minted milk certificates, and a per-worker "top contributors" breakdown drawn from the subset of ledger entries that carry an `earned_by` attribution (task completions and worker data-record batches; cow, harvest, and milk-certificate rewards go into the shared farm pool with no individual attribution, by design). An optional management command, `hedera_setup`, allows pre-creating all five shared tokens/topics up front, though this is not required, since each is created automatically on first genuine use.</w:t>
      </w:r>
    </w:p>
    <w:p>
      <w:pPr>
        <w:pStyle w:val="Heading2"/>
        <w:keepNext/>
        <w:spacing w:before="320" w:after="160"/>
      </w:pPr>
      <w:r>
        <w:rPr>
          <w:rFonts w:ascii="Times New Roman" w:hAnsi="Times New Roman" w:eastAsia="Times New Roman"/>
          <w:b/>
          <w:i w:val="0"/>
          <w:color w:val="1E3A5F"/>
          <w:sz w:val="28"/>
        </w:rPr>
        <w:t>5.8 Notifications Implementation</w:t>
      </w:r>
    </w:p>
    <w:p>
      <w:pPr>
        <w:spacing w:after="200" w:line="360" w:lineRule="auto"/>
        <w:jc w:val="both"/>
      </w:pPr>
      <w:r>
        <w:rPr>
          <w:rFonts w:ascii="Times New Roman" w:hAnsi="Times New Roman" w:eastAsia="Times New Roman"/>
          <w:b w:val="0"/>
          <w:i w:val="0"/>
          <w:sz w:val="24"/>
        </w:rPr>
        <w:t>The `notifications` application centralises dispatch behind a single function, `notify(farm, actor, verb, kind, description, recipient=None)`, used throughout the codebase wherever a user-visible event occurs. Called without a `recipient`, it always logs a general, farm-wide activity-feed `Notification`. Called with a `recipient`, it checks that user's `notification_delivery` preference (in-app, push, or both) to decide whether to write a targeted in-app row, send a Web Push notification, or both; WhatsApp delivery is a separate, independent opt-in — it fires whenever the recipient has both `whatsapp_notifications_enabled` set and a `whatsapp_number` on file, regardless of their in-app/push preference, and only ever for targeted notifications, never the general activity feed.</w:t>
      </w:r>
    </w:p>
    <w:p>
      <w:pPr>
        <w:spacing w:after="200" w:line="360" w:lineRule="auto"/>
        <w:jc w:val="both"/>
      </w:pPr>
      <w:r>
        <w:rPr>
          <w:rFonts w:ascii="Times New Roman" w:hAnsi="Times New Roman" w:eastAsia="Times New Roman"/>
          <w:b w:val="0"/>
          <w:i w:val="0"/>
          <w:sz w:val="24"/>
        </w:rPr>
        <w:t>WhatsApp delivery (`notifications/whatsapp.py`) is implemented against the official Meta WhatsApp Cloud API — not Twilio — posting to `https://graph.facebook.com/{version}/{phone_number_id}/messages` with a bearer token, a text payload truncated to WhatsApp's 4,096-character limit, and is subject to the platform's constraint that free-form text delivery only works within twenty-four hours of the recipient having messaged the business number first; outside that window, Meta requires a pre-approved message template, a Business Manager configuration concern outside this codebase's own scope. The function never raises: a non-OK response or a request exception is logged as a warning and swallowed. Web Push delivery (`notifications/push.py`) uses `pywebpush` with a VAPID key pair; a 404 or 410 response (an expired or revoked browser subscription) automatically deletes the corresponding stale `PushSubscription` row, while other failures are logged and otherwise ignored. The service worker's own `push` event listener (Section 5.9) renders the resulting device notification from the JSON payload the push service delivers.</w:t>
      </w:r>
    </w:p>
    <w:p>
      <w:pPr>
        <w:pStyle w:val="Heading2"/>
        <w:keepNext/>
        <w:spacing w:before="320" w:after="160"/>
      </w:pPr>
      <w:r>
        <w:rPr>
          <w:rFonts w:ascii="Times New Roman" w:hAnsi="Times New Roman" w:eastAsia="Times New Roman"/>
          <w:b/>
          <w:i w:val="0"/>
          <w:color w:val="1E3A5F"/>
          <w:sz w:val="28"/>
        </w:rPr>
        <w:t>5.9 Progressive Web Application and Offline-First Implementation</w:t>
      </w:r>
    </w:p>
    <w:p>
      <w:pPr>
        <w:spacing w:after="200" w:line="360" w:lineRule="auto"/>
        <w:jc w:val="both"/>
      </w:pPr>
      <w:r>
        <w:rPr>
          <w:rFonts w:ascii="Times New Roman" w:hAnsi="Times New Roman" w:eastAsia="Times New Roman"/>
          <w:b w:val="0"/>
          <w:i w:val="0"/>
          <w:sz w:val="24"/>
        </w:rPr>
        <w:t>FarmIQ's PWA behaviour is implemented through `django-pwa`, which dynamically serves the web app manifest from `PWA_APP_*` settings (app name "FarmIQ", theme colour #047857, background colour #f5f5f4, standalone display mode, and a start URL of `/farm/` — so installing the app lands a user directly on their farm dashboard rather than the public marketing page) rather than a static `manifest.json` file, together with icon and Apple splash-screen assets covering iPhone SE through iPad Pro screen sizes.</w:t>
      </w:r>
    </w:p>
    <w:p>
      <w:pPr>
        <w:spacing w:after="200" w:line="360" w:lineRule="auto"/>
        <w:jc w:val="both"/>
      </w:pPr>
      <w:r>
        <w:rPr>
          <w:rFonts w:ascii="Times New Roman" w:hAnsi="Times New Roman" w:eastAsia="Times New Roman"/>
          <w:b w:val="0"/>
          <w:i w:val="0"/>
          <w:sz w:val="24"/>
        </w:rPr>
        <w:t>The service worker (`static/pwa/serviceworker.js`) deliberately implements a network-first, not cache-first, caching strategy, documented directly in the file's own header comment: because FarmIQ is a live farm-records application, a page should always show fresh data when the device is online, and the cache exists only to make the application shell — icons and an offline fallback page — available with zero connectivity, never to serve stale farm data pages. On `install`, the service worker caches only the app shell (the `/offline/` route and PWA icon/splash assets); on `activate`, it purges any previous cache version; on `fetch`, for GET requests only, it attempts the network first, falling back to a cached match for that exact request or, failing that, to the generic offline page. A `push` event listener renders a device notification from the delivered JSON payload, and a `notificationclick` listener focuses an already-open matching browser tab if one exists, or opens a new one at the notification's target URL.</w:t>
      </w:r>
    </w:p>
    <w:p>
      <w:pPr>
        <w:spacing w:after="200" w:line="360" w:lineRule="auto"/>
        <w:jc w:val="both"/>
      </w:pPr>
      <w:r>
        <w:rPr>
          <w:rFonts w:ascii="Times New Roman" w:hAnsi="Times New Roman" w:eastAsia="Times New Roman"/>
          <w:b w:val="0"/>
          <w:i w:val="0"/>
          <w:sz w:val="24"/>
        </w:rPr>
        <w:t>Offline data entry is implemented primarily on the page side, in `static/js/offline-queue.js`, rather than in the service worker's Background Sync API, which the implementation notes has no support in Safari or iOS and is therefore treated only as a secondary, best-effort path. `FarmIQOfflineQueue.queueFormSubmission(form)` intercepts a production-record form submission, stores its fields in an IndexedDB store (`farmiq-offline-queue` database, `pending-records` object store), and attempts a `SyncManager` registration where supported. The primary flush trigger is the cross-platform `window` `'online'` event, supplemented by a flush attempt on every page load; a queued record is dropped after five failed resubmission attempts (`MAX_ATTEMPTS`). A badge helper (`registerBadge()`/`updateBadges()`) lets any page display a "N pending" indicator for records still queued. When the service worker's own Background Sync listener does fire, it independently re-implements the same resubmission logic — reading the same IndexedDB store, since a service worker cannot share in-page JavaScript state or read `document.cookie`, and therefore re-POSTs each queued record as `application/x-www-form-urlencoded` with the CSRF token included as a hidden form field rather than an `X-CSRFToken` header. Both paths use the same success signal — this codebase's convention that a successful create or edit responds with an HTTP redirect, while a rejected form re-renders with a 200 status — as the only reliable way to detect a successful resubmission without a dedicated JSON API.</w:t>
      </w:r>
    </w:p>
    <w:p>
      <w:pPr>
        <w:pStyle w:val="Heading2"/>
        <w:keepNext/>
        <w:spacing w:before="320" w:after="160"/>
      </w:pPr>
      <w:r>
        <w:rPr>
          <w:rFonts w:ascii="Times New Roman" w:hAnsi="Times New Roman" w:eastAsia="Times New Roman"/>
          <w:b/>
          <w:i w:val="0"/>
          <w:color w:val="1E3A5F"/>
          <w:sz w:val="28"/>
        </w:rPr>
        <w:t>5.10 Internationalisation</w:t>
      </w:r>
    </w:p>
    <w:p>
      <w:pPr>
        <w:spacing w:after="200" w:line="360" w:lineRule="auto"/>
        <w:jc w:val="both"/>
      </w:pPr>
      <w:r>
        <w:rPr>
          <w:rFonts w:ascii="Times New Roman" w:hAnsi="Times New Roman" w:eastAsia="Times New Roman"/>
          <w:b w:val="0"/>
          <w:i w:val="0"/>
          <w:sz w:val="24"/>
        </w:rPr>
        <w:t>FarmIQ uses Django's built-in `gettext`-based translation framework throughout its models and views, with English as the default locale and Kiswahili (`sw`) as a second, substantially complete translation — the Kiswahili `django.po` file comprises over 3,200 lines with approximately 97 percent of extracted message strings translated, and is compiled to a `django.mo` binary that is recompiled as translations are updated. Because Django's `LocaleMiddleware` is cookie-based only from Django 4 onward, a language choice made through the in-app toggle is mirrored onto `User.language` in addition to the cookie (`core.views.set_language`), and re-applied as a cookie on every subsequent login — the specific mechanism that makes a user's language preference follow them across devices and browsers rather than resetting on a new session.</w:t>
      </w:r>
    </w:p>
    <w:p>
      <w:pPr>
        <w:pStyle w:val="Heading2"/>
        <w:keepNext/>
        <w:spacing w:before="320" w:after="160"/>
      </w:pPr>
      <w:r>
        <w:rPr>
          <w:rFonts w:ascii="Times New Roman" w:hAnsi="Times New Roman" w:eastAsia="Times New Roman"/>
          <w:b/>
          <w:i w:val="0"/>
          <w:color w:val="1E3A5F"/>
          <w:sz w:val="28"/>
        </w:rPr>
        <w:t>5.11 Security Implementation</w:t>
      </w:r>
    </w:p>
    <w:p>
      <w:pPr>
        <w:spacing w:after="200" w:line="360" w:lineRule="auto"/>
        <w:jc w:val="both"/>
      </w:pPr>
      <w:r>
        <w:rPr>
          <w:rFonts w:ascii="Times New Roman" w:hAnsi="Times New Roman" w:eastAsia="Times New Roman"/>
          <w:b w:val="0"/>
          <w:i w:val="0"/>
          <w:sz w:val="24"/>
        </w:rPr>
        <w:t>Authentication requires no user-managed password at any point (Section 5.3), removing an entire class of credential-reuse and weak-password risk. All farm-scoped data access is mediated by the `farms.permissions` decorator framework, which resolves the requesting user's active farm membership before any view logic executes, preventing both cross-farm data leakage and privilege escalation within a farm. Session security settings (`SESSION_COOKIE_SECURE`, `CSRF_COOKIE_SECURE`, `SECURE_SSL_REDIRECT`) are enabled automatically whenever `DEBUG` is false, with `SECURE_PROXY_SSL_HEADER` configured to correctly recognise HTTPS termination at Vercel's edge, and `ALLOWED_HOSTS` automatically extended with Vercel's own deployment-URL environment variables rather than requiring manual configuration per deployment. `SECURE_HSTS_SECONDS` is deliberately set to a short 3,600-second window in production (and 0 in debug) rather than a long-lived value, an explicit, documented choice to avoid a browser caching an overly aggressive HSTS policy that would be difficult to undo if HTTPS configuration needed to change. A custom `CSRF_FAILURE_VIEW` logs diagnostic information and redirects gracefully rather than surfacing a raw 403 error to the user. Sensitive third-party credentials — the Hedera operator key, WhatsApp access token, ZeptoMail SMTP credentials, AWS S3 keys — are loaded exclusively from environment variables via `django-environ`, with the project's `.env.example` file including an explicit warning that any key ever pasted into chat, a commit, or elsewhere should be treated as compromised and rotated immediately. On the blockchain side, only a SHA-256 hash of a record's content — never the record's raw data — is ever submitted to a public Hedera Consensus Service topic, preserving farm data privacy while still providing tamper-evidence. The credit-scoring partner API's identical-response behaviour across an invalid key, an unconsented farm, and a nonexistent farm ID (Section 5.6) is itself a security control, specifically against API-key guessing and farm-ID enumeration by an untrusted external party.</w:t>
      </w:r>
    </w:p>
    <w:p>
      <w:pPr>
        <w:pStyle w:val="Heading1"/>
        <w:keepNext/>
        <w:pageBreakBefore/>
        <w:spacing w:before="80" w:after="200"/>
      </w:pPr>
      <w:r>
        <w:rPr>
          <w:rFonts w:ascii="Times New Roman" w:hAnsi="Times New Roman" w:eastAsia="Times New Roman"/>
          <w:b/>
          <w:i w:val="0"/>
          <w:color w:val="047857"/>
          <w:sz w:val="36"/>
        </w:rPr>
        <w:t>Chapter 6: Testing and Evaluation</w:t>
      </w:r>
    </w:p>
    <w:p>
      <w:pPr>
        <w:pStyle w:val="Heading2"/>
        <w:keepNext/>
        <w:spacing w:before="320" w:after="160"/>
      </w:pPr>
      <w:r>
        <w:rPr>
          <w:rFonts w:ascii="Times New Roman" w:hAnsi="Times New Roman" w:eastAsia="Times New Roman"/>
          <w:b/>
          <w:i w:val="0"/>
          <w:color w:val="1E3A5F"/>
          <w:sz w:val="28"/>
        </w:rPr>
        <w:t>6.1 Introduction</w:t>
      </w:r>
    </w:p>
    <w:p>
      <w:pPr>
        <w:spacing w:after="200" w:line="360" w:lineRule="auto"/>
        <w:jc w:val="both"/>
      </w:pPr>
      <w:r>
        <w:rPr>
          <w:rFonts w:ascii="Times New Roman" w:hAnsi="Times New Roman" w:eastAsia="Times New Roman"/>
          <w:b w:val="0"/>
          <w:i w:val="0"/>
          <w:sz w:val="24"/>
        </w:rPr>
        <w:t>This chapter reports the results of executing FarmIQ's automated test suite in full, evaluates the specific correctness and resilience properties most relevant to the system's distinguishing claims (exact explainability, deterministic scoring, and graceful degradation under third-party failure), and reports honestly on the coverage gaps that remain. Because neither of FarmIQ's machine learning subsystems can be validated against an external, labelled ground truth (Section 3.2.4), evaluation in this study is centred on automated testing and internal consistency verification rather than a held-out accuracy benchmark or a field-based user study; Section 7.5 identifies both as necessary future work.</w:t>
      </w:r>
    </w:p>
    <w:p>
      <w:pPr>
        <w:pStyle w:val="Heading2"/>
        <w:keepNext/>
        <w:spacing w:before="320" w:after="160"/>
      </w:pPr>
      <w:r>
        <w:rPr>
          <w:rFonts w:ascii="Times New Roman" w:hAnsi="Times New Roman" w:eastAsia="Times New Roman"/>
          <w:b/>
          <w:i w:val="0"/>
          <w:color w:val="1E3A5F"/>
          <w:sz w:val="28"/>
        </w:rPr>
        <w:t>6.2 Testing Strategy</w:t>
      </w:r>
    </w:p>
    <w:p>
      <w:pPr>
        <w:spacing w:after="200" w:line="360" w:lineRule="auto"/>
        <w:jc w:val="both"/>
      </w:pPr>
      <w:r>
        <w:rPr>
          <w:rFonts w:ascii="Times New Roman" w:hAnsi="Times New Roman" w:eastAsia="Times New Roman"/>
          <w:b w:val="0"/>
          <w:i w:val="0"/>
          <w:sz w:val="24"/>
        </w:rPr>
        <w:t>FarmIQ's test suite is built on Django's own `TestCase`/`Client` framework, with each of the platform's applications maintaining its own `tests.py` exercising models, service-layer business logic, views, and permission enforcement together, rather than separating unit and integration tests into distinct suites. The suite was executed in full against an isolated, in-memory SQLite test database (`python manage.py test`, with `DATABASE_URL` overridden to force SQLite rather than the project's production Neon PostgreSQL instance, which is unreachable from an isolated test environment and is, in any case, not an appropriate target for a destructive test run).</w:t>
      </w:r>
    </w:p>
    <w:p>
      <w:pPr>
        <w:pStyle w:val="Heading2"/>
        <w:keepNext/>
        <w:spacing w:before="320" w:after="160"/>
      </w:pPr>
      <w:r>
        <w:rPr>
          <w:rFonts w:ascii="Times New Roman" w:hAnsi="Times New Roman" w:eastAsia="Times New Roman"/>
          <w:b/>
          <w:i w:val="0"/>
          <w:color w:val="1E3A5F"/>
          <w:sz w:val="28"/>
        </w:rPr>
        <w:t>6.3 Test Results Summary</w:t>
      </w:r>
    </w:p>
    <w:p>
      <w:pPr>
        <w:spacing w:after="200" w:line="360" w:lineRule="auto"/>
        <w:jc w:val="both"/>
      </w:pPr>
      <w:r>
        <w:rPr>
          <w:rFonts w:ascii="Times New Roman" w:hAnsi="Times New Roman" w:eastAsia="Times New Roman"/>
          <w:b w:val="0"/>
          <w:i w:val="0"/>
          <w:sz w:val="24"/>
        </w:rPr>
        <w:t>The full suite comprises 230 tests and completed in approximately 90.5 seconds, with 229 passing and one failure (zero errors). Table 6.1 summarises results per application.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1FAE5"/>
          </w:tcPr>
          <w:p>
            <w:r/>
            <w:r>
              <w:rPr>
                <w:rFonts w:ascii="Times New Roman" w:hAnsi="Times New Roman" w:eastAsia="Times New Roman"/>
                <w:b/>
                <w:i w:val="0"/>
                <w:sz w:val="20"/>
              </w:rPr>
              <w:t>Application</w:t>
            </w:r>
          </w:p>
        </w:tc>
        <w:tc>
          <w:tcPr>
            <w:tcW w:type="dxa" w:w="2160"/>
            <w:shd w:fill="D1FAE5"/>
          </w:tcPr>
          <w:p>
            <w:r/>
            <w:r>
              <w:rPr>
                <w:rFonts w:ascii="Times New Roman" w:hAnsi="Times New Roman" w:eastAsia="Times New Roman"/>
                <w:b/>
                <w:i w:val="0"/>
                <w:sz w:val="20"/>
              </w:rPr>
              <w:t>Tests</w:t>
            </w:r>
          </w:p>
        </w:tc>
        <w:tc>
          <w:tcPr>
            <w:tcW w:type="dxa" w:w="2160"/>
            <w:shd w:fill="D1FAE5"/>
          </w:tcPr>
          <w:p>
            <w:r/>
            <w:r>
              <w:rPr>
                <w:rFonts w:ascii="Times New Roman" w:hAnsi="Times New Roman" w:eastAsia="Times New Roman"/>
                <w:b/>
                <w:i w:val="0"/>
                <w:sz w:val="20"/>
              </w:rPr>
              <w:t>Result</w:t>
            </w:r>
          </w:p>
        </w:tc>
        <w:tc>
          <w:tcPr>
            <w:tcW w:type="dxa" w:w="2160"/>
            <w:shd w:fill="D1FAE5"/>
          </w:tcPr>
          <w:p>
            <w:r/>
            <w:r>
              <w:rPr>
                <w:rFonts w:ascii="Times New Roman" w:hAnsi="Times New Roman" w:eastAsia="Times New Roman"/>
                <w:b/>
                <w:i w:val="0"/>
                <w:sz w:val="20"/>
              </w:rPr>
              <w:t>Primary coverage focus</w:t>
            </w:r>
          </w:p>
        </w:tc>
      </w:tr>
      <w:tr>
        <w:tc>
          <w:tcPr>
            <w:tcW w:type="dxa" w:w="2160"/>
          </w:tcPr>
          <w:p>
            <w:r/>
            <w:r>
              <w:rPr>
                <w:rFonts w:ascii="Times New Roman" w:hAnsi="Times New Roman" w:eastAsia="Times New Roman"/>
                <w:b w:val="0"/>
                <w:i w:val="0"/>
                <w:sz w:val="19"/>
              </w:rPr>
              <w:t>accounts</w:t>
            </w:r>
          </w:p>
        </w:tc>
        <w:tc>
          <w:tcPr>
            <w:tcW w:type="dxa" w:w="2160"/>
          </w:tcPr>
          <w:p>
            <w:r/>
            <w:r>
              <w:rPr>
                <w:rFonts w:ascii="Times New Roman" w:hAnsi="Times New Roman" w:eastAsia="Times New Roman"/>
                <w:b w:val="0"/>
                <w:i w:val="0"/>
                <w:sz w:val="19"/>
              </w:rPr>
              <w:t>14</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OTP issuance/expiry/lockout, signup and login wizards, permission gating</w:t>
            </w:r>
          </w:p>
        </w:tc>
      </w:tr>
      <w:tr>
        <w:tc>
          <w:tcPr>
            <w:tcW w:type="dxa" w:w="2160"/>
          </w:tcPr>
          <w:p>
            <w:r/>
            <w:r>
              <w:rPr>
                <w:rFonts w:ascii="Times New Roman" w:hAnsi="Times New Roman" w:eastAsia="Times New Roman"/>
                <w:b w:val="0"/>
                <w:i w:val="0"/>
                <w:sz w:val="19"/>
              </w:rPr>
              <w:t>advisory</w:t>
            </w:r>
          </w:p>
        </w:tc>
        <w:tc>
          <w:tcPr>
            <w:tcW w:type="dxa" w:w="2160"/>
          </w:tcPr>
          <w:p>
            <w:r/>
            <w:r>
              <w:rPr>
                <w:rFonts w:ascii="Times New Roman" w:hAnsi="Times New Roman" w:eastAsia="Times New Roman"/>
                <w:b w:val="0"/>
                <w:i w:val="0"/>
                <w:sz w:val="19"/>
              </w:rPr>
              <w:t>17</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Haversine distance ranking, crop-suitability seed-data integrity, view access</w:t>
            </w:r>
          </w:p>
        </w:tc>
      </w:tr>
      <w:tr>
        <w:tc>
          <w:tcPr>
            <w:tcW w:type="dxa" w:w="2160"/>
          </w:tcPr>
          <w:p>
            <w:r/>
            <w:r>
              <w:rPr>
                <w:rFonts w:ascii="Times New Roman" w:hAnsi="Times New Roman" w:eastAsia="Times New Roman"/>
                <w:b w:val="0"/>
                <w:i w:val="0"/>
                <w:sz w:val="19"/>
              </w:rPr>
              <w:t>analysis</w:t>
            </w:r>
          </w:p>
        </w:tc>
        <w:tc>
          <w:tcPr>
            <w:tcW w:type="dxa" w:w="2160"/>
          </w:tcPr>
          <w:p>
            <w:r/>
            <w:r>
              <w:rPr>
                <w:rFonts w:ascii="Times New Roman" w:hAnsi="Times New Roman" w:eastAsia="Times New Roman"/>
                <w:b w:val="0"/>
                <w:i w:val="0"/>
                <w:sz w:val="19"/>
              </w:rPr>
              <w:t>3</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Milk-yield prediction (lightest coverage relative to subsystem complexity)</w:t>
            </w:r>
          </w:p>
        </w:tc>
      </w:tr>
      <w:tr>
        <w:tc>
          <w:tcPr>
            <w:tcW w:type="dxa" w:w="2160"/>
          </w:tcPr>
          <w:p>
            <w:r/>
            <w:r>
              <w:rPr>
                <w:rFonts w:ascii="Times New Roman" w:hAnsi="Times New Roman" w:eastAsia="Times New Roman"/>
                <w:b w:val="0"/>
                <w:i w:val="0"/>
                <w:sz w:val="19"/>
              </w:rPr>
              <w:t>core</w:t>
            </w:r>
          </w:p>
        </w:tc>
        <w:tc>
          <w:tcPr>
            <w:tcW w:type="dxa" w:w="2160"/>
          </w:tcPr>
          <w:p>
            <w:r/>
            <w:r>
              <w:rPr>
                <w:rFonts w:ascii="Times New Roman" w:hAnsi="Times New Roman" w:eastAsia="Times New Roman"/>
                <w:b w:val="0"/>
                <w:i w:val="0"/>
                <w:sz w:val="19"/>
              </w:rPr>
              <w:t>9</w:t>
            </w:r>
          </w:p>
        </w:tc>
        <w:tc>
          <w:tcPr>
            <w:tcW w:type="dxa" w:w="2160"/>
          </w:tcPr>
          <w:p>
            <w:r/>
            <w:r>
              <w:rPr>
                <w:rFonts w:ascii="Times New Roman" w:hAnsi="Times New Roman" w:eastAsia="Times New Roman"/>
                <w:b w:val="0"/>
                <w:i w:val="0"/>
                <w:sz w:val="19"/>
              </w:rPr>
              <w:t>1 failing</w:t>
            </w:r>
          </w:p>
        </w:tc>
        <w:tc>
          <w:tcPr>
            <w:tcW w:type="dxa" w:w="2160"/>
          </w:tcPr>
          <w:p>
            <w:r/>
            <w:r>
              <w:rPr>
                <w:rFonts w:ascii="Times New Roman" w:hAnsi="Times New Roman" w:eastAsia="Times New Roman"/>
                <w:b w:val="0"/>
                <w:i w:val="0"/>
                <w:sz w:val="19"/>
              </w:rPr>
              <w:t>Landing page, public demo-mode account seeding and access restriction</w:t>
            </w:r>
          </w:p>
        </w:tc>
      </w:tr>
      <w:tr>
        <w:tc>
          <w:tcPr>
            <w:tcW w:type="dxa" w:w="2160"/>
          </w:tcPr>
          <w:p>
            <w:r/>
            <w:r>
              <w:rPr>
                <w:rFonts w:ascii="Times New Roman" w:hAnsi="Times New Roman" w:eastAsia="Times New Roman"/>
                <w:b w:val="0"/>
                <w:i w:val="0"/>
                <w:sz w:val="19"/>
              </w:rPr>
              <w:t>cows</w:t>
            </w:r>
          </w:p>
        </w:tc>
        <w:tc>
          <w:tcPr>
            <w:tcW w:type="dxa" w:w="2160"/>
          </w:tcPr>
          <w:p>
            <w:r/>
            <w:r>
              <w:rPr>
                <w:rFonts w:ascii="Times New Roman" w:hAnsi="Times New Roman" w:eastAsia="Times New Roman"/>
                <w:b w:val="0"/>
                <w:i w:val="0"/>
                <w:sz w:val="19"/>
              </w:rPr>
              <w:t>26</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Herd registry CRUD, records, computed reproduction/calving properties, permissions</w:t>
            </w:r>
          </w:p>
        </w:tc>
      </w:tr>
      <w:tr>
        <w:tc>
          <w:tcPr>
            <w:tcW w:type="dxa" w:w="2160"/>
          </w:tcPr>
          <w:p>
            <w:r/>
            <w:r>
              <w:rPr>
                <w:rFonts w:ascii="Times New Roman" w:hAnsi="Times New Roman" w:eastAsia="Times New Roman"/>
                <w:b w:val="0"/>
                <w:i w:val="0"/>
                <w:sz w:val="19"/>
              </w:rPr>
              <w:t>creditscore</w:t>
            </w:r>
          </w:p>
        </w:tc>
        <w:tc>
          <w:tcPr>
            <w:tcW w:type="dxa" w:w="2160"/>
          </w:tcPr>
          <w:p>
            <w:r/>
            <w:r>
              <w:rPr>
                <w:rFonts w:ascii="Times New Roman" w:hAnsi="Times New Roman" w:eastAsia="Times New Roman"/>
                <w:b w:val="0"/>
                <w:i w:val="0"/>
                <w:sz w:val="19"/>
              </w:rPr>
              <w:t>29</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Feature computation, imputation, provisional fallback, determinism, tier-monotonicity, independent explainability re-implementation, Hedera resilience, partner-API consent/enumeration-resistance</w:t>
            </w:r>
          </w:p>
        </w:tc>
      </w:tr>
      <w:tr>
        <w:tc>
          <w:tcPr>
            <w:tcW w:type="dxa" w:w="2160"/>
          </w:tcPr>
          <w:p>
            <w:r/>
            <w:r>
              <w:rPr>
                <w:rFonts w:ascii="Times New Roman" w:hAnsi="Times New Roman" w:eastAsia="Times New Roman"/>
                <w:b w:val="0"/>
                <w:i w:val="0"/>
                <w:sz w:val="19"/>
              </w:rPr>
              <w:t>crops</w:t>
            </w:r>
          </w:p>
        </w:tc>
        <w:tc>
          <w:tcPr>
            <w:tcW w:type="dxa" w:w="2160"/>
          </w:tcPr>
          <w:p>
            <w:r/>
            <w:r>
              <w:rPr>
                <w:rFonts w:ascii="Times New Roman" w:hAnsi="Times New Roman" w:eastAsia="Times New Roman"/>
                <w:b w:val="0"/>
                <w:i w:val="0"/>
                <w:sz w:val="19"/>
              </w:rPr>
              <w:t>14</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Crop lifecycle, activities, GeoMap field-boundary integration</w:t>
            </w:r>
          </w:p>
        </w:tc>
      </w:tr>
      <w:tr>
        <w:tc>
          <w:tcPr>
            <w:tcW w:type="dxa" w:w="2160"/>
          </w:tcPr>
          <w:p>
            <w:r/>
            <w:r>
              <w:rPr>
                <w:rFonts w:ascii="Times New Roman" w:hAnsi="Times New Roman" w:eastAsia="Times New Roman"/>
                <w:b w:val="0"/>
                <w:i w:val="0"/>
                <w:sz w:val="19"/>
              </w:rPr>
              <w:t>farms</w:t>
            </w:r>
          </w:p>
        </w:tc>
        <w:tc>
          <w:tcPr>
            <w:tcW w:type="dxa" w:w="2160"/>
          </w:tcPr>
          <w:p>
            <w:r/>
            <w:r>
              <w:rPr>
                <w:rFonts w:ascii="Times New Roman" w:hAnsi="Times New Roman" w:eastAsia="Times New Roman"/>
                <w:b w:val="0"/>
                <w:i w:val="0"/>
                <w:sz w:val="19"/>
              </w:rPr>
              <w:t>4</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Multi-tenancy and role-permission framework</w:t>
            </w:r>
          </w:p>
        </w:tc>
      </w:tr>
      <w:tr>
        <w:tc>
          <w:tcPr>
            <w:tcW w:type="dxa" w:w="2160"/>
          </w:tcPr>
          <w:p>
            <w:r/>
            <w:r>
              <w:rPr>
                <w:rFonts w:ascii="Times New Roman" w:hAnsi="Times New Roman" w:eastAsia="Times New Roman"/>
                <w:b w:val="0"/>
                <w:i w:val="0"/>
                <w:sz w:val="19"/>
              </w:rPr>
              <w:t>finance</w:t>
            </w:r>
          </w:p>
        </w:tc>
        <w:tc>
          <w:tcPr>
            <w:tcW w:type="dxa" w:w="2160"/>
          </w:tcPr>
          <w:p>
            <w:r/>
            <w:r>
              <w:rPr>
                <w:rFonts w:ascii="Times New Roman" w:hAnsi="Times New Roman" w:eastAsia="Times New Roman"/>
                <w:b w:val="0"/>
                <w:i w:val="0"/>
                <w:sz w:val="19"/>
              </w:rPr>
              <w:t>10</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Transaction ledger, category taxonomy</w:t>
            </w:r>
          </w:p>
        </w:tc>
      </w:tr>
      <w:tr>
        <w:tc>
          <w:tcPr>
            <w:tcW w:type="dxa" w:w="2160"/>
          </w:tcPr>
          <w:p>
            <w:r/>
            <w:r>
              <w:rPr>
                <w:rFonts w:ascii="Times New Roman" w:hAnsi="Times New Roman" w:eastAsia="Times New Roman"/>
                <w:b w:val="0"/>
                <w:i w:val="0"/>
                <w:sz w:val="19"/>
              </w:rPr>
              <w:t>geomap</w:t>
            </w:r>
          </w:p>
        </w:tc>
        <w:tc>
          <w:tcPr>
            <w:tcW w:type="dxa" w:w="2160"/>
          </w:tcPr>
          <w:p>
            <w:r/>
            <w:r>
              <w:rPr>
                <w:rFonts w:ascii="Times New Roman" w:hAnsi="Times New Roman" w:eastAsia="Times New Roman"/>
                <w:b w:val="0"/>
                <w:i w:val="0"/>
                <w:sz w:val="19"/>
              </w:rPr>
              <w:t>8</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Geodesic area/perimeter calculation, parcel CRUD and permissions</w:t>
            </w:r>
          </w:p>
        </w:tc>
      </w:tr>
      <w:tr>
        <w:tc>
          <w:tcPr>
            <w:tcW w:type="dxa" w:w="2160"/>
          </w:tcPr>
          <w:p>
            <w:r/>
            <w:r>
              <w:rPr>
                <w:rFonts w:ascii="Times New Roman" w:hAnsi="Times New Roman" w:eastAsia="Times New Roman"/>
                <w:b w:val="0"/>
                <w:i w:val="0"/>
                <w:sz w:val="19"/>
              </w:rPr>
              <w:t>insights</w:t>
            </w:r>
          </w:p>
        </w:tc>
        <w:tc>
          <w:tcPr>
            <w:tcW w:type="dxa" w:w="2160"/>
          </w:tcPr>
          <w:p>
            <w:r/>
            <w:r>
              <w:rPr>
                <w:rFonts w:ascii="Times New Roman" w:hAnsi="Times New Roman" w:eastAsia="Times New Roman"/>
                <w:b w:val="0"/>
                <w:i w:val="0"/>
                <w:sz w:val="19"/>
              </w:rPr>
              <w:t>17</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All six rule-based insight detectors' threshold behaviour</w:t>
            </w:r>
          </w:p>
        </w:tc>
      </w:tr>
      <w:tr>
        <w:tc>
          <w:tcPr>
            <w:tcW w:type="dxa" w:w="2160"/>
          </w:tcPr>
          <w:p>
            <w:r/>
            <w:r>
              <w:rPr>
                <w:rFonts w:ascii="Times New Roman" w:hAnsi="Times New Roman" w:eastAsia="Times New Roman"/>
                <w:b w:val="0"/>
                <w:i w:val="0"/>
                <w:sz w:val="19"/>
              </w:rPr>
              <w:t>inventory</w:t>
            </w:r>
          </w:p>
        </w:tc>
        <w:tc>
          <w:tcPr>
            <w:tcW w:type="dxa" w:w="2160"/>
          </w:tcPr>
          <w:p>
            <w:r/>
            <w:r>
              <w:rPr>
                <w:rFonts w:ascii="Times New Roman" w:hAnsi="Times New Roman" w:eastAsia="Times New Roman"/>
                <w:b w:val="0"/>
                <w:i w:val="0"/>
                <w:sz w:val="19"/>
              </w:rPr>
              <w:t>9</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Concurrency-safe stock movement application and reversal</w:t>
            </w:r>
          </w:p>
        </w:tc>
      </w:tr>
      <w:tr>
        <w:tc>
          <w:tcPr>
            <w:tcW w:type="dxa" w:w="2160"/>
          </w:tcPr>
          <w:p>
            <w:r/>
            <w:r>
              <w:rPr>
                <w:rFonts w:ascii="Times New Roman" w:hAnsi="Times New Roman" w:eastAsia="Times New Roman"/>
                <w:b w:val="0"/>
                <w:i w:val="0"/>
                <w:sz w:val="19"/>
              </w:rPr>
              <w:t>notifications</w:t>
            </w:r>
          </w:p>
        </w:tc>
        <w:tc>
          <w:tcPr>
            <w:tcW w:type="dxa" w:w="2160"/>
          </w:tcPr>
          <w:p>
            <w:r/>
            <w:r>
              <w:rPr>
                <w:rFonts w:ascii="Times New Roman" w:hAnsi="Times New Roman" w:eastAsia="Times New Roman"/>
                <w:b w:val="0"/>
                <w:i w:val="0"/>
                <w:sz w:val="19"/>
              </w:rPr>
              <w:t>16</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Multi-channel dispatch logic, WhatsApp payload/auth, push subscription handling, resilience</w:t>
            </w:r>
          </w:p>
        </w:tc>
      </w:tr>
      <w:tr>
        <w:tc>
          <w:tcPr>
            <w:tcW w:type="dxa" w:w="2160"/>
          </w:tcPr>
          <w:p>
            <w:r/>
            <w:r>
              <w:rPr>
                <w:rFonts w:ascii="Times New Roman" w:hAnsi="Times New Roman" w:eastAsia="Times New Roman"/>
                <w:b w:val="0"/>
                <w:i w:val="0"/>
                <w:sz w:val="19"/>
              </w:rPr>
              <w:t>tasks</w:t>
            </w:r>
          </w:p>
        </w:tc>
        <w:tc>
          <w:tcPr>
            <w:tcW w:type="dxa" w:w="2160"/>
          </w:tcPr>
          <w:p>
            <w:r/>
            <w:r>
              <w:rPr>
                <w:rFonts w:ascii="Times New Roman" w:hAnsi="Times New Roman" w:eastAsia="Times New Roman"/>
                <w:b w:val="0"/>
                <w:i w:val="0"/>
                <w:sz w:val="19"/>
              </w:rPr>
              <w:t>8</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Recurrence, assignment, permissions</w:t>
            </w:r>
          </w:p>
        </w:tc>
      </w:tr>
      <w:tr>
        <w:tc>
          <w:tcPr>
            <w:tcW w:type="dxa" w:w="2160"/>
          </w:tcPr>
          <w:p>
            <w:r/>
            <w:r>
              <w:rPr>
                <w:rFonts w:ascii="Times New Roman" w:hAnsi="Times New Roman" w:eastAsia="Times New Roman"/>
                <w:b w:val="0"/>
                <w:i w:val="0"/>
                <w:sz w:val="19"/>
              </w:rPr>
              <w:t>weather</w:t>
            </w:r>
          </w:p>
        </w:tc>
        <w:tc>
          <w:tcPr>
            <w:tcW w:type="dxa" w:w="2160"/>
          </w:tcPr>
          <w:p>
            <w:r/>
            <w:r>
              <w:rPr>
                <w:rFonts w:ascii="Times New Roman" w:hAnsi="Times New Roman" w:eastAsia="Times New Roman"/>
                <w:b w:val="0"/>
                <w:i w:val="0"/>
                <w:sz w:val="19"/>
              </w:rPr>
              <w:t>14</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Advisory rule logic, geocoding resilience, forecast retrieval</w:t>
            </w:r>
          </w:p>
        </w:tc>
      </w:tr>
      <w:tr>
        <w:tc>
          <w:tcPr>
            <w:tcW w:type="dxa" w:w="2160"/>
          </w:tcPr>
          <w:p>
            <w:r/>
            <w:r>
              <w:rPr>
                <w:rFonts w:ascii="Times New Roman" w:hAnsi="Times New Roman" w:eastAsia="Times New Roman"/>
                <w:b w:val="0"/>
                <w:i w:val="0"/>
                <w:sz w:val="19"/>
              </w:rPr>
              <w:t>website</w:t>
            </w:r>
          </w:p>
        </w:tc>
        <w:tc>
          <w:tcPr>
            <w:tcW w:type="dxa" w:w="2160"/>
          </w:tcPr>
          <w:p>
            <w:r/>
            <w:r>
              <w:rPr>
                <w:rFonts w:ascii="Times New Roman" w:hAnsi="Times New Roman" w:eastAsia="Times New Roman"/>
                <w:b w:val="0"/>
                <w:i w:val="0"/>
                <w:sz w:val="19"/>
              </w:rPr>
              <w:t>31</w:t>
            </w:r>
          </w:p>
        </w:tc>
        <w:tc>
          <w:tcPr>
            <w:tcW w:type="dxa" w:w="2160"/>
          </w:tcPr>
          <w:p>
            <w:r/>
            <w:r>
              <w:rPr>
                <w:rFonts w:ascii="Times New Roman" w:hAnsi="Times New Roman" w:eastAsia="Times New Roman"/>
                <w:b w:val="0"/>
                <w:i w:val="0"/>
                <w:sz w:val="19"/>
              </w:rPr>
              <w:t>All passing</w:t>
            </w:r>
          </w:p>
        </w:tc>
        <w:tc>
          <w:tcPr>
            <w:tcW w:type="dxa" w:w="2160"/>
          </w:tcPr>
          <w:p>
            <w:r/>
            <w:r>
              <w:rPr>
                <w:rFonts w:ascii="Times New Roman" w:hAnsi="Times New Roman" w:eastAsia="Times New Roman"/>
                <w:b w:val="0"/>
                <w:i w:val="0"/>
                <w:sz w:val="19"/>
              </w:rPr>
              <w:t>Slug generation/collision/reservation, publish-gating, CMS and order-flow permissions</w:t>
            </w:r>
          </w:p>
        </w:tc>
      </w:tr>
      <w:tr>
        <w:tc>
          <w:tcPr>
            <w:tcW w:type="dxa" w:w="2160"/>
          </w:tcPr>
          <w:p>
            <w:r/>
            <w:r>
              <w:rPr>
                <w:rFonts w:ascii="Times New Roman" w:hAnsi="Times New Roman" w:eastAsia="Times New Roman"/>
                <w:b w:val="0"/>
                <w:i w:val="0"/>
                <w:sz w:val="19"/>
              </w:rPr>
              <w:t>blockchain</w:t>
            </w:r>
          </w:p>
        </w:tc>
        <w:tc>
          <w:tcPr>
            <w:tcW w:type="dxa" w:w="2160"/>
          </w:tcPr>
          <w:p>
            <w:r/>
            <w:r>
              <w:rPr>
                <w:rFonts w:ascii="Times New Roman" w:hAnsi="Times New Roman" w:eastAsia="Times New Roman"/>
                <w:b w:val="0"/>
                <w:i w:val="0"/>
                <w:sz w:val="19"/>
              </w:rPr>
              <w:t>0</w:t>
            </w:r>
          </w:p>
        </w:tc>
        <w:tc>
          <w:tcPr>
            <w:tcW w:type="dxa" w:w="2160"/>
          </w:tcPr>
          <w:p>
            <w:r/>
            <w:r>
              <w:rPr>
                <w:rFonts w:ascii="Times New Roman" w:hAnsi="Times New Roman" w:eastAsia="Times New Roman"/>
                <w:b w:val="0"/>
                <w:i w:val="0"/>
                <w:sz w:val="19"/>
              </w:rPr>
              <w:t>No test file</w:t>
            </w:r>
          </w:p>
        </w:tc>
        <w:tc>
          <w:tcPr>
            <w:tcW w:type="dxa" w:w="2160"/>
          </w:tcPr>
          <w:p>
            <w:r/>
            <w:r>
              <w:rPr>
                <w:rFonts w:ascii="Times New Roman" w:hAnsi="Times New Roman" w:eastAsia="Times New Roman"/>
                <w:b w:val="0"/>
                <w:i w:val="0"/>
                <w:sz w:val="19"/>
              </w:rPr>
              <w:t>—</w:t>
            </w:r>
          </w:p>
        </w:tc>
      </w:tr>
    </w:tbl>
    <w:p>
      <w:pPr>
        <w:spacing w:after="40"/>
      </w:pPr>
    </w:p>
    <w:p>
      <w:pPr>
        <w:spacing w:before="80" w:after="280"/>
        <w:jc w:val="center"/>
      </w:pPr>
      <w:r>
        <w:rPr>
          <w:rFonts w:ascii="Times New Roman" w:hAnsi="Times New Roman" w:eastAsia="Times New Roman"/>
          <w:b/>
          <w:i/>
          <w:sz w:val="21"/>
        </w:rPr>
        <w:t>Table 6.1: Automated test results by application (230 tests total, 229 passing, 1 failing, 0 errors)</w:t>
      </w:r>
    </w:p>
    <w:p>
      <w:pPr>
        <w:pStyle w:val="Heading2"/>
        <w:keepNext/>
        <w:spacing w:before="320" w:after="160"/>
      </w:pPr>
      <w:r>
        <w:rPr>
          <w:rFonts w:ascii="Times New Roman" w:hAnsi="Times New Roman" w:eastAsia="Times New Roman"/>
          <w:b/>
          <w:i w:val="0"/>
          <w:color w:val="1E3A5F"/>
          <w:sz w:val="28"/>
        </w:rPr>
        <w:t>6.4 Explainability and Determinism Verification</w:t>
      </w:r>
    </w:p>
    <w:p>
      <w:pPr>
        <w:spacing w:after="200" w:line="360" w:lineRule="auto"/>
        <w:jc w:val="both"/>
      </w:pPr>
      <w:r>
        <w:rPr>
          <w:rFonts w:ascii="Times New Roman" w:hAnsi="Times New Roman" w:eastAsia="Times New Roman"/>
          <w:b w:val="0"/>
          <w:i w:val="0"/>
          <w:sz w:val="24"/>
        </w:rPr>
        <w:t>Two properties central to FarmIQ's distinguishing claims — that its explanations are exact, and that its scoring is deterministic — were specifically verified rather than assumed. The credit-scoring test suite includes `ExplainabilityTests.test_population_contributions_sum_exactly_to_pc1`, which independently re-implements the PCA contribution calculation from first principles, separately from the production `creditscore.explain` module, and asserts that the two implementations agree exactly — a materially stronger check than a unit test that merely calls the production function and trusts its own arithmetic. The suite additionally verifies tier-monotonicity (farms with better simulated operational quality land in better tiers on average across repeated simulated populations), determinism (recomputing an unchanged population produces identical scores and tiers, confirming the fixed `random_state` used for both `PCA` and `KMeans` behaves as intended), and correct handling of a crop-only farm whose missing production features are imputed from the population median rather than defaulted to zero or causing a crash.</w:t>
      </w:r>
    </w:p>
    <w:p>
      <w:pPr>
        <w:pStyle w:val="Heading2"/>
        <w:keepNext/>
        <w:spacing w:before="320" w:after="160"/>
      </w:pPr>
      <w:r>
        <w:rPr>
          <w:rFonts w:ascii="Times New Roman" w:hAnsi="Times New Roman" w:eastAsia="Times New Roman"/>
          <w:b/>
          <w:i w:val="0"/>
          <w:color w:val="1E3A5F"/>
          <w:sz w:val="28"/>
        </w:rPr>
        <w:t>6.5 Resilience and Graceful-Degradation Testing</w:t>
      </w:r>
    </w:p>
    <w:p>
      <w:pPr>
        <w:spacing w:after="200" w:line="360" w:lineRule="auto"/>
        <w:jc w:val="both"/>
      </w:pPr>
      <w:r>
        <w:rPr>
          <w:rFonts w:ascii="Times New Roman" w:hAnsi="Times New Roman" w:eastAsia="Times New Roman"/>
          <w:b w:val="0"/>
          <w:i w:val="0"/>
          <w:sz w:val="24"/>
        </w:rPr>
        <w:t>The test run surfaced direct, observable evidence of the best-effort, non-blocking integration pattern described in Section 4.4.6 and Section 5.7–5.8: several tests deliberately exercise a third-party service failure and assert the surrounding operation still succeeds. `notifications.tests.SendWhatsappMessageTests.test_request_failure_is_swallowed` mocks a `RequestException` from the WhatsApp send call and confirms it is logged and swallowed rather than propagated. `weather.tests.GeocodeFarmLocationTests.test_geocode_failure_is_swallowed` confirms the same for a failed geocoding request, and `weather.tests.RefreshViewTests.test_refresh_without_coordinates_shows_error_not_crash` confirms the corresponding view degrades to a user-facing message rather than an unhandled exception. Independently of these dedicated tests, the wider suite run against an unconfigured Hedera client produced repeated `"Failed to anchor hash on credit_score_topic_id"` log warnings during ordinary demo-farm seeding and credit-score tests — an unprompted, incidental demonstration, across many unrelated tests, that the platform's core record-keeping and scoring functionality proceeds normally even when every Hedera anchoring attempt in the run fails, consistent with the resilience property claimed in Section 4.4.6 and Section 5.7.</w:t>
      </w:r>
    </w:p>
    <w:p>
      <w:pPr>
        <w:pStyle w:val="Heading2"/>
        <w:keepNext/>
        <w:spacing w:before="320" w:after="160"/>
      </w:pPr>
      <w:r>
        <w:rPr>
          <w:rFonts w:ascii="Times New Roman" w:hAnsi="Times New Roman" w:eastAsia="Times New Roman"/>
          <w:b/>
          <w:i w:val="0"/>
          <w:color w:val="1E3A5F"/>
          <w:sz w:val="28"/>
        </w:rPr>
        <w:t>6.6 The One Observed Failure and Coverage Gaps</w:t>
      </w:r>
    </w:p>
    <w:p>
      <w:pPr>
        <w:spacing w:after="200" w:line="360" w:lineRule="auto"/>
        <w:jc w:val="both"/>
      </w:pPr>
      <w:r>
        <w:rPr>
          <w:rFonts w:ascii="Times New Roman" w:hAnsi="Times New Roman" w:eastAsia="Times New Roman"/>
          <w:b w:val="0"/>
          <w:i w:val="0"/>
          <w:sz w:val="24"/>
        </w:rPr>
        <w:t>The single failing test, `core.tests.DemoModeMiddlewareTests.test_login_form_submission_is_not_blocked_by_demo_mode`, asserted an HTTP 200 response from a login-form submission under the platform's public demo-mode middleware and instead received a 302 redirect. Given this codebase's own documented convention that a successful create or edit action responds with a redirect while a rejected form re-renders with a 200 status (Section 5.9), this specific failure is most plausibly a mismatch between the test's expectation and the login flow's redirect-on-success behaviour under the demo-mode middleware's session-handling, rather than evidence of a functional defect affecting a real user; it is reported here as an open item rather than root-caused further, since doing so was outside this evaluation's scope.</w:t>
      </w:r>
    </w:p>
    <w:p>
      <w:pPr>
        <w:spacing w:after="200" w:line="360" w:lineRule="auto"/>
        <w:jc w:val="both"/>
      </w:pPr>
      <w:r>
        <w:rPr>
          <w:rFonts w:ascii="Times New Roman" w:hAnsi="Times New Roman" w:eastAsia="Times New Roman"/>
          <w:b w:val="0"/>
          <w:i w:val="0"/>
          <w:sz w:val="24"/>
        </w:rPr>
        <w:t>Test coverage across the codebase is genuinely uneven, and this study reports that honestly rather than overstating uniform reliability. `creditscore` (29 tests) and `website` (31 tests) carry the deepest coverage of any single application — appropriate, in the credit-scoring engine's case, given its centrality to this study's core contribution. By contrast, `analysis` — the milk-yield prediction engine, the other of FarmIQ's two machine learning subsystems — has only 3 tests, materially thinner than its algorithmic complexity would justify, and `blockchain`, despite implementing every Hedera mint and anchor operation in the platform, has no dedicated test file at all; its behaviour is currently exercised only indirectly, through the resilience assertions in `creditscore`, `analysis`, and `finance` that mock or tolerate its failure. Closing both gaps — particularly `blockchain`, given its direct role in the credit-scoring engine's tamper-evidence guarantee — is identified as a priority in Section 7.5's recommendations for future work, ahead of any production use of the credit-scoring API by a real external data partner.</w:t>
      </w:r>
    </w:p>
    <w:p>
      <w:pPr>
        <w:pStyle w:val="Heading2"/>
        <w:keepNext/>
        <w:spacing w:before="320" w:after="160"/>
      </w:pPr>
      <w:r>
        <w:rPr>
          <w:rFonts w:ascii="Times New Roman" w:hAnsi="Times New Roman" w:eastAsia="Times New Roman"/>
          <w:b/>
          <w:i w:val="0"/>
          <w:color w:val="1E3A5F"/>
          <w:sz w:val="28"/>
        </w:rPr>
        <w:t>6.7 Evaluation Scope and What Was Not Assessed</w:t>
      </w:r>
    </w:p>
    <w:p>
      <w:pPr>
        <w:spacing w:after="200" w:line="360" w:lineRule="auto"/>
        <w:jc w:val="both"/>
      </w:pPr>
      <w:r>
        <w:rPr>
          <w:rFonts w:ascii="Times New Roman" w:hAnsi="Times New Roman" w:eastAsia="Times New Roman"/>
          <w:b w:val="0"/>
          <w:i w:val="0"/>
          <w:sz w:val="24"/>
        </w:rPr>
        <w:t>Consistent with the limitations stated in Section 1.7.2, this evaluation did not include a held-out accuracy benchmark for the milk-yield predictor (no independently-labelled test set exists beyond a farm's own subsequent records), a validation of the credit-scoring engine's tiers against real loan-repayment outcomes (none exist, by the platform's own design premise), or formal field-based user acceptance testing across farms beyond the Miginon Farm pilot. These remain necessary next steps, discussed in Section 7.5, and are distinct from the correctness, determinism, and resilience properties this chapter did verify.</w:t>
      </w:r>
    </w:p>
    <w:p>
      <w:pPr>
        <w:pStyle w:val="Heading1"/>
        <w:keepNext/>
        <w:pageBreakBefore/>
        <w:spacing w:before="80" w:after="200"/>
      </w:pPr>
      <w:r>
        <w:rPr>
          <w:rFonts w:ascii="Times New Roman" w:hAnsi="Times New Roman" w:eastAsia="Times New Roman"/>
          <w:b/>
          <w:i w:val="0"/>
          <w:color w:val="047857"/>
          <w:sz w:val="36"/>
        </w:rPr>
        <w:t>Chapter 7: Conclusion and Recommendations</w:t>
      </w:r>
    </w:p>
    <w:p>
      <w:pPr>
        <w:pStyle w:val="Heading2"/>
        <w:keepNext/>
        <w:spacing w:before="320" w:after="160"/>
      </w:pPr>
      <w:r>
        <w:rPr>
          <w:rFonts w:ascii="Times New Roman" w:hAnsi="Times New Roman" w:eastAsia="Times New Roman"/>
          <w:b/>
          <w:i w:val="0"/>
          <w:color w:val="1E3A5F"/>
          <w:sz w:val="28"/>
        </w:rPr>
        <w:t>7.1 Summary of the Study</w:t>
      </w:r>
    </w:p>
    <w:p>
      <w:pPr>
        <w:spacing w:after="200" w:line="360" w:lineRule="auto"/>
        <w:jc w:val="both"/>
      </w:pPr>
      <w:r>
        <w:rPr>
          <w:rFonts w:ascii="Times New Roman" w:hAnsi="Times New Roman" w:eastAsia="Times New Roman"/>
          <w:b w:val="0"/>
          <w:i w:val="0"/>
          <w:sz w:val="24"/>
        </w:rPr>
        <w:t>This study set out to design, develop, and evaluate FarmIQ, a Progressive Web Application integrating machine learning-based production forecasting, blockchain-anchored data integrity and tokenised incentives, and an unsupervised, explainable alternative credit-scoring engine, for smallholder farmers who are routinely excluded from formal credit not because their farms are unviable, but because no verifiable digital record of their operation exists for a lender to assess. Chapter 1 established this problem and derived seven specific objectives from it. Chapter 2 reviewed the literature underlying each of FarmIQ's technical components — alternative credit scoring, unsupervised machine learning, explainable AI, production forecasting, blockchain traceability, tokenised incentives, and low-connectivity digital accessibility — and identified an integration gap: while each technique is individually validated, no documented system combines a genuinely label-free, population-relative credit score with exact closed-form explainability, blockchain-anchored trust, and low-connectivity delivery around a single smallholder farm's own routine records. Chapter 3 described the iterative, feature-driven methodology by which FarmIQ's seventeen applications were developed, evidenced directly by its own migration history. Chapter 4 presented the system's functional and non-functional requirements and its architectural design. Chapter 5 described the resulting implementation in detail, and Chapter 6 evaluated it through the project's automated test suite and a set of documented resilience and correctness properties.</w:t>
      </w:r>
    </w:p>
    <w:p>
      <w:pPr>
        <w:pStyle w:val="Heading2"/>
        <w:keepNext/>
        <w:spacing w:before="320" w:after="160"/>
      </w:pPr>
      <w:r>
        <w:rPr>
          <w:rFonts w:ascii="Times New Roman" w:hAnsi="Times New Roman" w:eastAsia="Times New Roman"/>
          <w:b/>
          <w:i w:val="0"/>
          <w:color w:val="1E3A5F"/>
          <w:sz w:val="28"/>
        </w:rPr>
        <w:t>7.2 Achievement of Objectives</w:t>
      </w:r>
    </w:p>
    <w:p>
      <w:pPr>
        <w:spacing w:after="200" w:line="360" w:lineRule="auto"/>
        <w:jc w:val="both"/>
      </w:pPr>
      <w:r>
        <w:rPr>
          <w:rFonts w:ascii="Times New Roman" w:hAnsi="Times New Roman" w:eastAsia="Times New Roman"/>
          <w:b w:val="0"/>
          <w:i w:val="0"/>
          <w:sz w:val="24"/>
        </w:rPr>
        <w:t>Objective i (analysing smallholder record-keeping, forecasting, and credit-access challenges) was addressed through the background and problem analysis in Chapter 1, grounded in Kenya-specific empirical literature on credit-access determinants and FMIS adoption gaps. Objective ii (examining existing systems and scoring approaches) was addressed through the literature review and comparative analysis in Chapter 2, which situated FarmIQ against agri-fintech lenders (Apollo Agriculture, Pula, Tulaa-type platforms), generic commercial FMIS, and blockchain agri-traceability systems. Objective iii (a machine learning model for milk-yield prediction with interpretable explanations) was achieved through the ridge-regression pipeline described in Section 5.5, whose per-feature contributions are computed exactly rather than approximated. Objective iv (an unsupervised, explainable alternative credit-scoring engine requiring no historical loan data) was achieved through the PCA/K-means engine described in Section 5.6, whose independence from any repayment-outcome label was a design requirement from the outset rather than an incidental property, and whose explanations were independently verified to sum exactly to the underlying composite score (Section 6.4). Objective v (blockchain-anchored trust and tokenised incentives) was achieved through the Hedera integration described in Section 5.7, including NFT-based herd and harvest registration, the FIQ reward token, and hash-anchoring of predictions, transactions, and credit scores. Objective vi (an offline-capable, low-connectivity-appropriate PWA with WhatsApp delivery) was achieved through the service-worker and offline-queue implementation described in Section 5.9 and the WhatsApp Cloud API integration described in Section 5.8. Objective vii (evaluating functional correctness, explainability, and resilience) was addressed in Chapter 6.</w:t>
      </w:r>
    </w:p>
    <w:p>
      <w:pPr>
        <w:pStyle w:val="Heading2"/>
        <w:keepNext/>
        <w:spacing w:before="320" w:after="160"/>
      </w:pPr>
      <w:r>
        <w:rPr>
          <w:rFonts w:ascii="Times New Roman" w:hAnsi="Times New Roman" w:eastAsia="Times New Roman"/>
          <w:b/>
          <w:i w:val="0"/>
          <w:color w:val="1E3A5F"/>
          <w:sz w:val="28"/>
        </w:rPr>
        <w:t>7.3 Contributions</w:t>
      </w:r>
    </w:p>
    <w:p>
      <w:pPr>
        <w:spacing w:after="200" w:line="360" w:lineRule="auto"/>
        <w:jc w:val="both"/>
      </w:pPr>
      <w:r>
        <w:rPr>
          <w:rFonts w:ascii="Times New Roman" w:hAnsi="Times New Roman" w:eastAsia="Times New Roman"/>
          <w:b w:val="0"/>
          <w:i w:val="0"/>
          <w:sz w:val="24"/>
        </w:rPr>
        <w:t>This study's primary technical contribution is the demonstration that a genuinely unsupervised, population-relative credit-scoring method — standardisation, PCA-based composite scoring with sign correction, percentile ranking, and K-means-derived tiers, with a deterministic fallback below a minimum viable population — can produce a usable, exactly-explainable creditworthiness signal for a platform with no historical lending outcomes to train against, addressing a specific gap identified in the credit-scoring literature reviewed in Chapter 2, where even approaches described as "unsupervised" typically still depend on labelled default data for a supervised component. A second contribution is the practical demonstration that closed-form linear explainability (for both the credit score and the yield predictor) can substitute for library-dependent approximate explanation techniques such as SHAP or LIME under genuine infrastructure constraints (a serverless deployment's function-size limits), without sacrificing explanation fidelity — indeed, with the specific advantage that the explanation is provably exact rather than approximated. A third contribution is an integrated architectural pattern — the hash-diff-gated Hedera anchoring convention applied uniformly across predictions, finance transactions, and credit scores — that keeps blockchain interaction cost-proportionate to genuine content change rather than to page-view volume, while remaining entirely best-effort and non-blocking with respect to the platform's core farm-management functionality.</w:t>
      </w:r>
    </w:p>
    <w:p>
      <w:pPr>
        <w:pStyle w:val="Heading2"/>
        <w:keepNext/>
        <w:spacing w:before="320" w:after="160"/>
      </w:pPr>
      <w:r>
        <w:rPr>
          <w:rFonts w:ascii="Times New Roman" w:hAnsi="Times New Roman" w:eastAsia="Times New Roman"/>
          <w:b/>
          <w:i w:val="0"/>
          <w:color w:val="1E3A5F"/>
          <w:sz w:val="28"/>
        </w:rPr>
        <w:t>7.4 Limitations</w:t>
      </w:r>
    </w:p>
    <w:p>
      <w:pPr>
        <w:spacing w:after="200" w:line="360" w:lineRule="auto"/>
        <w:jc w:val="both"/>
      </w:pPr>
      <w:r>
        <w:rPr>
          <w:rFonts w:ascii="Times New Roman" w:hAnsi="Times New Roman" w:eastAsia="Times New Roman"/>
          <w:b w:val="0"/>
          <w:i w:val="0"/>
          <w:sz w:val="24"/>
        </w:rPr>
        <w:t>As detailed fully in Section 1.7.2, the central limitation of this study is that the credit-scoring engine's real-world predictive validity against actual loan repayment could not be evaluated, since the platform has never issued or observed a real loan; its evaluation in this study is limited to internal consistency, determinism, and explanation-correctness verification. Both the yield-prediction and credit-scoring subsystems require a minimum volume of farm or population data before producing a full (rather than cold-start or provisional) result, and this study's evaluation was conducted primarily through automated testing rather than a multi-farm field deployment, so claims about real-world usability and adoption remain provisional pending the user acceptance work identified in Section 7.5. Test coverage across the codebase, while strong in the areas that matter most to the system's distinguishing claims (creditscore, in particular), is uneven overall, and this study has reported that unevenness honestly (Section 6.6) rather than overstating system-wide reliability.</w:t>
      </w:r>
    </w:p>
    <w:p>
      <w:pPr>
        <w:pStyle w:val="Heading2"/>
        <w:keepNext/>
        <w:spacing w:before="320" w:after="160"/>
      </w:pPr>
      <w:r>
        <w:rPr>
          <w:rFonts w:ascii="Times New Roman" w:hAnsi="Times New Roman" w:eastAsia="Times New Roman"/>
          <w:b/>
          <w:i w:val="0"/>
          <w:color w:val="1E3A5F"/>
          <w:sz w:val="28"/>
        </w:rPr>
        <w:t>7.5 Recommendations for Future Work</w:t>
      </w:r>
    </w:p>
    <w:p>
      <w:pPr>
        <w:spacing w:after="200" w:line="360" w:lineRule="auto"/>
        <w:jc w:val="both"/>
      </w:pPr>
      <w:r>
        <w:rPr>
          <w:rFonts w:ascii="Times New Roman" w:hAnsi="Times New Roman" w:eastAsia="Times New Roman"/>
          <w:b w:val="0"/>
          <w:i w:val="0"/>
          <w:sz w:val="24"/>
        </w:rPr>
        <w:t>Future work should prioritise, first, a structured field pilot across multiple farms and, ideally, an actual lending partner, to begin the longitudinal work of comparing FarmIQ's credit-score tiers against real repayment outcomes — the single validation this study could not perform given the platform's pre-lending stage. Second, formal user acceptance testing (task completion rates, a System Usability Scale survey, and qualitative interviews with farmers, managers, supervisors, and workers across varying digital literacy levels) should be conducted to substantiate usability claims currently unevaluated in this study. Third, test coverage gaps identified in Chapter 6 — particularly the blockchain integration app's absence of automated tests — should be closed before any production lending partner is granted API access, given that module's direct role in the credit-scoring engine's trust guarantees. Fourth, now that the credit-scoring engine's core methodology is implemented and internally verified, further work could explore weighting or expanding its ten features based on real usage patterns once a larger, longer-lived farm population exists on the platform, and could investigate whether a lightweight supervised layer becomes viable — without displacing the unsupervised fallback that makes the system usable from a cold start — once genuine repayment-outcome data eventually exists. Finally, given the evidence in Chapter 2 that WhatsApp and similar messaging channels are what smallholders already use, future work should examine two-way WhatsApp interaction (structured data entry via chat, not only outbound alerts) as a further accessibility improvement beyond the current one-way notification delivery.</w:t>
      </w:r>
    </w:p>
    <w:p>
      <w:pPr>
        <w:pStyle w:val="Heading2"/>
        <w:keepNext/>
        <w:spacing w:before="320" w:after="160"/>
      </w:pPr>
      <w:r>
        <w:rPr>
          <w:rFonts w:ascii="Times New Roman" w:hAnsi="Times New Roman" w:eastAsia="Times New Roman"/>
          <w:b/>
          <w:i w:val="0"/>
          <w:color w:val="1E3A5F"/>
          <w:sz w:val="28"/>
        </w:rPr>
        <w:t>7.6 Conclusion</w:t>
      </w:r>
    </w:p>
    <w:p>
      <w:pPr>
        <w:spacing w:after="200" w:line="360" w:lineRule="auto"/>
        <w:jc w:val="both"/>
      </w:pPr>
      <w:r>
        <w:rPr>
          <w:rFonts w:ascii="Times New Roman" w:hAnsi="Times New Roman" w:eastAsia="Times New Roman"/>
          <w:b w:val="0"/>
          <w:i w:val="0"/>
          <w:sz w:val="24"/>
        </w:rPr>
        <w:t>FarmIQ demonstrates that the routine records a smallholder farm already needs to keep — milk yields, feeding, crop activity, finances, tasks — can be made to do more than support day-to-day operations: the same records can simultaneously train an explainable production forecast, earn a blockchain-anchored reward, and build the evidentiary basis of an alternative, unsupervised credit signal computed without any loan-repayment history the farm or the platform does not yet have. In integrating these previously separate strands of research and practice — alternative credit scoring, unsupervised machine learning, explainable AI, agricultural production forecasting, blockchain traceability, tokenised incentives, and low-connectivity digital accessibility — around a single, low-friction PWA built for Kenyan smallholder and mixed dairy/crop farming, this study addresses a genuine integration gap identified in the existing literature, while being explicit about what remains unproven: real-world predictive validity against actual lending outcomes, which only a genuine lending partnership and the passage of time can ultimately establish.</w:t>
      </w:r>
    </w:p>
    <w:p>
      <w:pPr>
        <w:pStyle w:val="Heading1"/>
        <w:keepNext/>
        <w:pageBreakBefore/>
        <w:spacing w:before="80" w:after="200"/>
      </w:pPr>
      <w:r>
        <w:rPr>
          <w:rFonts w:ascii="Times New Roman" w:hAnsi="Times New Roman" w:eastAsia="Times New Roman"/>
          <w:b/>
          <w:i w:val="0"/>
          <w:color w:val="047857"/>
          <w:sz w:val="36"/>
        </w:rPr>
        <w:t>References</w:t>
      </w:r>
    </w:p>
    <w:p>
      <w:pPr>
        <w:spacing w:after="200" w:line="360" w:lineRule="auto"/>
        <w:ind w:left="720" w:hanging="720"/>
      </w:pPr>
      <w:r>
        <w:rPr>
          <w:rFonts w:ascii="Times New Roman" w:hAnsi="Times New Roman" w:eastAsia="Times New Roman"/>
          <w:b w:val="0"/>
          <w:i w:val="0"/>
          <w:sz w:val="22"/>
        </w:rPr>
        <w:t xml:space="preserve">Ahsan, Z. B., &amp; Gupta, A. (2024). Gamified cryptocurrency and rewards: Consumer behaviour during uncertain earnings. </w:t>
      </w:r>
      <w:r>
        <w:rPr>
          <w:rFonts w:ascii="Times New Roman" w:hAnsi="Times New Roman" w:eastAsia="Times New Roman"/>
          <w:b w:val="0"/>
          <w:i/>
          <w:sz w:val="22"/>
        </w:rPr>
        <w:t>Journal of Consumer Behaviour</w:t>
      </w:r>
      <w:r>
        <w:rPr>
          <w:rFonts w:ascii="Times New Roman" w:hAnsi="Times New Roman" w:eastAsia="Times New Roman"/>
          <w:b w:val="0"/>
          <w:i w:val="0"/>
          <w:sz w:val="22"/>
        </w:rPr>
        <w:t>. Wiley. https://onlinelibrary.wiley.com/doi/10.1002/cb.2291</w:t>
      </w:r>
    </w:p>
    <w:p>
      <w:pPr>
        <w:spacing w:after="200" w:line="360" w:lineRule="auto"/>
        <w:ind w:left="720" w:hanging="720"/>
      </w:pPr>
      <w:r>
        <w:rPr>
          <w:rFonts w:ascii="Times New Roman" w:hAnsi="Times New Roman" w:eastAsia="Times New Roman"/>
          <w:b w:val="0"/>
          <w:i w:val="0"/>
          <w:sz w:val="22"/>
        </w:rPr>
        <w:t xml:space="preserve">Arraiz, I., Bruhn, M., &amp; Stucchi, R. (2017). Psychometrics as a tool to improve credit information. </w:t>
      </w:r>
      <w:r>
        <w:rPr>
          <w:rFonts w:ascii="Times New Roman" w:hAnsi="Times New Roman" w:eastAsia="Times New Roman"/>
          <w:b w:val="0"/>
          <w:i/>
          <w:sz w:val="22"/>
        </w:rPr>
        <w:t>The World Bank Economic Review, 30</w:t>
      </w:r>
      <w:r>
        <w:rPr>
          <w:rFonts w:ascii="Times New Roman" w:hAnsi="Times New Roman" w:eastAsia="Times New Roman"/>
          <w:b w:val="0"/>
          <w:i w:val="0"/>
          <w:sz w:val="22"/>
        </w:rPr>
        <w:t>(Supplement_1), S67–S76. https://academic.oup.com/wber/article-abstract/30/Supplement_1/S67/2897404</w:t>
      </w:r>
    </w:p>
    <w:p>
      <w:pPr>
        <w:spacing w:after="200" w:line="360" w:lineRule="auto"/>
        <w:ind w:left="720" w:hanging="720"/>
      </w:pPr>
      <w:r>
        <w:rPr>
          <w:rFonts w:ascii="Times New Roman" w:hAnsi="Times New Roman" w:eastAsia="Times New Roman"/>
          <w:b w:val="0"/>
          <w:i w:val="0"/>
          <w:sz w:val="22"/>
        </w:rPr>
        <w:t xml:space="preserve">Assi, Y. F., Yao, K. A., Soro, K., &amp; Asongu, S. (2025). Effect of information and communication technologies on agricultural credit in sub-Saharan Africa. </w:t>
      </w:r>
      <w:r>
        <w:rPr>
          <w:rFonts w:ascii="Times New Roman" w:hAnsi="Times New Roman" w:eastAsia="Times New Roman"/>
          <w:b w:val="0"/>
          <w:i/>
          <w:sz w:val="22"/>
        </w:rPr>
        <w:t>African Journal of Economic and Management Studies</w:t>
      </w:r>
      <w:r>
        <w:rPr>
          <w:rFonts w:ascii="Times New Roman" w:hAnsi="Times New Roman" w:eastAsia="Times New Roman"/>
          <w:b w:val="0"/>
          <w:i w:val="0"/>
          <w:sz w:val="22"/>
        </w:rPr>
        <w:t>. Advance online publication. https://doi.org/10.1108/AJEMS-06-2025-0503</w:t>
      </w:r>
    </w:p>
    <w:p>
      <w:pPr>
        <w:spacing w:after="200" w:line="360" w:lineRule="auto"/>
        <w:ind w:left="720" w:hanging="720"/>
      </w:pPr>
      <w:r>
        <w:rPr>
          <w:rFonts w:ascii="Times New Roman" w:hAnsi="Times New Roman" w:eastAsia="Times New Roman"/>
          <w:b w:val="0"/>
          <w:i w:val="0"/>
          <w:sz w:val="22"/>
        </w:rPr>
        <w:t xml:space="preserve">Baird, L., Harmon, M., &amp; Madsen, P. (n.d.). </w:t>
      </w:r>
      <w:r>
        <w:rPr>
          <w:rFonts w:ascii="Times New Roman" w:hAnsi="Times New Roman" w:eastAsia="Times New Roman"/>
          <w:b w:val="0"/>
          <w:i/>
          <w:sz w:val="22"/>
        </w:rPr>
        <w:t>Hedera: A public hashgraph network &amp; governing council</w:t>
      </w:r>
      <w:r>
        <w:rPr>
          <w:rFonts w:ascii="Times New Roman" w:hAnsi="Times New Roman" w:eastAsia="Times New Roman"/>
          <w:b w:val="0"/>
          <w:i w:val="0"/>
          <w:sz w:val="22"/>
        </w:rPr>
        <w:t xml:space="preserve"> [Whitepaper]. Hedera. https://hedera.com/whitepaper</w:t>
      </w:r>
    </w:p>
    <w:p>
      <w:pPr>
        <w:spacing w:after="200" w:line="360" w:lineRule="auto"/>
        <w:ind w:left="720" w:hanging="720"/>
      </w:pPr>
      <w:r>
        <w:rPr>
          <w:rFonts w:ascii="Times New Roman" w:hAnsi="Times New Roman" w:eastAsia="Times New Roman"/>
          <w:b w:val="0"/>
          <w:i w:val="0"/>
          <w:sz w:val="22"/>
        </w:rPr>
        <w:t xml:space="preserve">Bao, W., Lianju, N., &amp; Yue, K. (2019). Integration of unsupervised and supervised machine learning algorithms for credit risk assessment. </w:t>
      </w:r>
      <w:r>
        <w:rPr>
          <w:rFonts w:ascii="Times New Roman" w:hAnsi="Times New Roman" w:eastAsia="Times New Roman"/>
          <w:b w:val="0"/>
          <w:i/>
          <w:sz w:val="22"/>
        </w:rPr>
        <w:t>Expert Systems with Applications, 128</w:t>
      </w:r>
      <w:r>
        <w:rPr>
          <w:rFonts w:ascii="Times New Roman" w:hAnsi="Times New Roman" w:eastAsia="Times New Roman"/>
          <w:b w:val="0"/>
          <w:i w:val="0"/>
          <w:sz w:val="22"/>
        </w:rPr>
        <w:t>, 301–315. https://doi.org/10.1016/j.eswa.2019.02.033</w:t>
      </w:r>
    </w:p>
    <w:p>
      <w:pPr>
        <w:spacing w:after="200" w:line="360" w:lineRule="auto"/>
        <w:ind w:left="720" w:hanging="720"/>
      </w:pPr>
      <w:r>
        <w:rPr>
          <w:rFonts w:ascii="Times New Roman" w:hAnsi="Times New Roman" w:eastAsia="Times New Roman"/>
          <w:b w:val="0"/>
          <w:i w:val="0"/>
          <w:sz w:val="22"/>
        </w:rPr>
        <w:t xml:space="preserve">Bjorkegren, D., &amp; Grissen, D. (2018). </w:t>
      </w:r>
      <w:r>
        <w:rPr>
          <w:rFonts w:ascii="Times New Roman" w:hAnsi="Times New Roman" w:eastAsia="Times New Roman"/>
          <w:b w:val="0"/>
          <w:i/>
          <w:sz w:val="22"/>
        </w:rPr>
        <w:t>Behavior revealed in mobile phone usage predicts loan repayment</w:t>
      </w:r>
      <w:r>
        <w:rPr>
          <w:rFonts w:ascii="Times New Roman" w:hAnsi="Times New Roman" w:eastAsia="Times New Roman"/>
          <w:b w:val="0"/>
          <w:i w:val="0"/>
          <w:sz w:val="22"/>
        </w:rPr>
        <w:t xml:space="preserve"> (World Bank Policy Research Working Paper No. 9074). https://arxiv.org/abs/1712.05840</w:t>
      </w:r>
    </w:p>
    <w:p>
      <w:pPr>
        <w:spacing w:after="200" w:line="360" w:lineRule="auto"/>
        <w:ind w:left="720" w:hanging="720"/>
      </w:pPr>
      <w:r>
        <w:rPr>
          <w:rFonts w:ascii="Times New Roman" w:hAnsi="Times New Roman" w:eastAsia="Times New Roman"/>
          <w:b w:val="0"/>
          <w:i w:val="0"/>
          <w:sz w:val="22"/>
        </w:rPr>
        <w:t xml:space="preserve">Coggins, S., McCampbell, M., Sharma, A., Sharma, R., Haefele, S. M., Karki, E., Hetherington, J., Smith, J., &amp; Brown, B. (2022). How have smallholder farmers used digital extension tools? Developer and user voices from Sub-Saharan Africa, South Asia and Southeast Asia. </w:t>
      </w:r>
      <w:r>
        <w:rPr>
          <w:rFonts w:ascii="Times New Roman" w:hAnsi="Times New Roman" w:eastAsia="Times New Roman"/>
          <w:b w:val="0"/>
          <w:i/>
          <w:sz w:val="22"/>
        </w:rPr>
        <w:t>Global Food Security, 32</w:t>
      </w:r>
      <w:r>
        <w:rPr>
          <w:rFonts w:ascii="Times New Roman" w:hAnsi="Times New Roman" w:eastAsia="Times New Roman"/>
          <w:b w:val="0"/>
          <w:i w:val="0"/>
          <w:sz w:val="22"/>
        </w:rPr>
        <w:t>. https://pmc.ncbi.nlm.nih.gov/articles/PMC8907870/</w:t>
      </w:r>
    </w:p>
    <w:p>
      <w:pPr>
        <w:spacing w:after="200" w:line="360" w:lineRule="auto"/>
        <w:ind w:left="720" w:hanging="720"/>
      </w:pPr>
      <w:r>
        <w:rPr>
          <w:rFonts w:ascii="Times New Roman" w:hAnsi="Times New Roman" w:eastAsia="Times New Roman"/>
          <w:b w:val="0"/>
          <w:i w:val="0"/>
          <w:sz w:val="22"/>
        </w:rPr>
        <w:t xml:space="preserve">Demirguc-Kunt, A., Klapper, L., Singer, D., &amp; Ansar, S. (2022). </w:t>
      </w:r>
      <w:r>
        <w:rPr>
          <w:rFonts w:ascii="Times New Roman" w:hAnsi="Times New Roman" w:eastAsia="Times New Roman"/>
          <w:b w:val="0"/>
          <w:i/>
          <w:sz w:val="22"/>
        </w:rPr>
        <w:t>The Global Findex Database 2021: Financial inclusion, digital payments, and resilience in the age of COVID-19</w:t>
      </w:r>
      <w:r>
        <w:rPr>
          <w:rFonts w:ascii="Times New Roman" w:hAnsi="Times New Roman" w:eastAsia="Times New Roman"/>
          <w:b w:val="0"/>
          <w:i w:val="0"/>
          <w:sz w:val="22"/>
        </w:rPr>
        <w:t>. World Bank Publications. https://www.worldbank.org/en/publication/globalfindex</w:t>
      </w:r>
    </w:p>
    <w:p>
      <w:pPr>
        <w:spacing w:after="200" w:line="360" w:lineRule="auto"/>
        <w:ind w:left="720" w:hanging="720"/>
      </w:pPr>
      <w:r>
        <w:rPr>
          <w:rFonts w:ascii="Times New Roman" w:hAnsi="Times New Roman" w:eastAsia="Times New Roman"/>
          <w:b w:val="0"/>
          <w:i w:val="0"/>
          <w:sz w:val="22"/>
        </w:rPr>
        <w:t xml:space="preserve">Food and Agriculture Organization Science, Technology and Innovation Portal. (n.d.). </w:t>
      </w:r>
      <w:r>
        <w:rPr>
          <w:rFonts w:ascii="Times New Roman" w:hAnsi="Times New Roman" w:eastAsia="Times New Roman"/>
          <w:b w:val="0"/>
          <w:i/>
          <w:sz w:val="22"/>
        </w:rPr>
        <w:t>Alternative data credit scoring platforms for smallholder farmers</w:t>
      </w:r>
      <w:r>
        <w:rPr>
          <w:rFonts w:ascii="Times New Roman" w:hAnsi="Times New Roman" w:eastAsia="Times New Roman"/>
          <w:b w:val="0"/>
          <w:i w:val="0"/>
          <w:sz w:val="22"/>
        </w:rPr>
        <w:t>. FAO. https://sti-portal.fao.org/classes/alternative-data-credit-scoring-platforms-smallholder-farmers</w:t>
      </w:r>
    </w:p>
    <w:p>
      <w:pPr>
        <w:spacing w:after="200" w:line="360" w:lineRule="auto"/>
        <w:ind w:left="720" w:hanging="720"/>
      </w:pPr>
      <w:r>
        <w:rPr>
          <w:rFonts w:ascii="Times New Roman" w:hAnsi="Times New Roman" w:eastAsia="Times New Roman"/>
          <w:b w:val="0"/>
          <w:i w:val="0"/>
          <w:sz w:val="22"/>
        </w:rPr>
        <w:t xml:space="preserve">Fountas, S., Carli, G., Sørensen, C. G., Tsiropoulos, Z., Cavalaris, C., Vatsanidou, A., Liakos, B., Canavari, M., Wiebensohn, J., &amp; Tisserye, B. (2015). Farm management information systems: Current situation and future perspectives. </w:t>
      </w:r>
      <w:r>
        <w:rPr>
          <w:rFonts w:ascii="Times New Roman" w:hAnsi="Times New Roman" w:eastAsia="Times New Roman"/>
          <w:b w:val="0"/>
          <w:i/>
          <w:sz w:val="22"/>
        </w:rPr>
        <w:t>Computers and Electronics in Agriculture, 115</w:t>
      </w:r>
      <w:r>
        <w:rPr>
          <w:rFonts w:ascii="Times New Roman" w:hAnsi="Times New Roman" w:eastAsia="Times New Roman"/>
          <w:b w:val="0"/>
          <w:i w:val="0"/>
          <w:sz w:val="22"/>
        </w:rPr>
        <w:t>, 40–50. https://doi.org/10.1016/j.compag.2015.05.011</w:t>
      </w:r>
    </w:p>
    <w:p>
      <w:pPr>
        <w:spacing w:after="200" w:line="360" w:lineRule="auto"/>
        <w:ind w:left="720" w:hanging="720"/>
      </w:pPr>
      <w:r>
        <w:rPr>
          <w:rFonts w:ascii="Times New Roman" w:hAnsi="Times New Roman" w:eastAsia="Times New Roman"/>
          <w:b w:val="0"/>
          <w:i w:val="0"/>
          <w:sz w:val="22"/>
        </w:rPr>
        <w:t xml:space="preserve">Friedman, N., Tan, Z. M., Haskins, M. N., Ju, W., Bailey, D., &amp; Longchamps, L. (2024). Understanding farmers' data collection practices on small-to-medium farms for the design of future farm management information systems. </w:t>
      </w:r>
      <w:r>
        <w:rPr>
          <w:rFonts w:ascii="Times New Roman" w:hAnsi="Times New Roman" w:eastAsia="Times New Roman"/>
          <w:b w:val="0"/>
          <w:i/>
          <w:sz w:val="22"/>
        </w:rPr>
        <w:t>Proceedings of the ACM on Human-Computer Interaction, 8</w:t>
      </w:r>
      <w:r>
        <w:rPr>
          <w:rFonts w:ascii="Times New Roman" w:hAnsi="Times New Roman" w:eastAsia="Times New Roman"/>
          <w:b w:val="0"/>
          <w:i w:val="0"/>
          <w:sz w:val="22"/>
        </w:rPr>
        <w:t>(CSCW1). https://doi.org/10.1145/3637416</w:t>
      </w:r>
    </w:p>
    <w:p>
      <w:pPr>
        <w:spacing w:after="200" w:line="360" w:lineRule="auto"/>
        <w:ind w:left="720" w:hanging="720"/>
      </w:pPr>
      <w:r>
        <w:rPr>
          <w:rFonts w:ascii="Times New Roman" w:hAnsi="Times New Roman" w:eastAsia="Times New Roman"/>
          <w:b w:val="0"/>
          <w:i w:val="0"/>
          <w:sz w:val="22"/>
        </w:rPr>
        <w:t xml:space="preserve">GSMA. (2025a). </w:t>
      </w:r>
      <w:r>
        <w:rPr>
          <w:rFonts w:ascii="Times New Roman" w:hAnsi="Times New Roman" w:eastAsia="Times New Roman"/>
          <w:b w:val="0"/>
          <w:i/>
          <w:sz w:val="22"/>
        </w:rPr>
        <w:t>Agri DFS: Emerging business models to support the financial inclusion of smallholder farmers</w:t>
      </w:r>
      <w:r>
        <w:rPr>
          <w:rFonts w:ascii="Times New Roman" w:hAnsi="Times New Roman" w:eastAsia="Times New Roman"/>
          <w:b w:val="0"/>
          <w:i w:val="0"/>
          <w:sz w:val="22"/>
        </w:rPr>
        <w:t>. GSMA Mobile for Development. https://www.gsma.com/solutions-and-impact/connectivity-for-good/mobile-for-development/gsma_resources/agri-dfs-emerging-business-models-to-support-the-financial-inclusion-of-smallholder-farmers/</w:t>
      </w:r>
    </w:p>
    <w:p>
      <w:pPr>
        <w:spacing w:after="200" w:line="360" w:lineRule="auto"/>
        <w:ind w:left="720" w:hanging="720"/>
      </w:pPr>
      <w:r>
        <w:rPr>
          <w:rFonts w:ascii="Times New Roman" w:hAnsi="Times New Roman" w:eastAsia="Times New Roman"/>
          <w:b w:val="0"/>
          <w:i w:val="0"/>
          <w:sz w:val="22"/>
        </w:rPr>
        <w:t xml:space="preserve">GSMA. (2025b). </w:t>
      </w:r>
      <w:r>
        <w:rPr>
          <w:rFonts w:ascii="Times New Roman" w:hAnsi="Times New Roman" w:eastAsia="Times New Roman"/>
          <w:b w:val="0"/>
          <w:i/>
          <w:sz w:val="22"/>
        </w:rPr>
        <w:t>AI-driven smallholder farmer lending in Africa: Insights from Apollo Agriculture</w:t>
      </w:r>
      <w:r>
        <w:rPr>
          <w:rFonts w:ascii="Times New Roman" w:hAnsi="Times New Roman" w:eastAsia="Times New Roman"/>
          <w:b w:val="0"/>
          <w:i w:val="0"/>
          <w:sz w:val="22"/>
        </w:rPr>
        <w:t>. GSMA Mobile for Development. https://www.gsma.com/solutions-and-impact/connectivity-for-good/mobile-for-development/programme/agritech/ai-driven-smallholder-farmer-lending-in-africa-insights-from-apollo-agriculture/</w:t>
      </w:r>
    </w:p>
    <w:p>
      <w:pPr>
        <w:spacing w:after="200" w:line="360" w:lineRule="auto"/>
        <w:ind w:left="720" w:hanging="720"/>
      </w:pPr>
      <w:r>
        <w:rPr>
          <w:rFonts w:ascii="Times New Roman" w:hAnsi="Times New Roman" w:eastAsia="Times New Roman"/>
          <w:b w:val="0"/>
          <w:i w:val="0"/>
          <w:sz w:val="22"/>
        </w:rPr>
        <w:t xml:space="preserve">GSMA &amp; IDH Farmfit. (2020). </w:t>
      </w:r>
      <w:r>
        <w:rPr>
          <w:rFonts w:ascii="Times New Roman" w:hAnsi="Times New Roman" w:eastAsia="Times New Roman"/>
          <w:b w:val="0"/>
          <w:i/>
          <w:sz w:val="22"/>
        </w:rPr>
        <w:t>Digital agriculture maps: 2020 state of the sector in low and middle-income countries</w:t>
      </w:r>
      <w:r>
        <w:rPr>
          <w:rFonts w:ascii="Times New Roman" w:hAnsi="Times New Roman" w:eastAsia="Times New Roman"/>
          <w:b w:val="0"/>
          <w:i w:val="0"/>
          <w:sz w:val="22"/>
        </w:rPr>
        <w:t>. GSMA. https://www.gsma.com/r/wp-content/uploads/2020/09/GSMA-Agritech-Digital-Agriculture-Maps.pdf</w:t>
      </w:r>
    </w:p>
    <w:p>
      <w:pPr>
        <w:spacing w:after="200" w:line="360" w:lineRule="auto"/>
        <w:ind w:left="720" w:hanging="720"/>
      </w:pPr>
      <w:r>
        <w:rPr>
          <w:rFonts w:ascii="Times New Roman" w:hAnsi="Times New Roman" w:eastAsia="Times New Roman"/>
          <w:b w:val="0"/>
          <w:i w:val="0"/>
          <w:sz w:val="22"/>
        </w:rPr>
        <w:t xml:space="preserve">Hedera. (n.d.-a). </w:t>
      </w:r>
      <w:r>
        <w:rPr>
          <w:rFonts w:ascii="Times New Roman" w:hAnsi="Times New Roman" w:eastAsia="Times New Roman"/>
          <w:b w:val="0"/>
          <w:i/>
          <w:sz w:val="22"/>
        </w:rPr>
        <w:t>Hedera Consensus Service</w:t>
      </w:r>
      <w:r>
        <w:rPr>
          <w:rFonts w:ascii="Times New Roman" w:hAnsi="Times New Roman" w:eastAsia="Times New Roman"/>
          <w:b w:val="0"/>
          <w:i w:val="0"/>
          <w:sz w:val="22"/>
        </w:rPr>
        <w:t>. https://hedera.com/service/consensus-service/</w:t>
      </w:r>
    </w:p>
    <w:p>
      <w:pPr>
        <w:spacing w:after="200" w:line="360" w:lineRule="auto"/>
        <w:ind w:left="720" w:hanging="720"/>
      </w:pPr>
      <w:r>
        <w:rPr>
          <w:rFonts w:ascii="Times New Roman" w:hAnsi="Times New Roman" w:eastAsia="Times New Roman"/>
          <w:b w:val="0"/>
          <w:i w:val="0"/>
          <w:sz w:val="22"/>
        </w:rPr>
        <w:t xml:space="preserve">Hedera. (n.d.-b). </w:t>
      </w:r>
      <w:r>
        <w:rPr>
          <w:rFonts w:ascii="Times New Roman" w:hAnsi="Times New Roman" w:eastAsia="Times New Roman"/>
          <w:b w:val="0"/>
          <w:i/>
          <w:sz w:val="22"/>
        </w:rPr>
        <w:t>Consensus service documentation</w:t>
      </w:r>
      <w:r>
        <w:rPr>
          <w:rFonts w:ascii="Times New Roman" w:hAnsi="Times New Roman" w:eastAsia="Times New Roman"/>
          <w:b w:val="0"/>
          <w:i w:val="0"/>
          <w:sz w:val="22"/>
        </w:rPr>
        <w:t>. https://docs.hedera.com/hedera/sdks-and-apis/sdks/consensus-service</w:t>
      </w:r>
    </w:p>
    <w:p>
      <w:pPr>
        <w:spacing w:after="200" w:line="360" w:lineRule="auto"/>
        <w:ind w:left="720" w:hanging="720"/>
      </w:pPr>
      <w:r>
        <w:rPr>
          <w:rFonts w:ascii="Times New Roman" w:hAnsi="Times New Roman" w:eastAsia="Times New Roman"/>
          <w:b w:val="0"/>
          <w:i w:val="0"/>
          <w:sz w:val="22"/>
        </w:rPr>
        <w:t xml:space="preserve">Hooker, J., de Medeiros, B. B., Saha, C., Abdulrahman, T., &amp; Alves, A. A. C. (2025). Evaluating the contribution of behavioral, milking system, and environmental data to short-term milk yield prediction in commercial dairy cows using machine learning. </w:t>
      </w:r>
      <w:r>
        <w:rPr>
          <w:rFonts w:ascii="Times New Roman" w:hAnsi="Times New Roman" w:eastAsia="Times New Roman"/>
          <w:b w:val="0"/>
          <w:i/>
          <w:sz w:val="22"/>
        </w:rPr>
        <w:t>Journal of Dairy Science, 108</w:t>
      </w:r>
      <w:r>
        <w:rPr>
          <w:rFonts w:ascii="Times New Roman" w:hAnsi="Times New Roman" w:eastAsia="Times New Roman"/>
          <w:b w:val="0"/>
          <w:i w:val="0"/>
          <w:sz w:val="22"/>
        </w:rPr>
        <w:t>(10). https://doi.org/10.3168/jds.2025-S0022030225006241</w:t>
      </w:r>
    </w:p>
    <w:p>
      <w:pPr>
        <w:spacing w:after="200" w:line="360" w:lineRule="auto"/>
        <w:ind w:left="720" w:hanging="720"/>
      </w:pPr>
      <w:r>
        <w:rPr>
          <w:rFonts w:ascii="Times New Roman" w:hAnsi="Times New Roman" w:eastAsia="Times New Roman"/>
          <w:b w:val="0"/>
          <w:i w:val="0"/>
          <w:sz w:val="22"/>
        </w:rPr>
        <w:t xml:space="preserve">IEEE. (2018a). Architectural pattern of progressive web and background synchronization. In </w:t>
      </w:r>
      <w:r>
        <w:rPr>
          <w:rFonts w:ascii="Times New Roman" w:hAnsi="Times New Roman" w:eastAsia="Times New Roman"/>
          <w:b w:val="0"/>
          <w:i/>
          <w:sz w:val="22"/>
        </w:rPr>
        <w:t>2018 IEEE Conference Proceedings</w:t>
      </w:r>
      <w:r>
        <w:rPr>
          <w:rFonts w:ascii="Times New Roman" w:hAnsi="Times New Roman" w:eastAsia="Times New Roman"/>
          <w:b w:val="0"/>
          <w:i w:val="0"/>
          <w:sz w:val="22"/>
        </w:rPr>
        <w:t>. IEEE. https://ieeexplore.ieee.org/document/8441701/</w:t>
      </w:r>
    </w:p>
    <w:p>
      <w:pPr>
        <w:spacing w:after="200" w:line="360" w:lineRule="auto"/>
        <w:ind w:left="720" w:hanging="720"/>
      </w:pPr>
      <w:r>
        <w:rPr>
          <w:rFonts w:ascii="Times New Roman" w:hAnsi="Times New Roman" w:eastAsia="Times New Roman"/>
          <w:b w:val="0"/>
          <w:i w:val="0"/>
          <w:sz w:val="22"/>
        </w:rPr>
        <w:t xml:space="preserve">IEEE. (2018b). Progressive web apps: An alternative to the native mobile apps. In </w:t>
      </w:r>
      <w:r>
        <w:rPr>
          <w:rFonts w:ascii="Times New Roman" w:hAnsi="Times New Roman" w:eastAsia="Times New Roman"/>
          <w:b w:val="0"/>
          <w:i/>
          <w:sz w:val="22"/>
        </w:rPr>
        <w:t>2018 IEEE Conference Proceedings</w:t>
      </w:r>
      <w:r>
        <w:rPr>
          <w:rFonts w:ascii="Times New Roman" w:hAnsi="Times New Roman" w:eastAsia="Times New Roman"/>
          <w:b w:val="0"/>
          <w:i w:val="0"/>
          <w:sz w:val="22"/>
        </w:rPr>
        <w:t>. IEEE. https://ieeexplore.ieee.org/document/8399228/</w:t>
      </w:r>
    </w:p>
    <w:p>
      <w:pPr>
        <w:spacing w:after="200" w:line="360" w:lineRule="auto"/>
        <w:ind w:left="720" w:hanging="720"/>
      </w:pPr>
      <w:r>
        <w:rPr>
          <w:rFonts w:ascii="Times New Roman" w:hAnsi="Times New Roman" w:eastAsia="Times New Roman"/>
          <w:b w:val="0"/>
          <w:i w:val="0"/>
          <w:sz w:val="22"/>
        </w:rPr>
        <w:t xml:space="preserve">Information Systems Research. (2023). Token incentive and blockchain developer contribution. </w:t>
      </w:r>
      <w:r>
        <w:rPr>
          <w:rFonts w:ascii="Times New Roman" w:hAnsi="Times New Roman" w:eastAsia="Times New Roman"/>
          <w:b w:val="0"/>
          <w:i/>
          <w:sz w:val="22"/>
        </w:rPr>
        <w:t>Information Systems Research</w:t>
      </w:r>
      <w:r>
        <w:rPr>
          <w:rFonts w:ascii="Times New Roman" w:hAnsi="Times New Roman" w:eastAsia="Times New Roman"/>
          <w:b w:val="0"/>
          <w:i w:val="0"/>
          <w:sz w:val="22"/>
        </w:rPr>
        <w:t>. INFORMS. https://doi.org/10.1287/isre.2023.0480</w:t>
      </w:r>
    </w:p>
    <w:p>
      <w:pPr>
        <w:spacing w:after="200" w:line="360" w:lineRule="auto"/>
        <w:ind w:left="720" w:hanging="720"/>
      </w:pPr>
      <w:r>
        <w:rPr>
          <w:rFonts w:ascii="Times New Roman" w:hAnsi="Times New Roman" w:eastAsia="Times New Roman"/>
          <w:b w:val="0"/>
          <w:i w:val="0"/>
          <w:sz w:val="22"/>
        </w:rPr>
        <w:t xml:space="preserve">International Finance Corporation. (2023). </w:t>
      </w:r>
      <w:r>
        <w:rPr>
          <w:rFonts w:ascii="Times New Roman" w:hAnsi="Times New Roman" w:eastAsia="Times New Roman"/>
          <w:b w:val="0"/>
          <w:i/>
          <w:sz w:val="22"/>
        </w:rPr>
        <w:t>Market mapping: Scaling up farmer financing through AgTechs in Sub-Saharan Africa</w:t>
      </w:r>
      <w:r>
        <w:rPr>
          <w:rFonts w:ascii="Times New Roman" w:hAnsi="Times New Roman" w:eastAsia="Times New Roman"/>
          <w:b w:val="0"/>
          <w:i w:val="0"/>
          <w:sz w:val="22"/>
        </w:rPr>
        <w:t>. IFC. https://www.ifc.org/content/dam/ifc/doc/2024/scaling-up-farmer-financing-through-agtechs-in-sub-saharan-africa-ifc-2023.pdf</w:t>
      </w:r>
    </w:p>
    <w:p>
      <w:pPr>
        <w:spacing w:after="200" w:line="360" w:lineRule="auto"/>
        <w:ind w:left="720" w:hanging="720"/>
      </w:pPr>
      <w:r>
        <w:rPr>
          <w:rFonts w:ascii="Times New Roman" w:hAnsi="Times New Roman" w:eastAsia="Times New Roman"/>
          <w:b w:val="0"/>
          <w:i w:val="0"/>
          <w:sz w:val="22"/>
        </w:rPr>
        <w:t xml:space="preserve">Jain, A. K. (2010). Data clustering: 50 years beyond K-means. </w:t>
      </w:r>
      <w:r>
        <w:rPr>
          <w:rFonts w:ascii="Times New Roman" w:hAnsi="Times New Roman" w:eastAsia="Times New Roman"/>
          <w:b w:val="0"/>
          <w:i/>
          <w:sz w:val="22"/>
        </w:rPr>
        <w:t>Pattern Recognition Letters, 31</w:t>
      </w:r>
      <w:r>
        <w:rPr>
          <w:rFonts w:ascii="Times New Roman" w:hAnsi="Times New Roman" w:eastAsia="Times New Roman"/>
          <w:b w:val="0"/>
          <w:i w:val="0"/>
          <w:sz w:val="22"/>
        </w:rPr>
        <w:t>(8), 651–666. https://doi.org/10.1016/j.patrec.2009.09.011</w:t>
      </w:r>
    </w:p>
    <w:p>
      <w:pPr>
        <w:spacing w:after="200" w:line="360" w:lineRule="auto"/>
        <w:ind w:left="720" w:hanging="720"/>
      </w:pPr>
      <w:r>
        <w:rPr>
          <w:rFonts w:ascii="Times New Roman" w:hAnsi="Times New Roman" w:eastAsia="Times New Roman"/>
          <w:b w:val="0"/>
          <w:i w:val="0"/>
          <w:sz w:val="22"/>
        </w:rPr>
        <w:t xml:space="preserve">Jolliffe, I. T., &amp; Cadima, J. (2016). Principal component analysis: A review and recent developments. </w:t>
      </w:r>
      <w:r>
        <w:rPr>
          <w:rFonts w:ascii="Times New Roman" w:hAnsi="Times New Roman" w:eastAsia="Times New Roman"/>
          <w:b w:val="0"/>
          <w:i/>
          <w:sz w:val="22"/>
        </w:rPr>
        <w:t>Philosophical Transactions of the Royal Society A, 374</w:t>
      </w:r>
      <w:r>
        <w:rPr>
          <w:rFonts w:ascii="Times New Roman" w:hAnsi="Times New Roman" w:eastAsia="Times New Roman"/>
          <w:b w:val="0"/>
          <w:i w:val="0"/>
          <w:sz w:val="22"/>
        </w:rPr>
        <w:t>(2065), 20150202. https://doi.org/10.1098/rsta.2015.0202</w:t>
      </w:r>
    </w:p>
    <w:p>
      <w:pPr>
        <w:spacing w:after="200" w:line="360" w:lineRule="auto"/>
        <w:ind w:left="720" w:hanging="720"/>
      </w:pPr>
      <w:r>
        <w:rPr>
          <w:rFonts w:ascii="Times New Roman" w:hAnsi="Times New Roman" w:eastAsia="Times New Roman"/>
          <w:b w:val="0"/>
          <w:i w:val="0"/>
          <w:sz w:val="22"/>
        </w:rPr>
        <w:t xml:space="preserve">Journal of Dairy Science. (2022). Predicting daily milk yield for primiparous cows using data of within-herd relatives to capture genotype-by-environment interactions. </w:t>
      </w:r>
      <w:r>
        <w:rPr>
          <w:rFonts w:ascii="Times New Roman" w:hAnsi="Times New Roman" w:eastAsia="Times New Roman"/>
          <w:b w:val="0"/>
          <w:i/>
          <w:sz w:val="22"/>
        </w:rPr>
        <w:t>Journal of Dairy Science, 105</w:t>
      </w:r>
      <w:r>
        <w:rPr>
          <w:rFonts w:ascii="Times New Roman" w:hAnsi="Times New Roman" w:eastAsia="Times New Roman"/>
          <w:b w:val="0"/>
          <w:i w:val="0"/>
          <w:sz w:val="22"/>
        </w:rPr>
        <w:t>. https://www.journalofdairyscience.org/article/S0022-0302(22)00330-7/fulltext</w:t>
      </w:r>
    </w:p>
    <w:p>
      <w:pPr>
        <w:spacing w:after="200" w:line="360" w:lineRule="auto"/>
        <w:ind w:left="720" w:hanging="720"/>
      </w:pPr>
      <w:r>
        <w:rPr>
          <w:rFonts w:ascii="Times New Roman" w:hAnsi="Times New Roman" w:eastAsia="Times New Roman"/>
          <w:b w:val="0"/>
          <w:i w:val="0"/>
          <w:sz w:val="22"/>
        </w:rPr>
        <w:t xml:space="preserve">Kansiime, M. K., Mugambi, I., Rware, H., Alokit, C., Aliamo, C., Zhang, F., Latzko, J., Yang, P., Karanja, D., &amp; Romney, D. (2022). Challenges and capacity gaps in smallholder access to digital extension and advisory services in Kenya and Uganda. </w:t>
      </w:r>
      <w:r>
        <w:rPr>
          <w:rFonts w:ascii="Times New Roman" w:hAnsi="Times New Roman" w:eastAsia="Times New Roman"/>
          <w:b w:val="0"/>
          <w:i/>
          <w:sz w:val="22"/>
        </w:rPr>
        <w:t>Frontiers of Agricultural Science and Engineering, 9</w:t>
      </w:r>
      <w:r>
        <w:rPr>
          <w:rFonts w:ascii="Times New Roman" w:hAnsi="Times New Roman" w:eastAsia="Times New Roman"/>
          <w:b w:val="0"/>
          <w:i w:val="0"/>
          <w:sz w:val="22"/>
        </w:rPr>
        <w:t>(4). https://doi.org/10.15302/J-FASE-2021423</w:t>
      </w:r>
    </w:p>
    <w:p>
      <w:pPr>
        <w:spacing w:after="200" w:line="360" w:lineRule="auto"/>
        <w:ind w:left="720" w:hanging="720"/>
      </w:pPr>
      <w:r>
        <w:rPr>
          <w:rFonts w:ascii="Times New Roman" w:hAnsi="Times New Roman" w:eastAsia="Times New Roman"/>
          <w:b w:val="0"/>
          <w:i w:val="0"/>
          <w:sz w:val="22"/>
        </w:rPr>
        <w:t xml:space="preserve">Kiplimo, J. C., Ngenoh, E., Koech, W., &amp; Bett, J. K. (2015). Determinants of access to credit financial services by smallholder farmers in Kenya. </w:t>
      </w:r>
      <w:r>
        <w:rPr>
          <w:rFonts w:ascii="Times New Roman" w:hAnsi="Times New Roman" w:eastAsia="Times New Roman"/>
          <w:b w:val="0"/>
          <w:i/>
          <w:sz w:val="22"/>
        </w:rPr>
        <w:t>Journal of Development and Agricultural Economics, 7</w:t>
      </w:r>
      <w:r>
        <w:rPr>
          <w:rFonts w:ascii="Times New Roman" w:hAnsi="Times New Roman" w:eastAsia="Times New Roman"/>
          <w:b w:val="0"/>
          <w:i w:val="0"/>
          <w:sz w:val="22"/>
        </w:rPr>
        <w:t>(9), 303–313. https://academicjournals.org/journal/JDAE/article-abstract/202861454984</w:t>
      </w:r>
    </w:p>
    <w:p>
      <w:pPr>
        <w:spacing w:after="200" w:line="360" w:lineRule="auto"/>
        <w:ind w:left="720" w:hanging="720"/>
      </w:pPr>
      <w:r>
        <w:rPr>
          <w:rFonts w:ascii="Times New Roman" w:hAnsi="Times New Roman" w:eastAsia="Times New Roman"/>
          <w:b w:val="0"/>
          <w:i w:val="0"/>
          <w:sz w:val="22"/>
        </w:rPr>
        <w:t xml:space="preserve">Lundberg, S. M., &amp; Lee, S.-I. (2017). A unified approach to interpreting model predictions. In </w:t>
      </w:r>
      <w:r>
        <w:rPr>
          <w:rFonts w:ascii="Times New Roman" w:hAnsi="Times New Roman" w:eastAsia="Times New Roman"/>
          <w:b w:val="0"/>
          <w:i/>
          <w:sz w:val="22"/>
        </w:rPr>
        <w:t>Advances in Neural Information Processing Systems 30 (NeurIPS 2017)</w:t>
      </w:r>
      <w:r>
        <w:rPr>
          <w:rFonts w:ascii="Times New Roman" w:hAnsi="Times New Roman" w:eastAsia="Times New Roman"/>
          <w:b w:val="0"/>
          <w:i w:val="0"/>
          <w:sz w:val="22"/>
        </w:rPr>
        <w:t>. https://proceedings.neurips.cc/paper_files/paper/2017/hash/8a20a8621978632d76c43dfd28b67767-Abstract.html</w:t>
      </w:r>
    </w:p>
    <w:p>
      <w:pPr>
        <w:spacing w:after="200" w:line="360" w:lineRule="auto"/>
        <w:ind w:left="720" w:hanging="720"/>
      </w:pPr>
      <w:r>
        <w:rPr>
          <w:rFonts w:ascii="Times New Roman" w:hAnsi="Times New Roman" w:eastAsia="Times New Roman"/>
          <w:b w:val="0"/>
          <w:i w:val="0"/>
          <w:sz w:val="22"/>
        </w:rPr>
        <w:t xml:space="preserve">Marchese, A., &amp; Tomarchio, O. (2022). A blockchain-based system for agri-food supply chain traceability management. </w:t>
      </w:r>
      <w:r>
        <w:rPr>
          <w:rFonts w:ascii="Times New Roman" w:hAnsi="Times New Roman" w:eastAsia="Times New Roman"/>
          <w:b w:val="0"/>
          <w:i/>
          <w:sz w:val="22"/>
        </w:rPr>
        <w:t>SN Computer Science, 3</w:t>
      </w:r>
      <w:r>
        <w:rPr>
          <w:rFonts w:ascii="Times New Roman" w:hAnsi="Times New Roman" w:eastAsia="Times New Roman"/>
          <w:b w:val="0"/>
          <w:i w:val="0"/>
          <w:sz w:val="22"/>
        </w:rPr>
        <w:t>(6). https://doi.org/10.1007/s42979-022-01148-3</w:t>
      </w:r>
    </w:p>
    <w:p>
      <w:pPr>
        <w:spacing w:after="200" w:line="360" w:lineRule="auto"/>
        <w:ind w:left="720" w:hanging="720"/>
      </w:pPr>
      <w:r>
        <w:rPr>
          <w:rFonts w:ascii="Times New Roman" w:hAnsi="Times New Roman" w:eastAsia="Times New Roman"/>
          <w:b w:val="0"/>
          <w:i w:val="0"/>
          <w:sz w:val="22"/>
        </w:rPr>
        <w:t xml:space="preserve">Mathematical Problems in Engineering. (2022). Analysis of agricultural products supply chain traceability system based on Internet of Things and blockchain. </w:t>
      </w:r>
      <w:r>
        <w:rPr>
          <w:rFonts w:ascii="Times New Roman" w:hAnsi="Times New Roman" w:eastAsia="Times New Roman"/>
          <w:b w:val="0"/>
          <w:i/>
          <w:sz w:val="22"/>
        </w:rPr>
        <w:t>Mathematical Problems in Engineering, 2022</w:t>
      </w:r>
      <w:r>
        <w:rPr>
          <w:rFonts w:ascii="Times New Roman" w:hAnsi="Times New Roman" w:eastAsia="Times New Roman"/>
          <w:b w:val="0"/>
          <w:i w:val="0"/>
          <w:sz w:val="22"/>
        </w:rPr>
        <w:t>, Article 3162871. https://doi.org/10.1155/2022/3162871</w:t>
      </w:r>
    </w:p>
    <w:p>
      <w:pPr>
        <w:spacing w:after="200" w:line="360" w:lineRule="auto"/>
        <w:ind w:left="720" w:hanging="720"/>
      </w:pPr>
      <w:r>
        <w:rPr>
          <w:rFonts w:ascii="Times New Roman" w:hAnsi="Times New Roman" w:eastAsia="Times New Roman"/>
          <w:b w:val="0"/>
          <w:i w:val="0"/>
          <w:sz w:val="22"/>
        </w:rPr>
        <w:t xml:space="preserve">Miljkovic, T., &amp; Wang, P. (2024). A dimension reduction assisted credit scoring method for big data with categorical features. </w:t>
      </w:r>
      <w:r>
        <w:rPr>
          <w:rFonts w:ascii="Times New Roman" w:hAnsi="Times New Roman" w:eastAsia="Times New Roman"/>
          <w:b w:val="0"/>
          <w:i/>
          <w:sz w:val="22"/>
        </w:rPr>
        <w:t>Financial Innovation, 11</w:t>
      </w:r>
      <w:r>
        <w:rPr>
          <w:rFonts w:ascii="Times New Roman" w:hAnsi="Times New Roman" w:eastAsia="Times New Roman"/>
          <w:b w:val="0"/>
          <w:i w:val="0"/>
          <w:sz w:val="22"/>
        </w:rPr>
        <w:t>(1), 1–30. https://doi.org/10.1186/s40854-024-00689-1</w:t>
      </w:r>
    </w:p>
    <w:p>
      <w:pPr>
        <w:spacing w:after="200" w:line="360" w:lineRule="auto"/>
        <w:ind w:left="720" w:hanging="720"/>
      </w:pPr>
      <w:r>
        <w:rPr>
          <w:rFonts w:ascii="Times New Roman" w:hAnsi="Times New Roman" w:eastAsia="Times New Roman"/>
          <w:b w:val="0"/>
          <w:i w:val="0"/>
          <w:sz w:val="22"/>
        </w:rPr>
        <w:t xml:space="preserve">Nallakaruppan, M. K., Balusamy, B., Shri, M. L., Malathi, V., &amp; Bhattacharyya, S. (2024). An explainable AI framework for credit evaluation and analysis. </w:t>
      </w:r>
      <w:r>
        <w:rPr>
          <w:rFonts w:ascii="Times New Roman" w:hAnsi="Times New Roman" w:eastAsia="Times New Roman"/>
          <w:b w:val="0"/>
          <w:i/>
          <w:sz w:val="22"/>
        </w:rPr>
        <w:t>Applied Soft Computing</w:t>
      </w:r>
      <w:r>
        <w:rPr>
          <w:rFonts w:ascii="Times New Roman" w:hAnsi="Times New Roman" w:eastAsia="Times New Roman"/>
          <w:b w:val="0"/>
          <w:i w:val="0"/>
          <w:sz w:val="22"/>
        </w:rPr>
        <w:t>, Article 111307. https://doi.org/10.1016/j.asoc.2024.111307</w:t>
      </w:r>
    </w:p>
    <w:p>
      <w:pPr>
        <w:spacing w:after="200" w:line="360" w:lineRule="auto"/>
        <w:ind w:left="720" w:hanging="720"/>
      </w:pPr>
      <w:r>
        <w:rPr>
          <w:rFonts w:ascii="Times New Roman" w:hAnsi="Times New Roman" w:eastAsia="Times New Roman"/>
          <w:b w:val="0"/>
          <w:i w:val="0"/>
          <w:sz w:val="22"/>
        </w:rPr>
        <w:t xml:space="preserve">Neural Computing and Applications. (2024). Streamlit-based enhancing crop recommendation systems with advanced explainable artificial intelligence for smart farming. </w:t>
      </w:r>
      <w:r>
        <w:rPr>
          <w:rFonts w:ascii="Times New Roman" w:hAnsi="Times New Roman" w:eastAsia="Times New Roman"/>
          <w:b w:val="0"/>
          <w:i/>
          <w:sz w:val="22"/>
        </w:rPr>
        <w:t>Neural Computing and Applications</w:t>
      </w:r>
      <w:r>
        <w:rPr>
          <w:rFonts w:ascii="Times New Roman" w:hAnsi="Times New Roman" w:eastAsia="Times New Roman"/>
          <w:b w:val="0"/>
          <w:i w:val="0"/>
          <w:sz w:val="22"/>
        </w:rPr>
        <w:t>. Springer. https://doi.org/10.1007/s00521-024-10208-z</w:t>
      </w:r>
    </w:p>
    <w:p>
      <w:pPr>
        <w:spacing w:after="200" w:line="360" w:lineRule="auto"/>
        <w:ind w:left="720" w:hanging="720"/>
      </w:pPr>
      <w:r>
        <w:rPr>
          <w:rFonts w:ascii="Times New Roman" w:hAnsi="Times New Roman" w:eastAsia="Times New Roman"/>
          <w:b w:val="0"/>
          <w:i w:val="0"/>
          <w:sz w:val="22"/>
        </w:rPr>
        <w:t xml:space="preserve">Okello, S., Mose, G. N., &amp; Ngigi, M. (2026). Analysis of current landscape and emerging trends in digital agricultural extension services among smallholder farmers in Kenya. </w:t>
      </w:r>
      <w:r>
        <w:rPr>
          <w:rFonts w:ascii="Times New Roman" w:hAnsi="Times New Roman" w:eastAsia="Times New Roman"/>
          <w:b w:val="0"/>
          <w:i/>
          <w:sz w:val="22"/>
        </w:rPr>
        <w:t>East African Journal of Agriculture and Biotechnology, 9</w:t>
      </w:r>
      <w:r>
        <w:rPr>
          <w:rFonts w:ascii="Times New Roman" w:hAnsi="Times New Roman" w:eastAsia="Times New Roman"/>
          <w:b w:val="0"/>
          <w:i w:val="0"/>
          <w:sz w:val="22"/>
        </w:rPr>
        <w:t>(2). https://journals.eanso.org/index.php/eajab/article/view/5430</w:t>
      </w:r>
    </w:p>
    <w:p>
      <w:pPr>
        <w:spacing w:after="200" w:line="360" w:lineRule="auto"/>
        <w:ind w:left="720" w:hanging="720"/>
      </w:pPr>
      <w:r>
        <w:rPr>
          <w:rFonts w:ascii="Times New Roman" w:hAnsi="Times New Roman" w:eastAsia="Times New Roman"/>
          <w:b w:val="0"/>
          <w:i w:val="0"/>
          <w:sz w:val="22"/>
        </w:rPr>
        <w:t xml:space="preserve">Pandey, S. R., Nguyen, L. D., &amp; Popovski, P. (2022). </w:t>
      </w:r>
      <w:r>
        <w:rPr>
          <w:rFonts w:ascii="Times New Roman" w:hAnsi="Times New Roman" w:eastAsia="Times New Roman"/>
          <w:b w:val="0"/>
          <w:i/>
          <w:sz w:val="22"/>
        </w:rPr>
        <w:t>FedToken: Tokenized incentives for data contribution in federated learning</w:t>
      </w:r>
      <w:r>
        <w:rPr>
          <w:rFonts w:ascii="Times New Roman" w:hAnsi="Times New Roman" w:eastAsia="Times New Roman"/>
          <w:b w:val="0"/>
          <w:i w:val="0"/>
          <w:sz w:val="22"/>
        </w:rPr>
        <w:t xml:space="preserve"> (arXiv:2209.09775). arXiv. https://arxiv.org/abs/2209.09775</w:t>
      </w:r>
    </w:p>
    <w:p>
      <w:pPr>
        <w:spacing w:after="200" w:line="360" w:lineRule="auto"/>
        <w:ind w:left="720" w:hanging="720"/>
      </w:pPr>
      <w:r>
        <w:rPr>
          <w:rFonts w:ascii="Times New Roman" w:hAnsi="Times New Roman" w:eastAsia="Times New Roman"/>
          <w:b w:val="0"/>
          <w:i w:val="0"/>
          <w:sz w:val="22"/>
        </w:rPr>
        <w:t xml:space="preserve">Ribeiro, M. T., Singh, S., &amp; Guestrin, C. (2016). "Why should I trust you?": Explaining the predictions of any classifier. In </w:t>
      </w:r>
      <w:r>
        <w:rPr>
          <w:rFonts w:ascii="Times New Roman" w:hAnsi="Times New Roman" w:eastAsia="Times New Roman"/>
          <w:b w:val="0"/>
          <w:i/>
          <w:sz w:val="22"/>
        </w:rPr>
        <w:t>Proceedings of the 22nd ACM SIGKDD International Conference on Knowledge Discovery and Data Mining</w:t>
      </w:r>
      <w:r>
        <w:rPr>
          <w:rFonts w:ascii="Times New Roman" w:hAnsi="Times New Roman" w:eastAsia="Times New Roman"/>
          <w:b w:val="0"/>
          <w:i w:val="0"/>
          <w:sz w:val="22"/>
        </w:rPr>
        <w:t xml:space="preserve"> (pp. 1135–1144). ACM. https://doi.org/10.1145/2939672.2939778</w:t>
      </w:r>
    </w:p>
    <w:p>
      <w:pPr>
        <w:spacing w:after="200" w:line="360" w:lineRule="auto"/>
        <w:ind w:left="720" w:hanging="720"/>
      </w:pPr>
      <w:r>
        <w:rPr>
          <w:rFonts w:ascii="Times New Roman" w:hAnsi="Times New Roman" w:eastAsia="Times New Roman"/>
          <w:b w:val="0"/>
          <w:i w:val="0"/>
          <w:sz w:val="22"/>
        </w:rPr>
        <w:t xml:space="preserve">Savoy, C. M. (2025). </w:t>
      </w:r>
      <w:r>
        <w:rPr>
          <w:rFonts w:ascii="Times New Roman" w:hAnsi="Times New Roman" w:eastAsia="Times New Roman"/>
          <w:b w:val="0"/>
          <w:i/>
          <w:sz w:val="22"/>
        </w:rPr>
        <w:t>Access to finance for smallholder farmers</w:t>
      </w:r>
      <w:r>
        <w:rPr>
          <w:rFonts w:ascii="Times New Roman" w:hAnsi="Times New Roman" w:eastAsia="Times New Roman"/>
          <w:b w:val="0"/>
          <w:i w:val="0"/>
          <w:sz w:val="22"/>
        </w:rPr>
        <w:t>. Center for Strategic and International Studies, Project on Prosperity and Development. https://www.csis.org/analysis/access-finance-smallholder-farmers</w:t>
      </w:r>
    </w:p>
    <w:p>
      <w:pPr>
        <w:spacing w:after="200" w:line="360" w:lineRule="auto"/>
        <w:ind w:left="720" w:hanging="720"/>
      </w:pPr>
      <w:r>
        <w:rPr>
          <w:rFonts w:ascii="Times New Roman" w:hAnsi="Times New Roman" w:eastAsia="Times New Roman"/>
          <w:b w:val="0"/>
          <w:i w:val="0"/>
          <w:sz w:val="22"/>
        </w:rPr>
        <w:t xml:space="preserve">Shitaye, Z., Embyale, M. A., Nega, T. A., Gidelew, G. E., &amp; Mohammed, M. (2026). Artificial intelligence in East African agriculture: A systematic review of applications, adoption, and implications for smallholder farmers. </w:t>
      </w:r>
      <w:r>
        <w:rPr>
          <w:rFonts w:ascii="Times New Roman" w:hAnsi="Times New Roman" w:eastAsia="Times New Roman"/>
          <w:b w:val="0"/>
          <w:i/>
          <w:sz w:val="22"/>
        </w:rPr>
        <w:t>The Scientific World Journal, 2026</w:t>
      </w:r>
      <w:r>
        <w:rPr>
          <w:rFonts w:ascii="Times New Roman" w:hAnsi="Times New Roman" w:eastAsia="Times New Roman"/>
          <w:b w:val="0"/>
          <w:i w:val="0"/>
          <w:sz w:val="22"/>
        </w:rPr>
        <w:t>, Article 5128133. https://pmc.ncbi.nlm.nih.gov/articles/PMC13277772/</w:t>
      </w:r>
    </w:p>
    <w:p>
      <w:pPr>
        <w:spacing w:after="200" w:line="360" w:lineRule="auto"/>
        <w:ind w:left="720" w:hanging="720"/>
      </w:pPr>
      <w:r>
        <w:rPr>
          <w:rFonts w:ascii="Times New Roman" w:hAnsi="Times New Roman" w:eastAsia="Times New Roman"/>
          <w:b w:val="0"/>
          <w:i w:val="0"/>
          <w:sz w:val="22"/>
        </w:rPr>
        <w:t xml:space="preserve">Simumba, N., Okami, S., Kodaka, A., &amp; Kohtake, N. (2018). Alternative scoring factors using non-financial data for credit decisions in agricultural microfinance. In </w:t>
      </w:r>
      <w:r>
        <w:rPr>
          <w:rFonts w:ascii="Times New Roman" w:hAnsi="Times New Roman" w:eastAsia="Times New Roman"/>
          <w:b w:val="0"/>
          <w:i/>
          <w:sz w:val="22"/>
        </w:rPr>
        <w:t>Proceedings of the 4th IEEE International Symposium on Systems Engineering (ISSE 2018)</w:t>
      </w:r>
      <w:r>
        <w:rPr>
          <w:rFonts w:ascii="Times New Roman" w:hAnsi="Times New Roman" w:eastAsia="Times New Roman"/>
          <w:b w:val="0"/>
          <w:i w:val="0"/>
          <w:sz w:val="22"/>
        </w:rPr>
        <w:t>. IEEE. https://doi.org/10.1109/SysEng.2018.8544442</w:t>
      </w:r>
    </w:p>
    <w:p>
      <w:pPr>
        <w:spacing w:after="200" w:line="360" w:lineRule="auto"/>
        <w:ind w:left="720" w:hanging="720"/>
      </w:pPr>
      <w:r>
        <w:rPr>
          <w:rFonts w:ascii="Times New Roman" w:hAnsi="Times New Roman" w:eastAsia="Times New Roman"/>
          <w:b w:val="0"/>
          <w:i w:val="0"/>
          <w:sz w:val="22"/>
        </w:rPr>
        <w:t xml:space="preserve">Springer. (2025). Predictive modeling and factor analysis for crop yield using SHAP-based explainable AI. In </w:t>
      </w:r>
      <w:r>
        <w:rPr>
          <w:rFonts w:ascii="Times New Roman" w:hAnsi="Times New Roman" w:eastAsia="Times New Roman"/>
          <w:b w:val="0"/>
          <w:i/>
          <w:sz w:val="22"/>
        </w:rPr>
        <w:t>Springer Nature book series</w:t>
      </w:r>
      <w:r>
        <w:rPr>
          <w:rFonts w:ascii="Times New Roman" w:hAnsi="Times New Roman" w:eastAsia="Times New Roman"/>
          <w:b w:val="0"/>
          <w:i w:val="0"/>
          <w:sz w:val="22"/>
        </w:rPr>
        <w:t>. https://doi.org/10.1007/978-3-032-22292-3_18</w:t>
      </w:r>
    </w:p>
    <w:p>
      <w:pPr>
        <w:spacing w:after="200" w:line="360" w:lineRule="auto"/>
        <w:ind w:left="720" w:hanging="720"/>
      </w:pPr>
      <w:r>
        <w:rPr>
          <w:rFonts w:ascii="Times New Roman" w:hAnsi="Times New Roman" w:eastAsia="Times New Roman"/>
          <w:b w:val="0"/>
          <w:i w:val="0"/>
          <w:sz w:val="22"/>
        </w:rPr>
        <w:t xml:space="preserve">United Nations Development Programme. (2021). </w:t>
      </w:r>
      <w:r>
        <w:rPr>
          <w:rFonts w:ascii="Times New Roman" w:hAnsi="Times New Roman" w:eastAsia="Times New Roman"/>
          <w:b w:val="0"/>
          <w:i/>
          <w:sz w:val="22"/>
        </w:rPr>
        <w:t>Blockchain for agri-food traceability</w:t>
      </w:r>
      <w:r>
        <w:rPr>
          <w:rFonts w:ascii="Times New Roman" w:hAnsi="Times New Roman" w:eastAsia="Times New Roman"/>
          <w:b w:val="0"/>
          <w:i w:val="0"/>
          <w:sz w:val="22"/>
        </w:rPr>
        <w:t>. UNDP. https://www.undp.org/sites/g/files/zskgke326/files/2021-11/UNDP-Blockchain-for-Agri-Food-Traceability.pdf</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