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:rsidTr="003A19B8">
        <w:trPr>
          <w:cantSplit/>
          <w:trHeight w:val="508"/>
        </w:trPr>
        <w:tc>
          <w:tcPr>
            <w:tcW w:w="2439" w:type="pct"/>
          </w:tcPr>
          <w:p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6DF92768" wp14:editId="3BF241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B1A45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:rsidTr="003A19B8">
        <w:trPr>
          <w:cantSplit/>
          <w:trHeight w:val="508"/>
        </w:trPr>
        <w:tc>
          <w:tcPr>
            <w:tcW w:w="2439" w:type="pct"/>
          </w:tcPr>
          <w:p w:rsidR="003B73F1" w:rsidRPr="00CF5DE5" w:rsidRDefault="00226F83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需求说明书</w:t>
            </w:r>
          </w:p>
        </w:tc>
        <w:tc>
          <w:tcPr>
            <w:tcW w:w="2561" w:type="pct"/>
          </w:tcPr>
          <w:p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:rsidTr="003A19B8">
        <w:trPr>
          <w:cantSplit/>
          <w:trHeight w:val="508"/>
        </w:trPr>
        <w:tc>
          <w:tcPr>
            <w:tcW w:w="2439" w:type="pct"/>
          </w:tcPr>
          <w:p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:rsidR="003B73F1" w:rsidRPr="00CF5DE5" w:rsidRDefault="003B73F1" w:rsidP="003B381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3B3814">
              <w:rPr>
                <w:rFonts w:ascii="微软雅黑" w:eastAsia="微软雅黑" w:hAnsi="微软雅黑"/>
              </w:rPr>
              <w:t>1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:rsidTr="003A19B8">
        <w:trPr>
          <w:cantSplit/>
          <w:trHeight w:val="196"/>
        </w:trPr>
        <w:tc>
          <w:tcPr>
            <w:tcW w:w="2439" w:type="pct"/>
          </w:tcPr>
          <w:p w:rsidR="003B73F1" w:rsidRPr="00CF5DE5" w:rsidRDefault="00226F83" w:rsidP="003B381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V100R001</w:t>
            </w:r>
            <w:r w:rsidR="0005752A">
              <w:rPr>
                <w:rFonts w:ascii="微软雅黑" w:eastAsia="微软雅黑" w:hAnsi="微软雅黑"/>
              </w:rPr>
              <w:t>C</w:t>
            </w:r>
            <w:r w:rsidR="003B3814"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2561" w:type="pct"/>
            <w:vMerge/>
          </w:tcPr>
          <w:p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A69BEBB" wp14:editId="42B503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82293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:rsidR="00AA1865" w:rsidRDefault="00AA1865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:rsidR="008E6B37" w:rsidRPr="003A19B8" w:rsidRDefault="0005752A" w:rsidP="003A19B8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cs="黑体"/>
          <w:b/>
          <w:sz w:val="44"/>
          <w:szCs w:val="44"/>
        </w:rPr>
        <w:t>“</w:t>
      </w:r>
      <w:r>
        <w:rPr>
          <w:rFonts w:ascii="微软雅黑" w:eastAsia="微软雅黑" w:hAnsi="微软雅黑" w:cs="黑体" w:hint="eastAsia"/>
          <w:b/>
          <w:sz w:val="44"/>
          <w:szCs w:val="44"/>
        </w:rPr>
        <w:t>国电</w:t>
      </w:r>
      <w:r>
        <w:rPr>
          <w:rFonts w:ascii="微软雅黑" w:eastAsia="微软雅黑" w:hAnsi="微软雅黑" w:cs="黑体"/>
          <w:b/>
          <w:sz w:val="44"/>
          <w:szCs w:val="44"/>
        </w:rPr>
        <w:t>煤炭交易平台”</w:t>
      </w:r>
      <w:r w:rsidR="00AF7CF9" w:rsidRPr="00AA1865">
        <w:rPr>
          <w:rFonts w:ascii="微软雅黑" w:eastAsia="微软雅黑" w:hAnsi="微软雅黑" w:cs="黑体"/>
          <w:b/>
          <w:sz w:val="44"/>
          <w:szCs w:val="44"/>
        </w:rPr>
        <w:t>需求说明书</w:t>
      </w:r>
    </w:p>
    <w:p w:rsidR="003A19B8" w:rsidRPr="000C4076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:rsidR="00297790" w:rsidRPr="0005752A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1D2101" w:rsidRDefault="001D2101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1D2101" w:rsidRDefault="001D2101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1D2101" w:rsidRPr="003A19B8" w:rsidRDefault="001D2101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1D2101" w:rsidTr="001100D0">
        <w:trPr>
          <w:trHeight w:val="306"/>
        </w:trPr>
        <w:tc>
          <w:tcPr>
            <w:tcW w:w="1555" w:type="dxa"/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1D2101" w:rsidRPr="0086372F" w:rsidRDefault="0005752A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王彬</w:t>
            </w:r>
          </w:p>
        </w:tc>
        <w:tc>
          <w:tcPr>
            <w:tcW w:w="1407" w:type="dxa"/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:rsidR="001D2101" w:rsidRPr="0086372F" w:rsidRDefault="0005752A" w:rsidP="003B3814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2018/08/</w:t>
            </w:r>
            <w:r w:rsidR="003B3814">
              <w:rPr>
                <w:rFonts w:ascii="微软雅黑" w:eastAsia="微软雅黑" w:hAnsi="微软雅黑"/>
                <w:kern w:val="2"/>
                <w:sz w:val="32"/>
                <w:szCs w:val="28"/>
              </w:rPr>
              <w:t>23</w:t>
            </w:r>
          </w:p>
        </w:tc>
      </w:tr>
      <w:tr w:rsidR="001D2101" w:rsidTr="001100D0">
        <w:tc>
          <w:tcPr>
            <w:tcW w:w="1555" w:type="dxa"/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  <w:tr w:rsidR="001D2101" w:rsidTr="001100D0">
        <w:tc>
          <w:tcPr>
            <w:tcW w:w="1555" w:type="dxa"/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2101" w:rsidRPr="0086372F" w:rsidRDefault="001D2101" w:rsidP="001100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</w:tbl>
    <w:p w:rsidR="003A19B8" w:rsidRPr="00E14249" w:rsidRDefault="003A19B8" w:rsidP="003A19B8">
      <w:pPr>
        <w:jc w:val="center"/>
      </w:pPr>
    </w:p>
    <w:p w:rsidR="003A19B8" w:rsidRPr="003A19B8" w:rsidRDefault="003A19B8" w:rsidP="003A19B8">
      <w:pPr>
        <w:jc w:val="center"/>
      </w:pPr>
    </w:p>
    <w:p w:rsidR="00297790" w:rsidRPr="003A19B8" w:rsidRDefault="00B1219B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 w:rsidRPr="003A19B8">
        <w:rPr>
          <w:rFonts w:ascii="微软雅黑" w:eastAsia="微软雅黑" w:hAnsi="微软雅黑" w:hint="eastAsia"/>
          <w:b/>
          <w:sz w:val="32"/>
        </w:rPr>
        <w:t>软通动力</w:t>
      </w:r>
      <w:r w:rsidR="00297790" w:rsidRPr="003A19B8">
        <w:rPr>
          <w:rFonts w:ascii="微软雅黑" w:eastAsia="微软雅黑" w:hAnsi="微软雅黑" w:hint="eastAsia"/>
          <w:b/>
          <w:sz w:val="32"/>
        </w:rPr>
        <w:t>技术</w:t>
      </w:r>
      <w:r w:rsidRPr="003A19B8">
        <w:rPr>
          <w:rFonts w:ascii="微软雅黑" w:eastAsia="微软雅黑" w:hAnsi="微软雅黑" w:hint="eastAsia"/>
          <w:b/>
          <w:sz w:val="32"/>
        </w:rPr>
        <w:t>服务</w:t>
      </w:r>
      <w:r w:rsidR="00297790" w:rsidRPr="003A19B8">
        <w:rPr>
          <w:rFonts w:ascii="微软雅黑" w:eastAsia="微软雅黑" w:hAnsi="微软雅黑" w:hint="eastAsia"/>
          <w:b/>
          <w:sz w:val="32"/>
        </w:rPr>
        <w:t>有限公司</w:t>
      </w:r>
      <w:bookmarkEnd w:id="0"/>
    </w:p>
    <w:p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417"/>
        <w:gridCol w:w="4536"/>
        <w:gridCol w:w="1617"/>
      </w:tblGrid>
      <w:tr w:rsidR="00D677AF" w:rsidRPr="00CF5DE5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CF5DE5" w:rsidRDefault="003B3135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主要编写</w:t>
            </w:r>
            <w:r w:rsidR="00D677AF" w:rsidRPr="00CF5DE5">
              <w:rPr>
                <w:rFonts w:hint="eastAsia"/>
                <w:b/>
                <w:sz w:val="24"/>
                <w:lang w:val="en-GB"/>
              </w:rPr>
              <w:t>人</w:t>
            </w:r>
          </w:p>
        </w:tc>
      </w:tr>
      <w:tr w:rsidR="00D677AF" w:rsidRPr="00CF5DE5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CF5DE5" w:rsidRDefault="0005752A" w:rsidP="00222C42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2018/08/</w:t>
            </w:r>
            <w:r w:rsidR="00222C42">
              <w:rPr>
                <w:sz w:val="20"/>
                <w:lang w:val="en-GB"/>
              </w:rPr>
              <w:t>23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7AF" w:rsidRPr="00FE523A" w:rsidRDefault="006C7410" w:rsidP="00226F83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 w:rsidRPr="00FE523A">
              <w:rPr>
                <w:rFonts w:hint="eastAsia"/>
                <w:sz w:val="18"/>
                <w:szCs w:val="18"/>
                <w:lang w:val="en-GB"/>
              </w:rPr>
              <w:t>初稿</w:t>
            </w:r>
            <w:r w:rsidR="00226F83" w:rsidRPr="00FE523A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35" w:rsidRPr="00FE523A" w:rsidRDefault="0005752A" w:rsidP="00CF5DE5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 w:rsidRPr="00FE523A">
              <w:rPr>
                <w:rFonts w:hint="eastAsia"/>
                <w:sz w:val="18"/>
                <w:szCs w:val="18"/>
                <w:lang w:val="en-GB"/>
              </w:rPr>
              <w:t>王彬</w:t>
            </w:r>
            <w:r w:rsidRPr="00FE523A">
              <w:rPr>
                <w:rFonts w:hint="eastAsia"/>
                <w:sz w:val="18"/>
                <w:szCs w:val="18"/>
                <w:lang w:val="en-GB"/>
              </w:rPr>
              <w:t xml:space="preserve"> 608646</w:t>
            </w:r>
          </w:p>
        </w:tc>
      </w:tr>
      <w:tr w:rsidR="00867520" w:rsidRPr="00CF5DE5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520" w:rsidRPr="00CF5DE5" w:rsidRDefault="006F67DD" w:rsidP="00CF5DE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520" w:rsidRPr="00CF5DE5" w:rsidRDefault="006F67DD" w:rsidP="00222C42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GB"/>
              </w:rPr>
              <w:t>2018/08/</w:t>
            </w:r>
            <w:r w:rsidR="00222C42">
              <w:rPr>
                <w:sz w:val="20"/>
                <w:lang w:val="en-GB"/>
              </w:rPr>
              <w:t>24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23A" w:rsidRPr="00222C42" w:rsidRDefault="00076CE2" w:rsidP="00222C42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增加</w:t>
            </w:r>
            <w:r>
              <w:rPr>
                <w:rFonts w:hint="eastAsia"/>
                <w:sz w:val="18"/>
                <w:szCs w:val="18"/>
                <w:lang w:val="en-GB"/>
              </w:rPr>
              <w:t>6.5</w:t>
            </w:r>
            <w:r>
              <w:rPr>
                <w:rFonts w:hint="eastAsia"/>
                <w:sz w:val="18"/>
                <w:szCs w:val="18"/>
                <w:lang w:val="en-GB"/>
              </w:rPr>
              <w:t>部分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520" w:rsidRPr="00FE523A" w:rsidRDefault="006F67DD" w:rsidP="00CF5DE5">
            <w:pPr>
              <w:spacing w:after="0" w:line="240" w:lineRule="auto"/>
              <w:rPr>
                <w:sz w:val="18"/>
                <w:szCs w:val="18"/>
              </w:rPr>
            </w:pPr>
            <w:r w:rsidRPr="00FE523A">
              <w:rPr>
                <w:rFonts w:hint="eastAsia"/>
                <w:sz w:val="18"/>
                <w:szCs w:val="18"/>
                <w:lang w:val="en-GB"/>
              </w:rPr>
              <w:t>王彬</w:t>
            </w:r>
            <w:r w:rsidRPr="00FE523A">
              <w:rPr>
                <w:rFonts w:hint="eastAsia"/>
                <w:sz w:val="18"/>
                <w:szCs w:val="18"/>
                <w:lang w:val="en-GB"/>
              </w:rPr>
              <w:t xml:space="preserve"> 608646</w:t>
            </w:r>
          </w:p>
        </w:tc>
      </w:tr>
      <w:tr w:rsidR="00AD6D16" w:rsidRPr="00CF5DE5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D16" w:rsidRPr="00CF5DE5" w:rsidRDefault="0084530C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1.2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D16" w:rsidRPr="00CF5DE5" w:rsidRDefault="0084530C" w:rsidP="00CF5DE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2018/08/27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D16" w:rsidRDefault="0084530C" w:rsidP="0084530C">
            <w:pPr>
              <w:pStyle w:val="af"/>
              <w:numPr>
                <w:ilvl w:val="0"/>
                <w:numId w:val="45"/>
              </w:numPr>
              <w:spacing w:after="0" w:line="240" w:lineRule="auto"/>
              <w:ind w:firstLineChars="0"/>
              <w:rPr>
                <w:sz w:val="18"/>
                <w:szCs w:val="18"/>
                <w:lang w:val="en-GB"/>
              </w:rPr>
            </w:pPr>
            <w:r w:rsidRPr="0084530C">
              <w:rPr>
                <w:rFonts w:hint="eastAsia"/>
                <w:sz w:val="18"/>
                <w:szCs w:val="18"/>
                <w:lang w:val="en-GB"/>
              </w:rPr>
              <w:t>6.2</w:t>
            </w:r>
            <w:r w:rsidRPr="0084530C">
              <w:rPr>
                <w:rFonts w:hint="eastAsia"/>
                <w:sz w:val="18"/>
                <w:szCs w:val="18"/>
                <w:lang w:val="en-GB"/>
              </w:rPr>
              <w:t>部分</w:t>
            </w:r>
            <w:r w:rsidRPr="0084530C">
              <w:rPr>
                <w:sz w:val="18"/>
                <w:szCs w:val="18"/>
                <w:lang w:val="en-GB"/>
              </w:rPr>
              <w:t>标题改为</w:t>
            </w:r>
            <w:r w:rsidRPr="0084530C">
              <w:rPr>
                <w:sz w:val="18"/>
                <w:szCs w:val="18"/>
                <w:lang w:val="en-GB"/>
              </w:rPr>
              <w:t>“</w:t>
            </w:r>
            <w:r w:rsidRPr="0084530C">
              <w:rPr>
                <w:rFonts w:hint="eastAsia"/>
                <w:sz w:val="18"/>
                <w:szCs w:val="18"/>
                <w:lang w:val="en-GB"/>
              </w:rPr>
              <w:t>交易保证金……</w:t>
            </w:r>
            <w:r w:rsidRPr="0084530C">
              <w:rPr>
                <w:sz w:val="18"/>
                <w:szCs w:val="18"/>
                <w:lang w:val="en-GB"/>
              </w:rPr>
              <w:t>”</w:t>
            </w:r>
          </w:p>
          <w:p w:rsidR="0084530C" w:rsidRPr="0084530C" w:rsidRDefault="0084530C" w:rsidP="0084530C">
            <w:pPr>
              <w:pStyle w:val="af"/>
              <w:numPr>
                <w:ilvl w:val="0"/>
                <w:numId w:val="45"/>
              </w:numPr>
              <w:spacing w:after="0" w:line="240" w:lineRule="auto"/>
              <w:ind w:firstLineChars="0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更新</w:t>
            </w:r>
            <w:r>
              <w:rPr>
                <w:sz w:val="18"/>
                <w:szCs w:val="18"/>
                <w:lang w:val="en-GB"/>
              </w:rPr>
              <w:t>目录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D16" w:rsidRPr="0084530C" w:rsidRDefault="0084530C" w:rsidP="0084530C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王彬</w:t>
            </w:r>
            <w:r>
              <w:rPr>
                <w:rFonts w:hint="eastAsia"/>
                <w:sz w:val="18"/>
                <w:szCs w:val="18"/>
                <w:lang w:val="en-GB"/>
              </w:rPr>
              <w:t xml:space="preserve"> 60</w:t>
            </w:r>
            <w:r>
              <w:rPr>
                <w:sz w:val="18"/>
                <w:szCs w:val="18"/>
                <w:lang w:val="en-GB"/>
              </w:rPr>
              <w:t>8</w:t>
            </w:r>
            <w:r>
              <w:rPr>
                <w:rFonts w:hint="eastAsia"/>
                <w:sz w:val="18"/>
                <w:szCs w:val="18"/>
                <w:lang w:val="en-GB"/>
              </w:rPr>
              <w:t>646</w:t>
            </w:r>
          </w:p>
        </w:tc>
      </w:tr>
      <w:tr w:rsidR="0003328D" w:rsidRPr="00CF5DE5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28D" w:rsidRPr="006F67DD" w:rsidRDefault="0003328D" w:rsidP="00CF5DE5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28D" w:rsidRPr="00CF5DE5" w:rsidRDefault="0003328D" w:rsidP="00CF5DE5">
            <w:pPr>
              <w:spacing w:after="0" w:line="240" w:lineRule="auto"/>
            </w:pPr>
          </w:p>
        </w:tc>
      </w:tr>
    </w:tbl>
    <w:p w:rsidR="008E6B37" w:rsidRDefault="008E6B37" w:rsidP="008E6B37">
      <w:pPr>
        <w:pStyle w:val="a3"/>
        <w:rPr>
          <w:b/>
          <w:bCs/>
        </w:rPr>
      </w:pPr>
    </w:p>
    <w:p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:rsidR="00C4001B" w:rsidRDefault="003A19B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4001B" w:rsidRPr="00D34485">
            <w:rPr>
              <w:rStyle w:val="ae"/>
              <w:noProof/>
            </w:rPr>
            <w:fldChar w:fldCharType="begin"/>
          </w:r>
          <w:r w:rsidR="00C4001B" w:rsidRPr="00D34485">
            <w:rPr>
              <w:rStyle w:val="ae"/>
              <w:noProof/>
            </w:rPr>
            <w:instrText xml:space="preserve"> </w:instrText>
          </w:r>
          <w:r w:rsidR="00C4001B">
            <w:rPr>
              <w:noProof/>
            </w:rPr>
            <w:instrText>HYPERLINK \l "_Toc523127853"</w:instrText>
          </w:r>
          <w:r w:rsidR="00C4001B" w:rsidRPr="00D34485">
            <w:rPr>
              <w:rStyle w:val="ae"/>
              <w:noProof/>
            </w:rPr>
            <w:instrText xml:space="preserve"> </w:instrText>
          </w:r>
          <w:r w:rsidR="00C4001B" w:rsidRPr="00D34485">
            <w:rPr>
              <w:rStyle w:val="ae"/>
              <w:noProof/>
            </w:rPr>
          </w:r>
          <w:r w:rsidR="00C4001B" w:rsidRPr="00D34485">
            <w:rPr>
              <w:rStyle w:val="ae"/>
              <w:noProof/>
            </w:rPr>
            <w:fldChar w:fldCharType="separate"/>
          </w:r>
          <w:r w:rsidR="00C4001B" w:rsidRPr="00D34485">
            <w:rPr>
              <w:rStyle w:val="ae"/>
              <w:noProof/>
            </w:rPr>
            <w:t>1</w:t>
          </w:r>
          <w:r w:rsidR="00C4001B">
            <w:rPr>
              <w:noProof/>
              <w:kern w:val="2"/>
              <w:sz w:val="21"/>
            </w:rPr>
            <w:tab/>
          </w:r>
          <w:r w:rsidR="00C4001B" w:rsidRPr="00D34485">
            <w:rPr>
              <w:rStyle w:val="ae"/>
              <w:rFonts w:hint="eastAsia"/>
              <w:noProof/>
            </w:rPr>
            <w:t>研发背景</w:t>
          </w:r>
          <w:r w:rsidR="00C4001B">
            <w:rPr>
              <w:noProof/>
              <w:webHidden/>
            </w:rPr>
            <w:tab/>
          </w:r>
          <w:r w:rsidR="00C4001B">
            <w:rPr>
              <w:noProof/>
              <w:webHidden/>
            </w:rPr>
            <w:fldChar w:fldCharType="begin"/>
          </w:r>
          <w:r w:rsidR="00C4001B">
            <w:rPr>
              <w:noProof/>
              <w:webHidden/>
            </w:rPr>
            <w:instrText xml:space="preserve"> PAGEREF _Toc523127853 \h </w:instrText>
          </w:r>
          <w:r w:rsidR="00C4001B">
            <w:rPr>
              <w:noProof/>
              <w:webHidden/>
            </w:rPr>
          </w:r>
          <w:r w:rsidR="00C4001B">
            <w:rPr>
              <w:noProof/>
              <w:webHidden/>
            </w:rPr>
            <w:fldChar w:fldCharType="separate"/>
          </w:r>
          <w:r w:rsidR="00C4001B">
            <w:rPr>
              <w:noProof/>
              <w:webHidden/>
            </w:rPr>
            <w:t>5</w:t>
          </w:r>
          <w:r w:rsidR="00C4001B">
            <w:rPr>
              <w:noProof/>
              <w:webHidden/>
            </w:rPr>
            <w:fldChar w:fldCharType="end"/>
          </w:r>
          <w:r w:rsidR="00C4001B" w:rsidRPr="00D34485">
            <w:rPr>
              <w:rStyle w:val="ae"/>
              <w:noProof/>
            </w:rPr>
            <w:fldChar w:fldCharType="end"/>
          </w:r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54" w:history="1">
            <w:r w:rsidRPr="00D34485">
              <w:rPr>
                <w:rStyle w:val="ae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用户对象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55" w:history="1">
            <w:r w:rsidRPr="00D34485">
              <w:rPr>
                <w:rStyle w:val="ae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分发范围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56" w:history="1">
            <w:r w:rsidRPr="00D34485">
              <w:rPr>
                <w:rStyle w:val="ae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57" w:history="1">
            <w:r w:rsidRPr="00D34485">
              <w:rPr>
                <w:rStyle w:val="ae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58" w:history="1">
            <w:r w:rsidRPr="00D34485">
              <w:rPr>
                <w:rStyle w:val="ae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平台业务结构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59" w:history="1">
            <w:r w:rsidRPr="00D34485">
              <w:rPr>
                <w:rStyle w:val="ae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noProof/>
              </w:rPr>
              <w:t>“</w:t>
            </w:r>
            <w:r w:rsidRPr="00D34485">
              <w:rPr>
                <w:rStyle w:val="ae"/>
                <w:rFonts w:hint="eastAsia"/>
                <w:noProof/>
              </w:rPr>
              <w:t>用户资金预存</w:t>
            </w:r>
            <w:r w:rsidRPr="00D34485">
              <w:rPr>
                <w:rStyle w:val="ae"/>
                <w:noProof/>
              </w:rPr>
              <w:t>”</w:t>
            </w:r>
            <w:r w:rsidRPr="00D34485">
              <w:rPr>
                <w:rStyle w:val="ae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60" w:history="1">
            <w:r w:rsidRPr="00D34485">
              <w:rPr>
                <w:rStyle w:val="ae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noProof/>
              </w:rPr>
              <w:t>“</w:t>
            </w:r>
            <w:r w:rsidRPr="00D34485">
              <w:rPr>
                <w:rStyle w:val="ae"/>
                <w:rFonts w:hint="eastAsia"/>
                <w:noProof/>
              </w:rPr>
              <w:t>保证金缴纳</w:t>
            </w:r>
            <w:r w:rsidRPr="00D34485">
              <w:rPr>
                <w:rStyle w:val="ae"/>
                <w:noProof/>
              </w:rPr>
              <w:t>”</w:t>
            </w:r>
            <w:r w:rsidRPr="00D34485">
              <w:rPr>
                <w:rStyle w:val="ae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61" w:history="1">
            <w:r w:rsidRPr="00D34485">
              <w:rPr>
                <w:rStyle w:val="ae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62" w:history="1">
            <w:r w:rsidRPr="00D34485">
              <w:rPr>
                <w:rStyle w:val="ae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资金预存功能需求说明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63" w:history="1">
            <w:r w:rsidRPr="00D34485">
              <w:rPr>
                <w:rStyle w:val="ae"/>
                <w:noProof/>
              </w:rPr>
              <w:t>6.1.1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64" w:history="1">
            <w:r w:rsidRPr="00D34485">
              <w:rPr>
                <w:rStyle w:val="ae"/>
                <w:noProof/>
              </w:rPr>
              <w:t>6.1.2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65" w:history="1">
            <w:r w:rsidRPr="00D34485">
              <w:rPr>
                <w:rStyle w:val="ae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交易保证金台账功能需求说明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66" w:history="1">
            <w:r w:rsidRPr="00D34485">
              <w:rPr>
                <w:rStyle w:val="ae"/>
                <w:noProof/>
              </w:rPr>
              <w:t>6.2.1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67" w:history="1">
            <w:r w:rsidRPr="00D34485">
              <w:rPr>
                <w:rStyle w:val="ae"/>
                <w:noProof/>
              </w:rPr>
              <w:t>6.2.2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68" w:history="1">
            <w:r w:rsidRPr="00D34485">
              <w:rPr>
                <w:rStyle w:val="ae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保证金缴纳功能需求说明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69" w:history="1">
            <w:r w:rsidRPr="00D34485">
              <w:rPr>
                <w:rStyle w:val="ae"/>
                <w:noProof/>
              </w:rPr>
              <w:t>6.3.1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70" w:history="1">
            <w:r w:rsidRPr="00D34485">
              <w:rPr>
                <w:rStyle w:val="ae"/>
                <w:noProof/>
              </w:rPr>
              <w:t>6.3.2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71" w:history="1">
            <w:r w:rsidRPr="00D34485">
              <w:rPr>
                <w:rStyle w:val="ae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保证金台账功能需求说明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72" w:history="1">
            <w:r w:rsidRPr="00D34485">
              <w:rPr>
                <w:rStyle w:val="ae"/>
                <w:noProof/>
              </w:rPr>
              <w:t>6.4.1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73" w:history="1">
            <w:r w:rsidRPr="00D34485">
              <w:rPr>
                <w:rStyle w:val="ae"/>
                <w:noProof/>
              </w:rPr>
              <w:t>6.4.2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74" w:history="1">
            <w:r w:rsidRPr="00D34485">
              <w:rPr>
                <w:rStyle w:val="ae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工作界面整改需求说明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75" w:history="1">
            <w:r w:rsidRPr="00D34485">
              <w:rPr>
                <w:rStyle w:val="ae"/>
                <w:noProof/>
              </w:rPr>
              <w:t>6.5.1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3127876" w:history="1">
            <w:r w:rsidRPr="00D34485">
              <w:rPr>
                <w:rStyle w:val="ae"/>
                <w:noProof/>
              </w:rPr>
              <w:t>6.5.2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77" w:history="1">
            <w:r w:rsidRPr="00D34485">
              <w:rPr>
                <w:rStyle w:val="ae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78" w:history="1">
            <w:r w:rsidRPr="00D34485">
              <w:rPr>
                <w:rStyle w:val="ae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127879" w:history="1">
            <w:r w:rsidRPr="00D34485">
              <w:rPr>
                <w:rStyle w:val="ae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数据可靠性需求：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1B" w:rsidRDefault="00C4001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127880" w:history="1">
            <w:r w:rsidRPr="00D34485">
              <w:rPr>
                <w:rStyle w:val="ae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D34485">
              <w:rPr>
                <w:rStyle w:val="ae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:rsidR="003A19B8" w:rsidRDefault="003A19B8">
      <w:r>
        <w:br w:type="page"/>
      </w:r>
    </w:p>
    <w:p w:rsidR="00DF05D8" w:rsidRPr="00867520" w:rsidRDefault="00DF05D8" w:rsidP="00867520"/>
    <w:p w:rsidR="00FD6C09" w:rsidRDefault="00E14249" w:rsidP="00867520">
      <w:pPr>
        <w:pStyle w:val="1"/>
      </w:pPr>
      <w:bookmarkStart w:id="2" w:name="_Toc523127853"/>
      <w:r>
        <w:rPr>
          <w:rFonts w:hint="eastAsia"/>
        </w:rPr>
        <w:t>研发背景</w:t>
      </w:r>
      <w:bookmarkEnd w:id="2"/>
    </w:p>
    <w:p w:rsidR="008C6DAA" w:rsidRPr="008C6DAA" w:rsidRDefault="008C6DAA" w:rsidP="008C6DAA">
      <w:pPr>
        <w:ind w:firstLineChars="193" w:firstLine="425"/>
      </w:pPr>
      <w:r>
        <w:rPr>
          <w:rFonts w:hint="eastAsia"/>
        </w:rPr>
        <w:t>为</w:t>
      </w:r>
      <w:r w:rsidRPr="008C6DAA">
        <w:rPr>
          <w:rFonts w:hint="eastAsia"/>
        </w:rPr>
        <w:t>实现集团燃料集中管控</w:t>
      </w:r>
      <w:r w:rsidR="00835872">
        <w:rPr>
          <w:rFonts w:hint="eastAsia"/>
        </w:rPr>
        <w:t>并</w:t>
      </w:r>
      <w:r w:rsidRPr="008C6DAA">
        <w:rPr>
          <w:rFonts w:hint="eastAsia"/>
        </w:rPr>
        <w:t>燃料公司“一个通道，两个平台”战略发展布局</w:t>
      </w:r>
      <w:r>
        <w:rPr>
          <w:rFonts w:hint="eastAsia"/>
        </w:rPr>
        <w:t>，特启动</w:t>
      </w:r>
      <w:r>
        <w:t>煤炭交易平台研发项目</w:t>
      </w:r>
      <w:r w:rsidRPr="008C6DAA">
        <w:rPr>
          <w:rFonts w:hint="eastAsia"/>
        </w:rPr>
        <w:t>。</w:t>
      </w:r>
    </w:p>
    <w:p w:rsidR="008C6DAA" w:rsidRPr="008C6DAA" w:rsidRDefault="008C6DAA" w:rsidP="008C6DAA">
      <w:r w:rsidRPr="008C6DAA">
        <w:rPr>
          <w:rFonts w:hint="eastAsia"/>
        </w:rPr>
        <w:t xml:space="preserve">    </w:t>
      </w:r>
      <w:r w:rsidRPr="008C6DAA">
        <w:rPr>
          <w:rFonts w:hint="eastAsia"/>
        </w:rPr>
        <w:t>项目建设包括电子商务平台、供应链服务系统、金融服务系统的设计、开发、实施、应用，</w:t>
      </w:r>
      <w:r w:rsidRPr="008C6DAA">
        <w:rPr>
          <w:rFonts w:hint="eastAsia"/>
        </w:rPr>
        <w:t xml:space="preserve"> </w:t>
      </w:r>
      <w:r w:rsidRPr="008C6DAA">
        <w:rPr>
          <w:rFonts w:hint="eastAsia"/>
        </w:rPr>
        <w:t>平台将与内外部系统集成，形成面向集团内部的采购闭环集中管控系统。</w:t>
      </w:r>
    </w:p>
    <w:p w:rsidR="00E14249" w:rsidRPr="008C6DAA" w:rsidRDefault="008C6DAA" w:rsidP="008C6DAA">
      <w:r w:rsidRPr="008C6DAA">
        <w:rPr>
          <w:rFonts w:hint="eastAsia"/>
        </w:rPr>
        <w:t xml:space="preserve">     </w:t>
      </w:r>
      <w:r w:rsidRPr="008C6DAA">
        <w:rPr>
          <w:rFonts w:hint="eastAsia"/>
        </w:rPr>
        <w:t>同时，功能上形成以电商平台为主体，供应链服务和金融服务为“两翼”的格局，成为面向市场的交易、物流、金融综合服务平台。</w:t>
      </w:r>
    </w:p>
    <w:p w:rsidR="008E6B37" w:rsidRDefault="00E14249" w:rsidP="003A19B8">
      <w:pPr>
        <w:pStyle w:val="1"/>
      </w:pPr>
      <w:bookmarkStart w:id="3" w:name="_Toc523127854"/>
      <w:r>
        <w:rPr>
          <w:rFonts w:hint="eastAsia"/>
        </w:rPr>
        <w:t>用户对象</w:t>
      </w:r>
      <w:bookmarkEnd w:id="3"/>
    </w:p>
    <w:p w:rsidR="008C6DAA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煤炭</w:t>
      </w:r>
      <w:r>
        <w:t>生产企业；</w:t>
      </w:r>
    </w:p>
    <w:p w:rsidR="008C6DAA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国电集团</w:t>
      </w:r>
      <w:r>
        <w:t>下属各发电厂；</w:t>
      </w:r>
    </w:p>
    <w:p w:rsidR="008C6DAA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国电集团信息</w:t>
      </w:r>
      <w:r>
        <w:t>管理部</w:t>
      </w:r>
      <w:r>
        <w:rPr>
          <w:rFonts w:hint="eastAsia"/>
        </w:rPr>
        <w:t>；</w:t>
      </w:r>
    </w:p>
    <w:p w:rsidR="008C6DAA" w:rsidRPr="00E14249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国电</w:t>
      </w:r>
      <w:r>
        <w:t>集团监察部；</w:t>
      </w:r>
    </w:p>
    <w:p w:rsidR="00E14249" w:rsidRDefault="00DB7137" w:rsidP="003A19B8">
      <w:pPr>
        <w:pStyle w:val="1"/>
      </w:pPr>
      <w:bookmarkStart w:id="4" w:name="_Toc523127855"/>
      <w:r>
        <w:rPr>
          <w:rFonts w:hint="eastAsia"/>
        </w:rPr>
        <w:t>分发</w:t>
      </w:r>
      <w:r w:rsidR="00E14249">
        <w:rPr>
          <w:rFonts w:hint="eastAsia"/>
        </w:rPr>
        <w:t>范围</w:t>
      </w:r>
      <w:bookmarkEnd w:id="4"/>
    </w:p>
    <w:p w:rsidR="008C6DAA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国电集团“国电煤炭</w:t>
      </w:r>
      <w:r>
        <w:t>交易</w:t>
      </w:r>
      <w:r>
        <w:rPr>
          <w:rFonts w:hint="eastAsia"/>
        </w:rPr>
        <w:t>平台”项目</w:t>
      </w:r>
      <w:r>
        <w:t>管理部</w:t>
      </w:r>
      <w:r>
        <w:rPr>
          <w:rFonts w:hint="eastAsia"/>
        </w:rPr>
        <w:t>，系统</w:t>
      </w:r>
      <w:r>
        <w:t>软件事务组；</w:t>
      </w:r>
    </w:p>
    <w:p w:rsidR="008C6DAA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软通动力</w:t>
      </w:r>
      <w:r>
        <w:t>技术服务有</w:t>
      </w:r>
      <w:r w:rsidRPr="00835872">
        <w:rPr>
          <w:rFonts w:asciiTheme="minorEastAsia" w:hAnsiTheme="minorEastAsia"/>
        </w:rPr>
        <w:t>限公司“</w:t>
      </w:r>
      <w:r w:rsidRPr="00835872">
        <w:rPr>
          <w:rFonts w:asciiTheme="minorEastAsia" w:hAnsiTheme="minorEastAsia" w:hint="eastAsia"/>
        </w:rPr>
        <w:t>国电</w:t>
      </w:r>
      <w:r w:rsidRPr="00835872">
        <w:rPr>
          <w:rFonts w:asciiTheme="minorEastAsia" w:hAnsiTheme="minorEastAsia"/>
        </w:rPr>
        <w:t>煤炭交易平台”</w:t>
      </w:r>
      <w:r w:rsidR="00835872">
        <w:rPr>
          <w:rFonts w:asciiTheme="minorEastAsia" w:hAnsiTheme="minorEastAsia" w:hint="eastAsia"/>
        </w:rPr>
        <w:t>首席</w:t>
      </w:r>
      <w:r w:rsidR="00835872">
        <w:rPr>
          <w:rFonts w:asciiTheme="minorEastAsia" w:hAnsiTheme="minorEastAsia"/>
        </w:rPr>
        <w:t>架构师</w:t>
      </w:r>
      <w:r>
        <w:rPr>
          <w:rFonts w:hint="eastAsia"/>
        </w:rPr>
        <w:t>、及</w:t>
      </w:r>
      <w:r>
        <w:t>各开发组</w:t>
      </w:r>
      <w:r w:rsidR="00835872">
        <w:rPr>
          <w:rFonts w:hint="eastAsia"/>
        </w:rPr>
        <w:t>技术负责人</w:t>
      </w:r>
      <w:r>
        <w:rPr>
          <w:rFonts w:hint="eastAsia"/>
        </w:rPr>
        <w:t>；</w:t>
      </w:r>
    </w:p>
    <w:p w:rsidR="008C6DAA" w:rsidRPr="00E14249" w:rsidRDefault="008C6DAA" w:rsidP="008C6DAA">
      <w:pPr>
        <w:pStyle w:val="af"/>
        <w:numPr>
          <w:ilvl w:val="0"/>
          <w:numId w:val="42"/>
        </w:numPr>
        <w:ind w:firstLineChars="0"/>
      </w:pPr>
      <w:r>
        <w:rPr>
          <w:rFonts w:hint="eastAsia"/>
        </w:rPr>
        <w:t>软通动力</w:t>
      </w:r>
      <w:r>
        <w:t>技术服务有限公司</w:t>
      </w:r>
      <w:r>
        <w:rPr>
          <w:rFonts w:hint="eastAsia"/>
        </w:rPr>
        <w:t>乐业平台</w:t>
      </w:r>
      <w:r>
        <w:t>软件实施部；</w:t>
      </w:r>
    </w:p>
    <w:p w:rsidR="003A19B8" w:rsidRDefault="00E14249" w:rsidP="003A19B8">
      <w:pPr>
        <w:pStyle w:val="1"/>
      </w:pPr>
      <w:bookmarkStart w:id="5" w:name="_Toc523127856"/>
      <w:r>
        <w:rPr>
          <w:rFonts w:hint="eastAsia"/>
        </w:rPr>
        <w:t>术语定义</w:t>
      </w:r>
      <w:bookmarkEnd w:id="5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C3A25" w:rsidTr="00222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3C3A25" w:rsidP="003C3A25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600" w:type="dxa"/>
          </w:tcPr>
          <w:p w:rsidR="003C3A25" w:rsidRDefault="003C3A25" w:rsidP="003C3A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术语</w:t>
            </w:r>
            <w:r>
              <w:t>释义</w:t>
            </w:r>
          </w:p>
        </w:tc>
      </w:tr>
      <w:tr w:rsidR="003C3A25" w:rsidTr="0022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222C42" w:rsidP="00E14249">
            <w:r>
              <w:rPr>
                <w:rFonts w:hint="eastAsia"/>
              </w:rPr>
              <w:t>交易保证金</w:t>
            </w:r>
          </w:p>
        </w:tc>
        <w:tc>
          <w:tcPr>
            <w:tcW w:w="6600" w:type="dxa"/>
          </w:tcPr>
          <w:p w:rsidR="003C3A25" w:rsidRDefault="00222C42" w:rsidP="00E14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为保证交易双方顺利</w:t>
            </w:r>
            <w:r>
              <w:t>签订</w:t>
            </w:r>
            <w:r>
              <w:rPr>
                <w:rFonts w:hint="eastAsia"/>
              </w:rPr>
              <w:t>交易</w:t>
            </w:r>
            <w:r>
              <w:t>合同而由双方</w:t>
            </w:r>
            <w:r>
              <w:rPr>
                <w:rFonts w:hint="eastAsia"/>
              </w:rPr>
              <w:t>缴纳</w:t>
            </w:r>
            <w:r>
              <w:t>的保证金，一般不超过交易额的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</w:tr>
      <w:tr w:rsidR="003C3A25" w:rsidTr="0022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222C42" w:rsidP="00E14249">
            <w:r>
              <w:rPr>
                <w:rFonts w:hint="eastAsia"/>
              </w:rPr>
              <w:t>履约保证金</w:t>
            </w:r>
          </w:p>
        </w:tc>
        <w:tc>
          <w:tcPr>
            <w:tcW w:w="6600" w:type="dxa"/>
          </w:tcPr>
          <w:p w:rsidR="003C3A25" w:rsidRDefault="00222C42" w:rsidP="00222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为保证交易双方顺利执行</w:t>
            </w:r>
            <w:r>
              <w:t>合同而由双方</w:t>
            </w:r>
            <w:r>
              <w:rPr>
                <w:rFonts w:hint="eastAsia"/>
              </w:rPr>
              <w:t>缴纳</w:t>
            </w:r>
            <w:r>
              <w:t>的保证金，一般不超过交易额的</w:t>
            </w:r>
            <w:r>
              <w:t>5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3C3A25" w:rsidTr="0022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3C3A25" w:rsidP="00E14249"/>
        </w:tc>
        <w:tc>
          <w:tcPr>
            <w:tcW w:w="6600" w:type="dxa"/>
          </w:tcPr>
          <w:p w:rsidR="003C3A25" w:rsidRDefault="003C3A25" w:rsidP="00E14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A25" w:rsidTr="0022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3C3A25" w:rsidP="00E14249"/>
        </w:tc>
        <w:tc>
          <w:tcPr>
            <w:tcW w:w="6600" w:type="dxa"/>
          </w:tcPr>
          <w:p w:rsidR="003C3A25" w:rsidRDefault="003C3A25" w:rsidP="00E14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A25" w:rsidTr="0022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3C3A25" w:rsidP="00E14249"/>
        </w:tc>
        <w:tc>
          <w:tcPr>
            <w:tcW w:w="6600" w:type="dxa"/>
          </w:tcPr>
          <w:p w:rsidR="003C3A25" w:rsidRDefault="003C3A25" w:rsidP="00E14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A25" w:rsidTr="0022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C3A25" w:rsidRDefault="003C3A25" w:rsidP="00E14249"/>
        </w:tc>
        <w:tc>
          <w:tcPr>
            <w:tcW w:w="6600" w:type="dxa"/>
          </w:tcPr>
          <w:p w:rsidR="003C3A25" w:rsidRDefault="003C3A25" w:rsidP="00E14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4249" w:rsidRDefault="00E14249" w:rsidP="00E14249"/>
    <w:p w:rsidR="00E14249" w:rsidRDefault="00E14249" w:rsidP="00E14249">
      <w:pPr>
        <w:pStyle w:val="1"/>
      </w:pPr>
      <w:bookmarkStart w:id="6" w:name="_Toc523127857"/>
      <w:r>
        <w:rPr>
          <w:rFonts w:hint="eastAsia"/>
        </w:rPr>
        <w:t>业务</w:t>
      </w:r>
      <w:r>
        <w:t>流程</w:t>
      </w:r>
      <w:bookmarkEnd w:id="6"/>
    </w:p>
    <w:p w:rsidR="00E14249" w:rsidRDefault="0005752A" w:rsidP="00E14249">
      <w:pPr>
        <w:pStyle w:val="2"/>
      </w:pPr>
      <w:bookmarkStart w:id="7" w:name="_Toc523127858"/>
      <w:r>
        <w:rPr>
          <w:rFonts w:hint="eastAsia"/>
        </w:rPr>
        <w:t>平台业务</w:t>
      </w:r>
      <w:r w:rsidR="00E14249">
        <w:rPr>
          <w:rFonts w:hint="eastAsia"/>
        </w:rPr>
        <w:t>结构</w:t>
      </w:r>
      <w:bookmarkEnd w:id="7"/>
    </w:p>
    <w:p w:rsidR="0005752A" w:rsidRDefault="0005752A" w:rsidP="0005752A">
      <w:r>
        <w:rPr>
          <w:noProof/>
        </w:rPr>
        <w:drawing>
          <wp:inline distT="0" distB="0" distL="0" distR="0" wp14:anchorId="0656A5F9">
            <wp:extent cx="5409522" cy="3608070"/>
            <wp:effectExtent l="0" t="0" r="127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23" cy="3614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6AB9" w:rsidRDefault="00A16AB9" w:rsidP="00A16AB9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“国电</w:t>
      </w:r>
      <w:r>
        <w:t>煤炭交易</w:t>
      </w:r>
      <w:r>
        <w:rPr>
          <w:rFonts w:hint="eastAsia"/>
        </w:rPr>
        <w:t>平台”主要</w:t>
      </w:r>
      <w:r>
        <w:t>业务包括：资讯中心、交易中心、结算中心三部分</w:t>
      </w:r>
      <w:r>
        <w:rPr>
          <w:rFonts w:hint="eastAsia"/>
        </w:rPr>
        <w:t>，</w:t>
      </w:r>
      <w:r>
        <w:t>各部</w:t>
      </w:r>
      <w:r>
        <w:rPr>
          <w:rFonts w:hint="eastAsia"/>
        </w:rPr>
        <w:t>子业务</w:t>
      </w:r>
      <w:r>
        <w:t>如上图所示；</w:t>
      </w:r>
    </w:p>
    <w:p w:rsidR="00A16AB9" w:rsidRDefault="00A16AB9" w:rsidP="001100D0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平台的</w:t>
      </w:r>
      <w:r>
        <w:t>第四大业务版块包括已有</w:t>
      </w:r>
      <w:r>
        <w:rPr>
          <w:rFonts w:hint="eastAsia"/>
        </w:rPr>
        <w:t>数据的</w:t>
      </w:r>
      <w:r>
        <w:t>发布</w:t>
      </w:r>
      <w:r>
        <w:rPr>
          <w:rFonts w:hint="eastAsia"/>
        </w:rPr>
        <w:t>、物流</w:t>
      </w:r>
      <w:r>
        <w:t>、质检、</w:t>
      </w:r>
      <w:r>
        <w:rPr>
          <w:rFonts w:hint="eastAsia"/>
        </w:rPr>
        <w:t>金融</w:t>
      </w:r>
      <w:r>
        <w:t>服务</w:t>
      </w:r>
      <w:r>
        <w:rPr>
          <w:rFonts w:hint="eastAsia"/>
        </w:rPr>
        <w:t>……</w:t>
      </w:r>
      <w:r>
        <w:t>第三方服务</w:t>
      </w:r>
      <w:r>
        <w:rPr>
          <w:rFonts w:hint="eastAsia"/>
        </w:rPr>
        <w:t>（业务）；</w:t>
      </w:r>
    </w:p>
    <w:p w:rsidR="005777C5" w:rsidRDefault="000D7E3A" w:rsidP="00581422">
      <w:pPr>
        <w:pStyle w:val="2"/>
      </w:pPr>
      <w:bookmarkStart w:id="8" w:name="_Toc523127859"/>
      <w:r>
        <w:rPr>
          <w:rFonts w:hint="eastAsia"/>
        </w:rPr>
        <w:lastRenderedPageBreak/>
        <w:t>“</w:t>
      </w:r>
      <w:r w:rsidR="00800823">
        <w:rPr>
          <w:rFonts w:hint="eastAsia"/>
        </w:rPr>
        <w:t>用户资金</w:t>
      </w:r>
      <w:r w:rsidR="00800823">
        <w:t>预存</w:t>
      </w:r>
      <w:r>
        <w:rPr>
          <w:rFonts w:hint="eastAsia"/>
        </w:rPr>
        <w:t>”</w:t>
      </w:r>
      <w:r w:rsidR="00E14249">
        <w:rPr>
          <w:rFonts w:hint="eastAsia"/>
        </w:rPr>
        <w:t>业务</w:t>
      </w:r>
      <w:r w:rsidR="00E14249">
        <w:t>流程</w:t>
      </w:r>
      <w:bookmarkEnd w:id="8"/>
    </w:p>
    <w:p w:rsidR="00581422" w:rsidRPr="00581422" w:rsidRDefault="00581422" w:rsidP="00581422">
      <w:pPr>
        <w:jc w:val="center"/>
      </w:pPr>
      <w:r>
        <w:object w:dxaOrig="5715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325.65pt" o:ole="">
            <v:imagedata r:id="rId9" o:title=""/>
          </v:shape>
          <o:OLEObject Type="Embed" ProgID="Visio.Drawing.15" ShapeID="_x0000_i1025" DrawAspect="Content" ObjectID="_1596869703" r:id="rId10"/>
        </w:object>
      </w:r>
    </w:p>
    <w:p w:rsidR="0014438E" w:rsidRDefault="00581422" w:rsidP="0014438E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卖方财务人员</w:t>
      </w:r>
      <w:r>
        <w:t>需要线下向平台</w:t>
      </w:r>
      <w:r>
        <w:rPr>
          <w:rFonts w:hint="eastAsia"/>
        </w:rPr>
        <w:t>指定</w:t>
      </w:r>
      <w:r>
        <w:t>账户转入一定数额的保证金</w:t>
      </w:r>
      <w:r w:rsidR="0014438E">
        <w:t>；</w:t>
      </w:r>
    </w:p>
    <w:p w:rsidR="0014438E" w:rsidRDefault="00581422" w:rsidP="0014438E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转账成功</w:t>
      </w:r>
      <w:r>
        <w:t>后，</w:t>
      </w:r>
      <w:r>
        <w:rPr>
          <w:rFonts w:hint="eastAsia"/>
        </w:rPr>
        <w:t>卖方</w:t>
      </w:r>
      <w:r>
        <w:t>财务人员</w:t>
      </w:r>
      <w:r>
        <w:rPr>
          <w:rFonts w:hint="eastAsia"/>
        </w:rPr>
        <w:t>需</w:t>
      </w:r>
      <w:r>
        <w:t>在平台提交</w:t>
      </w:r>
      <w:r>
        <w:rPr>
          <w:rFonts w:hint="eastAsia"/>
        </w:rPr>
        <w:t>保证金</w:t>
      </w:r>
      <w:r>
        <w:t>转账回执</w:t>
      </w:r>
      <w:r w:rsidR="003C3A25">
        <w:t>；</w:t>
      </w:r>
    </w:p>
    <w:p w:rsidR="003C3A25" w:rsidRDefault="00581422" w:rsidP="0014438E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平台</w:t>
      </w:r>
      <w:r>
        <w:t>财务人员在</w:t>
      </w:r>
      <w:r>
        <w:rPr>
          <w:rFonts w:hint="eastAsia"/>
        </w:rPr>
        <w:t>确认</w:t>
      </w:r>
      <w:r>
        <w:t>保证金到账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更新</w:t>
      </w:r>
      <w:r>
        <w:t>卖方的平台账户信息</w:t>
      </w:r>
      <w:r w:rsidR="003C3A25">
        <w:t>；</w:t>
      </w:r>
    </w:p>
    <w:p w:rsidR="00581422" w:rsidRDefault="00581422" w:rsidP="00581422">
      <w:pPr>
        <w:pStyle w:val="af"/>
        <w:ind w:left="420" w:firstLineChars="0" w:firstLine="0"/>
      </w:pPr>
    </w:p>
    <w:p w:rsidR="00E14249" w:rsidRDefault="00581422" w:rsidP="00E14249">
      <w:pPr>
        <w:pStyle w:val="2"/>
      </w:pPr>
      <w:r>
        <w:rPr>
          <w:rFonts w:hint="eastAsia"/>
        </w:rPr>
        <w:lastRenderedPageBreak/>
        <w:t xml:space="preserve"> </w:t>
      </w:r>
      <w:bookmarkStart w:id="9" w:name="_Toc523127860"/>
      <w:r w:rsidR="000D7E3A">
        <w:rPr>
          <w:rFonts w:hint="eastAsia"/>
        </w:rPr>
        <w:t>“</w:t>
      </w:r>
      <w:r>
        <w:rPr>
          <w:rFonts w:hint="eastAsia"/>
        </w:rPr>
        <w:t>保证金缴纳</w:t>
      </w:r>
      <w:r w:rsidR="000D7E3A">
        <w:rPr>
          <w:rFonts w:hint="eastAsia"/>
        </w:rPr>
        <w:t>”</w:t>
      </w:r>
      <w:r w:rsidR="00E14249">
        <w:t>业务流程</w:t>
      </w:r>
      <w:bookmarkEnd w:id="9"/>
    </w:p>
    <w:p w:rsidR="006D31A6" w:rsidRDefault="00581422" w:rsidP="00083B5E">
      <w:pPr>
        <w:jc w:val="center"/>
      </w:pPr>
      <w:r>
        <w:object w:dxaOrig="5865" w:dyaOrig="7591">
          <v:shape id="_x0000_i1026" type="#_x0000_t75" style="width:219.35pt;height:283.8pt" o:ole="">
            <v:imagedata r:id="rId11" o:title=""/>
          </v:shape>
          <o:OLEObject Type="Embed" ProgID="Visio.Drawing.15" ShapeID="_x0000_i1026" DrawAspect="Content" ObjectID="_1596869704" r:id="rId12"/>
        </w:object>
      </w:r>
    </w:p>
    <w:p w:rsidR="002D69AC" w:rsidRDefault="00581422" w:rsidP="000D7E3A">
      <w:pPr>
        <w:pStyle w:val="af"/>
        <w:numPr>
          <w:ilvl w:val="0"/>
          <w:numId w:val="27"/>
        </w:numPr>
        <w:ind w:firstLineChars="0"/>
      </w:pPr>
      <w:r>
        <w:rPr>
          <w:rFonts w:hint="eastAsia"/>
        </w:rPr>
        <w:t>卖方财务</w:t>
      </w:r>
      <w:r>
        <w:t>人员在登录个人账户后，可查看并缴纳交易保证金；</w:t>
      </w:r>
    </w:p>
    <w:p w:rsidR="00581422" w:rsidRDefault="00581422" w:rsidP="000D7E3A">
      <w:pPr>
        <w:pStyle w:val="af"/>
        <w:numPr>
          <w:ilvl w:val="0"/>
          <w:numId w:val="27"/>
        </w:numPr>
        <w:ind w:firstLineChars="0"/>
      </w:pPr>
      <w:r>
        <w:rPr>
          <w:rFonts w:hint="eastAsia"/>
        </w:rPr>
        <w:t>如果</w:t>
      </w:r>
      <w:r>
        <w:t>账户余额不足，则不允许缴纳保证金，并提醒用户先预存资金；</w:t>
      </w:r>
    </w:p>
    <w:p w:rsidR="00581422" w:rsidRPr="006D31A6" w:rsidRDefault="00581422" w:rsidP="00581422">
      <w:pPr>
        <w:pStyle w:val="af"/>
        <w:numPr>
          <w:ilvl w:val="0"/>
          <w:numId w:val="27"/>
        </w:numPr>
        <w:ind w:firstLineChars="0"/>
      </w:pPr>
      <w:r>
        <w:rPr>
          <w:rFonts w:hint="eastAsia"/>
        </w:rPr>
        <w:t>当</w:t>
      </w:r>
      <w:r>
        <w:t>卖方财务</w:t>
      </w:r>
      <w:r>
        <w:rPr>
          <w:rFonts w:hint="eastAsia"/>
        </w:rPr>
        <w:t>缴纳</w:t>
      </w:r>
      <w:r>
        <w:t>保证金成功后，</w:t>
      </w:r>
      <w:r>
        <w:rPr>
          <w:rFonts w:hint="eastAsia"/>
        </w:rPr>
        <w:t>平台</w:t>
      </w:r>
      <w:r>
        <w:t>可冻结缴纳的保证金</w:t>
      </w:r>
      <w:r>
        <w:rPr>
          <w:rFonts w:hint="eastAsia"/>
        </w:rPr>
        <w:t>；（该部</w:t>
      </w:r>
      <w:r>
        <w:t>业务请参考</w:t>
      </w:r>
      <w:r>
        <w:t>C01</w:t>
      </w:r>
      <w:r>
        <w:t>版本中</w:t>
      </w:r>
      <w:r>
        <w:rPr>
          <w:rFonts w:hint="eastAsia"/>
        </w:rPr>
        <w:t>5.2</w:t>
      </w:r>
      <w:r>
        <w:rPr>
          <w:rFonts w:hint="eastAsia"/>
        </w:rPr>
        <w:t>部分</w:t>
      </w:r>
      <w:r>
        <w:t>的业务说明</w:t>
      </w:r>
      <w:r>
        <w:rPr>
          <w:rFonts w:hint="eastAsia"/>
        </w:rPr>
        <w:t>）</w:t>
      </w:r>
    </w:p>
    <w:p w:rsidR="00E14249" w:rsidRDefault="00E14249" w:rsidP="00E14249">
      <w:pPr>
        <w:pStyle w:val="1"/>
        <w:pBdr>
          <w:bottom w:val="single" w:sz="4" w:space="0" w:color="595959" w:themeColor="text1" w:themeTint="A6"/>
        </w:pBdr>
      </w:pPr>
      <w:bookmarkStart w:id="10" w:name="_Toc523127861"/>
      <w:r>
        <w:rPr>
          <w:rFonts w:hint="eastAsia"/>
        </w:rPr>
        <w:lastRenderedPageBreak/>
        <w:t>软件</w:t>
      </w:r>
      <w:r>
        <w:t>需求说明书</w:t>
      </w:r>
      <w:bookmarkEnd w:id="10"/>
    </w:p>
    <w:p w:rsidR="001B58B3" w:rsidRDefault="00A948F1" w:rsidP="00E14249">
      <w:pPr>
        <w:pStyle w:val="2"/>
      </w:pPr>
      <w:bookmarkStart w:id="11" w:name="_Toc523127862"/>
      <w:r>
        <w:rPr>
          <w:rFonts w:hint="eastAsia"/>
        </w:rPr>
        <w:t>资金</w:t>
      </w:r>
      <w:r>
        <w:t>预存功能需求说明</w:t>
      </w:r>
      <w:bookmarkEnd w:id="11"/>
    </w:p>
    <w:p w:rsidR="001B58B3" w:rsidRDefault="001B58B3" w:rsidP="001B58B3">
      <w:pPr>
        <w:pStyle w:val="3"/>
      </w:pPr>
      <w:bookmarkStart w:id="12" w:name="_Toc523127863"/>
      <w:r>
        <w:rPr>
          <w:rFonts w:hint="eastAsia"/>
        </w:rPr>
        <w:t>界面</w:t>
      </w:r>
      <w:bookmarkEnd w:id="12"/>
    </w:p>
    <w:p w:rsidR="001B58B3" w:rsidRPr="001B58B3" w:rsidRDefault="00A948F1" w:rsidP="001B58B3">
      <w:r>
        <w:rPr>
          <w:noProof/>
        </w:rPr>
        <w:drawing>
          <wp:inline distT="0" distB="0" distL="0" distR="0" wp14:anchorId="17F3DA67" wp14:editId="71C87190">
            <wp:extent cx="5274310" cy="3507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B3" w:rsidRDefault="001B58B3" w:rsidP="001B58B3">
      <w:pPr>
        <w:pStyle w:val="3"/>
      </w:pPr>
      <w:bookmarkStart w:id="13" w:name="_Toc523127864"/>
      <w:r>
        <w:rPr>
          <w:rFonts w:hint="eastAsia"/>
        </w:rPr>
        <w:t>功能</w:t>
      </w:r>
      <w:r>
        <w:t>点</w:t>
      </w:r>
      <w:bookmarkEnd w:id="13"/>
    </w:p>
    <w:p w:rsidR="001B58B3" w:rsidRDefault="001B58B3" w:rsidP="001B58B3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登录用户</w:t>
      </w:r>
      <w:r>
        <w:t>工作界面参照上述图示</w:t>
      </w:r>
      <w:r>
        <w:rPr>
          <w:rFonts w:hint="eastAsia"/>
        </w:rPr>
        <w:t>；</w:t>
      </w:r>
    </w:p>
    <w:p w:rsidR="001B58B3" w:rsidRDefault="00A948F1" w:rsidP="00D00ACC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卖方财务</w:t>
      </w:r>
      <w:r>
        <w:t>人员</w:t>
      </w:r>
      <w:r w:rsidR="001B58B3">
        <w:t>登录后，</w:t>
      </w:r>
      <w:r>
        <w:rPr>
          <w:rFonts w:hint="eastAsia"/>
        </w:rPr>
        <w:t>点击</w:t>
      </w:r>
      <w:r>
        <w:t>保证金管理</w:t>
      </w:r>
      <w:r>
        <w:rPr>
          <w:rFonts w:hint="eastAsia"/>
        </w:rPr>
        <w:t>/</w:t>
      </w:r>
      <w:r>
        <w:rPr>
          <w:rFonts w:hint="eastAsia"/>
        </w:rPr>
        <w:t>汇款凭证</w:t>
      </w:r>
      <w:r>
        <w:t>录入，进入</w:t>
      </w:r>
      <w:r>
        <w:rPr>
          <w:rFonts w:hint="eastAsia"/>
        </w:rPr>
        <w:t>资金</w:t>
      </w:r>
      <w:r>
        <w:t>预存工作界面</w:t>
      </w:r>
      <w:r w:rsidR="001B58B3">
        <w:t>；</w:t>
      </w:r>
    </w:p>
    <w:p w:rsidR="00A948F1" w:rsidRPr="00790F1D" w:rsidRDefault="00790F1D" w:rsidP="00D00ACC">
      <w:pPr>
        <w:pStyle w:val="af"/>
        <w:numPr>
          <w:ilvl w:val="0"/>
          <w:numId w:val="41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录入</w:t>
      </w:r>
      <w:r>
        <w:t>信息中，</w:t>
      </w:r>
      <w:r w:rsidRPr="00790F1D">
        <w:rPr>
          <w:rFonts w:asciiTheme="minorEastAsia" w:hAnsiTheme="minorEastAsia" w:hint="eastAsia"/>
        </w:rPr>
        <w:t>“汇款</w:t>
      </w:r>
      <w:r w:rsidRPr="00790F1D">
        <w:rPr>
          <w:rFonts w:asciiTheme="minorEastAsia" w:hAnsiTheme="minorEastAsia"/>
        </w:rPr>
        <w:t>单位名称</w:t>
      </w:r>
      <w:r w:rsidRPr="00790F1D">
        <w:rPr>
          <w:rFonts w:asciiTheme="minorEastAsia" w:hAnsiTheme="minorEastAsia" w:hint="eastAsia"/>
        </w:rPr>
        <w:t>”、</w:t>
      </w:r>
      <w:r w:rsidRPr="00790F1D">
        <w:rPr>
          <w:rFonts w:asciiTheme="minorEastAsia" w:hAnsiTheme="minorEastAsia"/>
        </w:rPr>
        <w:t>“</w:t>
      </w:r>
      <w:r w:rsidRPr="00790F1D">
        <w:rPr>
          <w:rFonts w:asciiTheme="minorEastAsia" w:hAnsiTheme="minorEastAsia" w:hint="eastAsia"/>
        </w:rPr>
        <w:t>开户行</w:t>
      </w:r>
      <w:r w:rsidRPr="00790F1D">
        <w:rPr>
          <w:rFonts w:asciiTheme="minorEastAsia" w:hAnsiTheme="minorEastAsia"/>
        </w:rPr>
        <w:t>名称”</w:t>
      </w:r>
      <w:r w:rsidRPr="00790F1D">
        <w:rPr>
          <w:rFonts w:asciiTheme="minorEastAsia" w:hAnsiTheme="minorEastAsia" w:hint="eastAsia"/>
        </w:rPr>
        <w:t>、</w:t>
      </w:r>
      <w:r w:rsidRPr="00790F1D">
        <w:rPr>
          <w:rFonts w:asciiTheme="minorEastAsia" w:hAnsiTheme="minorEastAsia"/>
        </w:rPr>
        <w:t>“</w:t>
      </w:r>
      <w:r w:rsidRPr="00790F1D">
        <w:rPr>
          <w:rFonts w:asciiTheme="minorEastAsia" w:hAnsiTheme="minorEastAsia" w:hint="eastAsia"/>
        </w:rPr>
        <w:t>银行</w:t>
      </w:r>
      <w:r w:rsidRPr="00790F1D">
        <w:rPr>
          <w:rFonts w:asciiTheme="minorEastAsia" w:hAnsiTheme="minorEastAsia"/>
        </w:rPr>
        <w:t>账号”</w:t>
      </w:r>
      <w:r w:rsidRPr="00790F1D">
        <w:rPr>
          <w:rFonts w:asciiTheme="minorEastAsia" w:hAnsiTheme="minorEastAsia" w:hint="eastAsia"/>
        </w:rPr>
        <w:t>均为</w:t>
      </w:r>
      <w:r w:rsidRPr="00790F1D">
        <w:rPr>
          <w:rFonts w:asciiTheme="minorEastAsia" w:hAnsiTheme="minorEastAsia"/>
        </w:rPr>
        <w:t>系统自动读取，不允许用户修改；</w:t>
      </w:r>
    </w:p>
    <w:p w:rsidR="00790F1D" w:rsidRPr="001B58B3" w:rsidRDefault="00790F1D" w:rsidP="00D00ACC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汇款</w:t>
      </w:r>
      <w:r>
        <w:t>凭证不强制要求</w:t>
      </w:r>
      <w:r>
        <w:rPr>
          <w:rFonts w:hint="eastAsia"/>
        </w:rPr>
        <w:t>上传</w:t>
      </w:r>
      <w:r>
        <w:t>；</w:t>
      </w:r>
    </w:p>
    <w:p w:rsidR="005B2C86" w:rsidRDefault="0084530C" w:rsidP="005B2C86">
      <w:pPr>
        <w:pStyle w:val="2"/>
      </w:pPr>
      <w:bookmarkStart w:id="14" w:name="_Toc523127865"/>
      <w:r>
        <w:rPr>
          <w:rFonts w:hint="eastAsia"/>
        </w:rPr>
        <w:lastRenderedPageBreak/>
        <w:t>交易</w:t>
      </w:r>
      <w:r w:rsidR="005B2C86">
        <w:rPr>
          <w:rFonts w:hint="eastAsia"/>
        </w:rPr>
        <w:t>保证金</w:t>
      </w:r>
      <w:r w:rsidR="005B2C86">
        <w:t>台账功能需求说明</w:t>
      </w:r>
      <w:bookmarkEnd w:id="14"/>
    </w:p>
    <w:p w:rsidR="005B2C86" w:rsidRDefault="005B2C86" w:rsidP="005B2C86">
      <w:pPr>
        <w:pStyle w:val="3"/>
      </w:pPr>
      <w:bookmarkStart w:id="15" w:name="_Toc523127866"/>
      <w:r>
        <w:t>界面</w:t>
      </w:r>
      <w:bookmarkEnd w:id="15"/>
    </w:p>
    <w:p w:rsidR="005B2C86" w:rsidRDefault="005B2C86" w:rsidP="005B2C86">
      <w:r>
        <w:rPr>
          <w:noProof/>
        </w:rPr>
        <w:drawing>
          <wp:inline distT="0" distB="0" distL="0" distR="0" wp14:anchorId="51411C02" wp14:editId="49DC4A79">
            <wp:extent cx="5274310" cy="32569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86" w:rsidRDefault="005B2C86" w:rsidP="005B2C86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-2-1</w:t>
      </w:r>
      <w:r>
        <w:rPr>
          <w:rFonts w:hint="eastAsia"/>
        </w:rPr>
        <w:t>：</w:t>
      </w:r>
      <w:r>
        <w:t>履约保证金台账列表</w:t>
      </w:r>
    </w:p>
    <w:p w:rsidR="005B2C86" w:rsidRDefault="005B2C86" w:rsidP="005B2C86">
      <w:r>
        <w:rPr>
          <w:rFonts w:hint="eastAsia"/>
          <w:noProof/>
        </w:rPr>
        <w:lastRenderedPageBreak/>
        <w:drawing>
          <wp:inline distT="0" distB="0" distL="0" distR="0">
            <wp:extent cx="5276850" cy="4086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86" w:rsidRPr="005B2C86" w:rsidRDefault="005B2C86" w:rsidP="005B2C86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-2-2</w:t>
      </w:r>
      <w:r>
        <w:rPr>
          <w:rFonts w:hint="eastAsia"/>
        </w:rPr>
        <w:t>：</w:t>
      </w:r>
      <w:r>
        <w:t>已缴纳保证金交易信息</w:t>
      </w:r>
      <w:r>
        <w:rPr>
          <w:rFonts w:hint="eastAsia"/>
        </w:rPr>
        <w:t>查看</w:t>
      </w:r>
    </w:p>
    <w:p w:rsidR="005B2C86" w:rsidRDefault="005B2C86" w:rsidP="005B2C86">
      <w:pPr>
        <w:pStyle w:val="3"/>
      </w:pPr>
      <w:bookmarkStart w:id="16" w:name="_Toc523127867"/>
      <w:r>
        <w:rPr>
          <w:rFonts w:hint="eastAsia"/>
        </w:rPr>
        <w:t>功能点</w:t>
      </w:r>
      <w:bookmarkEnd w:id="16"/>
    </w:p>
    <w:p w:rsidR="005B2C86" w:rsidRDefault="005B2C86" w:rsidP="005B2C86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履约保证金台账</w:t>
      </w:r>
      <w:r>
        <w:t>界面参照</w:t>
      </w:r>
      <w:r>
        <w:rPr>
          <w:rFonts w:hint="eastAsia"/>
        </w:rPr>
        <w:t>上述</w:t>
      </w:r>
      <w:r>
        <w:t>图示；</w:t>
      </w:r>
    </w:p>
    <w:p w:rsidR="005B2C86" w:rsidRDefault="00CD6C64" w:rsidP="005B2C86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卖方</w:t>
      </w:r>
      <w:r>
        <w:t>财务人员点击</w:t>
      </w:r>
      <w:r>
        <w:rPr>
          <w:rFonts w:hint="eastAsia"/>
        </w:rPr>
        <w:t>保证金</w:t>
      </w:r>
      <w:r>
        <w:t>台账列表</w:t>
      </w:r>
      <w:r>
        <w:t>“</w:t>
      </w:r>
      <w:r>
        <w:rPr>
          <w:rFonts w:hint="eastAsia"/>
        </w:rPr>
        <w:t>查看</w:t>
      </w:r>
      <w:r>
        <w:t>”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查看</w:t>
      </w:r>
      <w:r>
        <w:t>已缴纳</w:t>
      </w:r>
      <w:r>
        <w:rPr>
          <w:rFonts w:hint="eastAsia"/>
        </w:rPr>
        <w:t>保证金</w:t>
      </w:r>
      <w:r>
        <w:t>交易界面或进入保证金缴纳界面</w:t>
      </w:r>
      <w:r w:rsidR="005B2C86">
        <w:t>；</w:t>
      </w:r>
    </w:p>
    <w:p w:rsidR="00CD6C64" w:rsidRPr="00452D74" w:rsidRDefault="00CD6C64" w:rsidP="005B2C86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保证金通知</w:t>
      </w:r>
      <w:r>
        <w:t>列表中的</w:t>
      </w:r>
      <w:r>
        <w:rPr>
          <w:rFonts w:hint="eastAsia"/>
        </w:rPr>
        <w:t>“缴纳</w:t>
      </w:r>
      <w:r>
        <w:t>状态</w:t>
      </w:r>
      <w:r>
        <w:rPr>
          <w:rFonts w:hint="eastAsia"/>
        </w:rPr>
        <w:t>”取值</w:t>
      </w:r>
      <w:r>
        <w:t>为：已缴纳、待缴纳、</w:t>
      </w:r>
      <w:r>
        <w:rPr>
          <w:rFonts w:hint="eastAsia"/>
        </w:rPr>
        <w:t>已</w:t>
      </w:r>
      <w:r>
        <w:t>退回</w:t>
      </w:r>
      <w:r>
        <w:rPr>
          <w:rFonts w:hint="eastAsia"/>
        </w:rPr>
        <w:t>；</w:t>
      </w:r>
    </w:p>
    <w:p w:rsidR="00E14249" w:rsidRDefault="00790F1D" w:rsidP="00E14249">
      <w:pPr>
        <w:pStyle w:val="2"/>
      </w:pPr>
      <w:bookmarkStart w:id="17" w:name="_Toc523127868"/>
      <w:r>
        <w:rPr>
          <w:rFonts w:hint="eastAsia"/>
        </w:rPr>
        <w:lastRenderedPageBreak/>
        <w:t>保证金</w:t>
      </w:r>
      <w:r>
        <w:t>缴纳</w:t>
      </w:r>
      <w:r w:rsidR="00E14249">
        <w:t>功能</w:t>
      </w:r>
      <w:r w:rsidR="00E14249">
        <w:rPr>
          <w:rFonts w:hint="eastAsia"/>
        </w:rPr>
        <w:t>需求</w:t>
      </w:r>
      <w:r w:rsidR="00E14249">
        <w:t>说明</w:t>
      </w:r>
      <w:bookmarkEnd w:id="17"/>
    </w:p>
    <w:p w:rsidR="00AF103B" w:rsidRDefault="00AF103B" w:rsidP="00AF103B">
      <w:pPr>
        <w:pStyle w:val="3"/>
      </w:pPr>
      <w:bookmarkStart w:id="18" w:name="_Toc523127869"/>
      <w:r>
        <w:t>界面</w:t>
      </w:r>
      <w:bookmarkEnd w:id="18"/>
    </w:p>
    <w:p w:rsidR="00AF103B" w:rsidRPr="00AF103B" w:rsidRDefault="00790F1D" w:rsidP="00AF103B">
      <w:r>
        <w:rPr>
          <w:noProof/>
        </w:rPr>
        <w:drawing>
          <wp:inline distT="0" distB="0" distL="0" distR="0">
            <wp:extent cx="526732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3B" w:rsidRDefault="00AF103B" w:rsidP="00AF103B">
      <w:pPr>
        <w:pStyle w:val="3"/>
      </w:pPr>
      <w:bookmarkStart w:id="19" w:name="_Toc523127870"/>
      <w:r>
        <w:rPr>
          <w:rFonts w:hint="eastAsia"/>
        </w:rPr>
        <w:t>功能点</w:t>
      </w:r>
      <w:bookmarkEnd w:id="19"/>
    </w:p>
    <w:p w:rsidR="00A54859" w:rsidRDefault="00A54859" w:rsidP="00A54859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卖方</w:t>
      </w:r>
      <w:r w:rsidR="005B2C86">
        <w:rPr>
          <w:rFonts w:hint="eastAsia"/>
        </w:rPr>
        <w:t>缴纳保证金</w:t>
      </w:r>
      <w:r>
        <w:rPr>
          <w:rFonts w:hint="eastAsia"/>
        </w:rPr>
        <w:t>需要填写</w:t>
      </w:r>
      <w:r>
        <w:t>的</w:t>
      </w:r>
      <w:r>
        <w:rPr>
          <w:rFonts w:hint="eastAsia"/>
        </w:rPr>
        <w:t>参数</w:t>
      </w:r>
      <w:r>
        <w:t>和布局参考上述界面；</w:t>
      </w:r>
    </w:p>
    <w:p w:rsidR="00790F1D" w:rsidRDefault="00790F1D" w:rsidP="00A54859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卖方财务</w:t>
      </w:r>
      <w:r>
        <w:t>通过保证金管理</w:t>
      </w:r>
      <w:r>
        <w:rPr>
          <w:rFonts w:hint="eastAsia"/>
        </w:rPr>
        <w:t>/</w:t>
      </w:r>
      <w:r>
        <w:rPr>
          <w:rFonts w:hint="eastAsia"/>
        </w:rPr>
        <w:t>履约</w:t>
      </w:r>
      <w:r>
        <w:t>保证金台账</w:t>
      </w:r>
      <w:r>
        <w:rPr>
          <w:rFonts w:hint="eastAsia"/>
        </w:rPr>
        <w:t>，</w:t>
      </w:r>
      <w:r>
        <w:t>进入待</w:t>
      </w:r>
      <w:r>
        <w:rPr>
          <w:rFonts w:hint="eastAsia"/>
        </w:rPr>
        <w:t>缴</w:t>
      </w:r>
      <w:r>
        <w:t>保证金</w:t>
      </w:r>
      <w:r>
        <w:rPr>
          <w:rFonts w:hint="eastAsia"/>
        </w:rPr>
        <w:t>列表</w:t>
      </w:r>
      <w:r>
        <w:t>，选中交易后可进入</w:t>
      </w:r>
      <w:r>
        <w:rPr>
          <w:rFonts w:hint="eastAsia"/>
        </w:rPr>
        <w:t>上述</w:t>
      </w:r>
      <w:r>
        <w:t>保证金缴纳界面；</w:t>
      </w:r>
    </w:p>
    <w:p w:rsidR="00A54859" w:rsidRDefault="00790F1D" w:rsidP="00A54859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界面应</w:t>
      </w:r>
      <w:r>
        <w:t>呈现当前卖家</w:t>
      </w:r>
      <w:r>
        <w:rPr>
          <w:rFonts w:hint="eastAsia"/>
        </w:rPr>
        <w:t>账户</w:t>
      </w:r>
      <w:r>
        <w:t>的详细信息，内容参考上图</w:t>
      </w:r>
      <w:r w:rsidR="00A54859">
        <w:t>；</w:t>
      </w:r>
    </w:p>
    <w:p w:rsidR="00790F1D" w:rsidRDefault="00790F1D" w:rsidP="00790F1D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界面中“履约</w:t>
      </w:r>
      <w:r>
        <w:t>保证金标准</w:t>
      </w:r>
      <w:r>
        <w:rPr>
          <w:rFonts w:hint="eastAsia"/>
        </w:rPr>
        <w:t>”与卖家</w:t>
      </w:r>
      <w:r>
        <w:t>挂牌时设定的标准一致；</w:t>
      </w:r>
    </w:p>
    <w:p w:rsidR="00F5150A" w:rsidRDefault="000B451C" w:rsidP="00F5150A">
      <w:pPr>
        <w:pStyle w:val="af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界面中</w:t>
      </w:r>
      <w:r>
        <w:rPr>
          <w:rFonts w:asciiTheme="minorEastAsia" w:hAnsiTheme="minorEastAsia"/>
        </w:rPr>
        <w:t>所有参数均</w:t>
      </w:r>
      <w:r w:rsidR="00790F1D">
        <w:rPr>
          <w:rFonts w:asciiTheme="minorEastAsia" w:hAnsiTheme="minorEastAsia" w:hint="eastAsia"/>
        </w:rPr>
        <w:t>不可编辑</w:t>
      </w:r>
      <w:r>
        <w:rPr>
          <w:rFonts w:asciiTheme="minorEastAsia" w:hAnsiTheme="minorEastAsia"/>
        </w:rPr>
        <w:t>；</w:t>
      </w:r>
    </w:p>
    <w:p w:rsidR="00790F1D" w:rsidRPr="00F5150A" w:rsidRDefault="00790F1D" w:rsidP="00F5150A">
      <w:pPr>
        <w:pStyle w:val="af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保证金不足时</w:t>
      </w:r>
      <w:r>
        <w:rPr>
          <w:rFonts w:asciiTheme="minorEastAsia" w:hAnsiTheme="minorEastAsia"/>
        </w:rPr>
        <w:t>，需提醒用户“</w:t>
      </w:r>
      <w:r>
        <w:rPr>
          <w:rFonts w:asciiTheme="minorEastAsia" w:hAnsiTheme="minorEastAsia" w:hint="eastAsia"/>
        </w:rPr>
        <w:t>可用</w:t>
      </w:r>
      <w:r>
        <w:rPr>
          <w:rFonts w:asciiTheme="minorEastAsia" w:hAnsiTheme="minorEastAsia"/>
        </w:rPr>
        <w:t>保证金不足，请尽快完成预存保证金”</w:t>
      </w:r>
    </w:p>
    <w:p w:rsidR="00AF103B" w:rsidRDefault="00790F1D" w:rsidP="00AF103B">
      <w:pPr>
        <w:pStyle w:val="2"/>
      </w:pPr>
      <w:bookmarkStart w:id="20" w:name="_Toc523127871"/>
      <w:r>
        <w:rPr>
          <w:rFonts w:hint="eastAsia"/>
        </w:rPr>
        <w:lastRenderedPageBreak/>
        <w:t>保证金台账</w:t>
      </w:r>
      <w:r w:rsidR="00E14249">
        <w:t>功能</w:t>
      </w:r>
      <w:r w:rsidR="00E14249">
        <w:rPr>
          <w:rFonts w:hint="eastAsia"/>
        </w:rPr>
        <w:t>需求</w:t>
      </w:r>
      <w:r w:rsidR="00E14249">
        <w:t>说明</w:t>
      </w:r>
      <w:bookmarkEnd w:id="20"/>
    </w:p>
    <w:p w:rsidR="00AF103B" w:rsidRDefault="00AF103B" w:rsidP="00AF103B">
      <w:pPr>
        <w:pStyle w:val="3"/>
      </w:pPr>
      <w:bookmarkStart w:id="21" w:name="_Toc523127872"/>
      <w:r>
        <w:t>界面</w:t>
      </w:r>
      <w:bookmarkEnd w:id="21"/>
    </w:p>
    <w:p w:rsidR="00AF103B" w:rsidRPr="00AF103B" w:rsidRDefault="0016319A" w:rsidP="00AF103B">
      <w:r>
        <w:rPr>
          <w:noProof/>
        </w:rPr>
        <w:drawing>
          <wp:inline distT="0" distB="0" distL="0" distR="0" wp14:anchorId="781DDB0F" wp14:editId="49B2BD5A">
            <wp:extent cx="5274310" cy="40824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49" w:rsidRDefault="00AF103B" w:rsidP="00AF103B">
      <w:pPr>
        <w:pStyle w:val="3"/>
      </w:pPr>
      <w:bookmarkStart w:id="22" w:name="_Toc523127873"/>
      <w:r>
        <w:rPr>
          <w:rFonts w:hint="eastAsia"/>
        </w:rPr>
        <w:t>功能点</w:t>
      </w:r>
      <w:bookmarkEnd w:id="22"/>
    </w:p>
    <w:p w:rsidR="000B451C" w:rsidRDefault="0016319A" w:rsidP="000B451C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卖方财务</w:t>
      </w:r>
      <w:r>
        <w:t>人员</w:t>
      </w:r>
      <w:r>
        <w:rPr>
          <w:rFonts w:hint="eastAsia"/>
        </w:rPr>
        <w:t>登录后</w:t>
      </w:r>
      <w:r>
        <w:t>，自动进入该界面，也可通过保证金管理</w:t>
      </w:r>
      <w:r>
        <w:rPr>
          <w:rFonts w:hint="eastAsia"/>
        </w:rPr>
        <w:t>/</w:t>
      </w:r>
      <w:r>
        <w:rPr>
          <w:rFonts w:hint="eastAsia"/>
        </w:rPr>
        <w:t>保证金账户</w:t>
      </w:r>
      <w:r>
        <w:t>台账功能</w:t>
      </w:r>
      <w:r>
        <w:rPr>
          <w:rFonts w:hint="eastAsia"/>
        </w:rPr>
        <w:t>再次</w:t>
      </w:r>
      <w:r>
        <w:t>进入该界面</w:t>
      </w:r>
      <w:r w:rsidR="000B451C">
        <w:t>；</w:t>
      </w:r>
    </w:p>
    <w:p w:rsidR="0016319A" w:rsidRDefault="0016319A" w:rsidP="001100D0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界面中</w:t>
      </w:r>
      <w:r>
        <w:t>，</w:t>
      </w:r>
      <w:r>
        <w:t>“</w:t>
      </w:r>
      <w:r>
        <w:rPr>
          <w:rFonts w:hint="eastAsia"/>
        </w:rPr>
        <w:t>保证金账户</w:t>
      </w:r>
      <w:r>
        <w:t>台账</w:t>
      </w:r>
      <w:r>
        <w:t>”</w:t>
      </w:r>
      <w:r>
        <w:rPr>
          <w:rFonts w:hint="eastAsia"/>
        </w:rPr>
        <w:t>部分</w:t>
      </w:r>
      <w:r>
        <w:t>以</w:t>
      </w:r>
      <w:r>
        <w:rPr>
          <w:rFonts w:hint="eastAsia"/>
        </w:rPr>
        <w:t>列表形式</w:t>
      </w:r>
      <w:r>
        <w:t>列出当前</w:t>
      </w:r>
      <w:r>
        <w:rPr>
          <w:rFonts w:hint="eastAsia"/>
        </w:rPr>
        <w:t>已</w:t>
      </w:r>
      <w:r>
        <w:t>预存</w:t>
      </w:r>
      <w:r>
        <w:rPr>
          <w:rFonts w:hint="eastAsia"/>
        </w:rPr>
        <w:t>、</w:t>
      </w:r>
      <w:r>
        <w:t>解冻的保证金信息</w:t>
      </w:r>
      <w:r>
        <w:rPr>
          <w:rFonts w:hint="eastAsia"/>
        </w:rPr>
        <w:t>，</w:t>
      </w:r>
      <w:r>
        <w:t>信息内容参考上图</w:t>
      </w:r>
      <w:r>
        <w:rPr>
          <w:rFonts w:hint="eastAsia"/>
        </w:rPr>
        <w:t>；</w:t>
      </w:r>
    </w:p>
    <w:p w:rsidR="00EC369B" w:rsidRDefault="0016319A" w:rsidP="00B42175">
      <w:pPr>
        <w:pStyle w:val="af"/>
        <w:numPr>
          <w:ilvl w:val="0"/>
          <w:numId w:val="32"/>
        </w:numPr>
        <w:ind w:firstLineChars="0"/>
      </w:pPr>
      <w:r>
        <w:t>列表</w:t>
      </w:r>
      <w:r>
        <w:rPr>
          <w:rFonts w:hint="eastAsia"/>
        </w:rPr>
        <w:t>默认</w:t>
      </w:r>
      <w:r>
        <w:t>每页显示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记录</w:t>
      </w:r>
      <w:r>
        <w:rPr>
          <w:rFonts w:hint="eastAsia"/>
        </w:rPr>
        <w:t>，</w:t>
      </w:r>
      <w:r>
        <w:t>支持用户</w:t>
      </w:r>
      <w:r>
        <w:rPr>
          <w:rFonts w:hint="eastAsia"/>
        </w:rPr>
        <w:t>选择</w:t>
      </w:r>
      <w:r>
        <w:t>配置每页记录数目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支持</w:t>
      </w:r>
      <w:r>
        <w:t>上</w:t>
      </w:r>
      <w:r>
        <w:rPr>
          <w:rFonts w:hint="eastAsia"/>
        </w:rPr>
        <w:t>、</w:t>
      </w:r>
      <w:r>
        <w:t>下</w:t>
      </w:r>
      <w:r>
        <w:rPr>
          <w:rFonts w:hint="eastAsia"/>
        </w:rPr>
        <w:t>页，首</w:t>
      </w:r>
      <w:r>
        <w:t>、末页，指定页</w:t>
      </w:r>
      <w:r>
        <w:rPr>
          <w:rFonts w:hint="eastAsia"/>
        </w:rPr>
        <w:t>翻页</w:t>
      </w:r>
      <w:r>
        <w:t>功能</w:t>
      </w:r>
      <w:r w:rsidR="00EC369B">
        <w:t>；</w:t>
      </w:r>
    </w:p>
    <w:p w:rsidR="00AF103B" w:rsidRDefault="00CD6C64" w:rsidP="00AF103B">
      <w:pPr>
        <w:pStyle w:val="2"/>
      </w:pPr>
      <w:bookmarkStart w:id="23" w:name="_Toc523127874"/>
      <w:r>
        <w:rPr>
          <w:rFonts w:hint="eastAsia"/>
        </w:rPr>
        <w:lastRenderedPageBreak/>
        <w:t>工作界面</w:t>
      </w:r>
      <w:r>
        <w:t>整改</w:t>
      </w:r>
      <w:r w:rsidR="00786E2E">
        <w:t>需求说明</w:t>
      </w:r>
      <w:bookmarkEnd w:id="23"/>
    </w:p>
    <w:p w:rsidR="00AF103B" w:rsidRDefault="00AF103B" w:rsidP="00AF103B">
      <w:pPr>
        <w:pStyle w:val="3"/>
      </w:pPr>
      <w:bookmarkStart w:id="24" w:name="_Toc523127875"/>
      <w:r>
        <w:t>界面</w:t>
      </w:r>
      <w:bookmarkEnd w:id="24"/>
    </w:p>
    <w:p w:rsidR="008562D0" w:rsidRPr="008562D0" w:rsidRDefault="00CD6C64" w:rsidP="008562D0">
      <w:r>
        <w:rPr>
          <w:noProof/>
        </w:rPr>
        <w:drawing>
          <wp:inline distT="0" distB="0" distL="0" distR="0" wp14:anchorId="66D6C2D0" wp14:editId="2D566073">
            <wp:extent cx="5274310" cy="33064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2E" w:rsidRDefault="00AF103B" w:rsidP="00DF339F">
      <w:pPr>
        <w:pStyle w:val="3"/>
      </w:pPr>
      <w:bookmarkStart w:id="25" w:name="_Toc523127876"/>
      <w:r>
        <w:rPr>
          <w:rFonts w:hint="eastAsia"/>
        </w:rPr>
        <w:t>功能点</w:t>
      </w:r>
      <w:bookmarkEnd w:id="25"/>
    </w:p>
    <w:p w:rsidR="005A3BC1" w:rsidRDefault="00CD6C64" w:rsidP="005A3BC1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会员中心</w:t>
      </w:r>
      <w:r w:rsidR="005A3BC1">
        <w:t>界面参考上述图示；</w:t>
      </w:r>
    </w:p>
    <w:p w:rsidR="005A3BC1" w:rsidRDefault="00CD6C64" w:rsidP="005A3BC1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各用户</w:t>
      </w:r>
      <w:r>
        <w:t>登陆后</w:t>
      </w:r>
      <w:r>
        <w:rPr>
          <w:rFonts w:hint="eastAsia"/>
        </w:rPr>
        <w:t>默认</w:t>
      </w:r>
      <w:r>
        <w:t>进入会员中心界面</w:t>
      </w:r>
      <w:r w:rsidR="005A3BC1">
        <w:t>；</w:t>
      </w:r>
    </w:p>
    <w:p w:rsidR="00CD6C64" w:rsidRDefault="00CD6C64" w:rsidP="003B3814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界面对于</w:t>
      </w:r>
      <w:r>
        <w:t>不同用户呈现不同信息</w:t>
      </w:r>
      <w:r w:rsidR="003B3814">
        <w:rPr>
          <w:rFonts w:hint="eastAsia"/>
        </w:rPr>
        <w:t>，</w:t>
      </w:r>
      <w:r w:rsidR="003B3814">
        <w:t>参考《</w:t>
      </w:r>
      <w:r w:rsidR="003B3814">
        <w:rPr>
          <w:rFonts w:hint="eastAsia"/>
        </w:rPr>
        <w:t>用户</w:t>
      </w:r>
      <w:r w:rsidR="003B3814">
        <w:t>工作界面功能列表</w:t>
      </w:r>
      <w:r w:rsidR="003B3814">
        <w:t>.xlsx</w:t>
      </w:r>
      <w:r w:rsidR="003B3814">
        <w:t>》</w:t>
      </w:r>
      <w:r>
        <w:rPr>
          <w:rFonts w:hint="eastAsia"/>
        </w:rPr>
        <w:t>：</w:t>
      </w:r>
    </w:p>
    <w:p w:rsidR="003B3814" w:rsidRPr="005A3BC1" w:rsidRDefault="003B3814" w:rsidP="003B3814">
      <w:pPr>
        <w:pStyle w:val="af"/>
        <w:ind w:left="420" w:firstLineChars="0" w:firstLine="0"/>
      </w:pPr>
      <w:r w:rsidRPr="003B3814">
        <w:rPr>
          <w:rFonts w:hint="eastAsia"/>
          <w:noProof/>
        </w:rPr>
        <w:drawing>
          <wp:inline distT="0" distB="0" distL="0" distR="0">
            <wp:extent cx="5274310" cy="145308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49" w:rsidRDefault="00E14249" w:rsidP="00E14249">
      <w:pPr>
        <w:pStyle w:val="1"/>
      </w:pPr>
      <w:bookmarkStart w:id="26" w:name="_Toc523127877"/>
      <w:r>
        <w:rPr>
          <w:rFonts w:hint="eastAsia"/>
        </w:rPr>
        <w:t>性能需求</w:t>
      </w:r>
      <w:bookmarkEnd w:id="26"/>
    </w:p>
    <w:p w:rsidR="00E14249" w:rsidRDefault="00E14249" w:rsidP="00E14249"/>
    <w:p w:rsidR="00E14249" w:rsidRDefault="00E14249" w:rsidP="00E14249">
      <w:pPr>
        <w:pStyle w:val="1"/>
      </w:pPr>
      <w:bookmarkStart w:id="27" w:name="_Toc523127878"/>
      <w:r>
        <w:rPr>
          <w:rFonts w:hint="eastAsia"/>
        </w:rPr>
        <w:lastRenderedPageBreak/>
        <w:t>可靠性</w:t>
      </w:r>
      <w:r>
        <w:t>需求</w:t>
      </w:r>
      <w:bookmarkEnd w:id="27"/>
    </w:p>
    <w:p w:rsidR="008C6DAA" w:rsidRDefault="008C6DAA" w:rsidP="008C6DAA">
      <w:pPr>
        <w:pStyle w:val="2"/>
      </w:pPr>
      <w:bookmarkStart w:id="28" w:name="_Toc523127879"/>
      <w:r>
        <w:rPr>
          <w:rFonts w:hint="eastAsia"/>
        </w:rPr>
        <w:t>数据</w:t>
      </w:r>
      <w:r>
        <w:t>可靠性</w:t>
      </w:r>
      <w:r>
        <w:rPr>
          <w:rFonts w:hint="eastAsia"/>
        </w:rPr>
        <w:t>需求</w:t>
      </w:r>
      <w:r>
        <w:t>：</w:t>
      </w:r>
      <w:bookmarkEnd w:id="28"/>
    </w:p>
    <w:p w:rsidR="008C6DAA" w:rsidRDefault="008C6DAA" w:rsidP="008C6DAA">
      <w:pPr>
        <w:pStyle w:val="af"/>
        <w:numPr>
          <w:ilvl w:val="0"/>
          <w:numId w:val="43"/>
        </w:numPr>
        <w:ind w:firstLineChars="0"/>
      </w:pPr>
      <w:r>
        <w:rPr>
          <w:rFonts w:hint="eastAsia"/>
        </w:rPr>
        <w:t>平台</w:t>
      </w:r>
      <w:r>
        <w:t>运营过程中的各项数据</w:t>
      </w:r>
      <w:r>
        <w:rPr>
          <w:rFonts w:hint="eastAsia"/>
        </w:rPr>
        <w:t>满足</w:t>
      </w:r>
      <w:r>
        <w:t>数据</w:t>
      </w:r>
      <w:r w:rsidR="00634EE7">
        <w:rPr>
          <w:rFonts w:hint="eastAsia"/>
        </w:rPr>
        <w:t>一致性</w:t>
      </w:r>
      <w:r w:rsidR="00634EE7">
        <w:t>要求</w:t>
      </w:r>
      <w:r>
        <w:rPr>
          <w:rFonts w:hint="eastAsia"/>
        </w:rPr>
        <w:t>；</w:t>
      </w:r>
    </w:p>
    <w:p w:rsidR="00634EE7" w:rsidRDefault="00634EE7" w:rsidP="008C6DAA">
      <w:pPr>
        <w:pStyle w:val="af"/>
        <w:numPr>
          <w:ilvl w:val="0"/>
          <w:numId w:val="43"/>
        </w:numPr>
        <w:ind w:firstLineChars="0"/>
      </w:pPr>
      <w:r>
        <w:rPr>
          <w:rFonts w:hint="eastAsia"/>
        </w:rPr>
        <w:t>平台运营</w:t>
      </w:r>
      <w:r>
        <w:t>中的各项数据、日志、配置文件</w:t>
      </w:r>
      <w:r>
        <w:t>……</w:t>
      </w:r>
      <w:r>
        <w:t>均</w:t>
      </w:r>
      <w:r>
        <w:rPr>
          <w:rFonts w:hint="eastAsia"/>
        </w:rPr>
        <w:t>不得认为</w:t>
      </w:r>
      <w:r>
        <w:t>修改、删除；</w:t>
      </w:r>
    </w:p>
    <w:p w:rsidR="00634EE7" w:rsidRPr="008C6DAA" w:rsidRDefault="00634EE7" w:rsidP="008C6DAA">
      <w:pPr>
        <w:pStyle w:val="af"/>
        <w:numPr>
          <w:ilvl w:val="0"/>
          <w:numId w:val="43"/>
        </w:numPr>
        <w:ind w:firstLineChars="0"/>
      </w:pPr>
      <w:r>
        <w:rPr>
          <w:rFonts w:hint="eastAsia"/>
        </w:rPr>
        <w:t>平台因</w:t>
      </w:r>
      <w:r>
        <w:t>各项原因宕机时，已有的运营数据不得丢失或损坏</w:t>
      </w:r>
      <w:r>
        <w:rPr>
          <w:rFonts w:hint="eastAsia"/>
        </w:rPr>
        <w:t>；</w:t>
      </w:r>
    </w:p>
    <w:p w:rsidR="00E14249" w:rsidRDefault="00E14249" w:rsidP="00E14249"/>
    <w:p w:rsidR="00E14249" w:rsidRPr="00E14249" w:rsidRDefault="00E14249" w:rsidP="00E14249">
      <w:pPr>
        <w:pStyle w:val="1"/>
      </w:pPr>
      <w:bookmarkStart w:id="29" w:name="_Toc523127880"/>
      <w:r>
        <w:rPr>
          <w:rFonts w:hint="eastAsia"/>
        </w:rPr>
        <w:t>附录</w:t>
      </w:r>
      <w:bookmarkEnd w:id="29"/>
    </w:p>
    <w:p w:rsidR="00535112" w:rsidRPr="00400767" w:rsidRDefault="00535112" w:rsidP="00400767">
      <w:pPr>
        <w:ind w:firstLineChars="250" w:firstLine="550"/>
        <w:jc w:val="right"/>
        <w:rPr>
          <w:bCs/>
        </w:rPr>
      </w:pPr>
    </w:p>
    <w:sectPr w:rsidR="00535112" w:rsidRPr="00400767" w:rsidSect="002567FE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822" w:rsidRDefault="002A2822">
      <w:r>
        <w:separator/>
      </w:r>
    </w:p>
  </w:endnote>
  <w:endnote w:type="continuationSeparator" w:id="0">
    <w:p w:rsidR="002A2822" w:rsidRDefault="002A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422" w:rsidRDefault="00581422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81422" w:rsidRDefault="0058142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581422">
      <w:tc>
        <w:tcPr>
          <w:tcW w:w="1188" w:type="dxa"/>
        </w:tcPr>
        <w:p w:rsidR="00581422" w:rsidRPr="00940247" w:rsidRDefault="00581422" w:rsidP="000E1F1F">
          <w:pPr>
            <w:pStyle w:val="a5"/>
          </w:pPr>
          <w:r w:rsidRPr="00940247">
            <w:fldChar w:fldCharType="begin"/>
          </w:r>
          <w:r w:rsidRPr="00940247">
            <w:instrText xml:space="preserve"> DATE \@ "yyyy-M-d" </w:instrText>
          </w:r>
          <w:r w:rsidRPr="00940247">
            <w:fldChar w:fldCharType="separate"/>
          </w:r>
          <w:r w:rsidR="00C4001B">
            <w:rPr>
              <w:noProof/>
            </w:rPr>
            <w:t>2018-8-27</w:t>
          </w:r>
          <w:r w:rsidRPr="00940247">
            <w:fldChar w:fldCharType="end"/>
          </w:r>
        </w:p>
      </w:tc>
      <w:tc>
        <w:tcPr>
          <w:tcW w:w="5220" w:type="dxa"/>
        </w:tcPr>
        <w:p w:rsidR="00581422" w:rsidRPr="00940247" w:rsidRDefault="00581422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:rsidR="00581422" w:rsidRPr="00940247" w:rsidRDefault="00581422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Pr="00940247">
            <w:fldChar w:fldCharType="begin"/>
          </w:r>
          <w:r w:rsidRPr="00940247">
            <w:instrText>PAGE</w:instrText>
          </w:r>
          <w:r w:rsidRPr="00940247">
            <w:fldChar w:fldCharType="separate"/>
          </w:r>
          <w:r w:rsidR="00C4001B">
            <w:rPr>
              <w:noProof/>
            </w:rPr>
            <w:t>11</w:t>
          </w:r>
          <w:r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fldSimple w:instr=" NUMPAGES  \* Arabic  \* MERGEFORMAT ">
            <w:r w:rsidR="00C4001B">
              <w:rPr>
                <w:noProof/>
              </w:rPr>
              <w:t>15</w:t>
            </w:r>
          </w:fldSimple>
          <w:r w:rsidRPr="00940247">
            <w:rPr>
              <w:rFonts w:hint="eastAsia"/>
            </w:rPr>
            <w:t>页</w:t>
          </w:r>
        </w:p>
      </w:tc>
    </w:tr>
  </w:tbl>
  <w:p w:rsidR="00581422" w:rsidRDefault="00581422" w:rsidP="00723F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822" w:rsidRDefault="002A2822">
      <w:r>
        <w:separator/>
      </w:r>
    </w:p>
  </w:footnote>
  <w:footnote w:type="continuationSeparator" w:id="0">
    <w:p w:rsidR="002A2822" w:rsidRDefault="002A2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581422" w:rsidRPr="00C0122E" w:rsidTr="002567FE">
      <w:trPr>
        <w:cantSplit/>
        <w:trHeight w:hRule="exact" w:val="668"/>
      </w:trPr>
      <w:tc>
        <w:tcPr>
          <w:tcW w:w="2042" w:type="dxa"/>
        </w:tcPr>
        <w:p w:rsidR="00581422" w:rsidRPr="007C572A" w:rsidRDefault="00581422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70C52CAC" wp14:editId="574FB3A0">
                <wp:extent cx="1072403" cy="368300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软通大学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35" t="24011" r="9091" b="27380"/>
                        <a:stretch/>
                      </pic:blipFill>
                      <pic:spPr bwMode="auto">
                        <a:xfrm>
                          <a:off x="0" y="0"/>
                          <a:ext cx="1077782" cy="370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:rsidR="00581422" w:rsidRDefault="00581422" w:rsidP="006F67DD">
          <w:pPr>
            <w:pStyle w:val="a8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</w:t>
          </w:r>
          <w:r>
            <w:t>大学</w:t>
          </w:r>
          <w:r>
            <w:rPr>
              <w:rFonts w:hint="eastAsia"/>
            </w:rPr>
            <w:t xml:space="preserve"> </w:t>
          </w:r>
          <w:r>
            <w:t>“</w:t>
          </w:r>
          <w:r>
            <w:rPr>
              <w:rFonts w:hint="eastAsia"/>
            </w:rPr>
            <w:t>国电</w:t>
          </w:r>
          <w:r>
            <w:t>煤炭交易平台</w:t>
          </w:r>
          <w:r>
            <w:t>”</w:t>
          </w:r>
          <w:r>
            <w:t>项目</w:t>
          </w:r>
          <w:r>
            <w:rPr>
              <w:rFonts w:hint="eastAsia"/>
            </w:rPr>
            <w:t>需求</w:t>
          </w:r>
          <w:r>
            <w:t>说明书</w:t>
          </w:r>
        </w:p>
      </w:tc>
      <w:tc>
        <w:tcPr>
          <w:tcW w:w="1980" w:type="dxa"/>
          <w:vAlign w:val="bottom"/>
        </w:tcPr>
        <w:p w:rsidR="00581422" w:rsidRPr="001031AA" w:rsidRDefault="00581422" w:rsidP="00D363EA">
          <w:pPr>
            <w:pStyle w:val="a8"/>
            <w:ind w:firstLine="360"/>
          </w:pPr>
          <w:r>
            <w:rPr>
              <w:rFonts w:hint="eastAsia"/>
            </w:rPr>
            <w:t>内部公开</w:t>
          </w:r>
        </w:p>
      </w:tc>
    </w:tr>
  </w:tbl>
  <w:p w:rsidR="00581422" w:rsidRPr="00C0122E" w:rsidRDefault="00581422" w:rsidP="008C0D68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BFD"/>
    <w:multiLevelType w:val="hybridMultilevel"/>
    <w:tmpl w:val="F6862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9F0D21"/>
    <w:multiLevelType w:val="hybridMultilevel"/>
    <w:tmpl w:val="6C86AABE"/>
    <w:lvl w:ilvl="0" w:tplc="257C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275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2F25584"/>
    <w:multiLevelType w:val="hybridMultilevel"/>
    <w:tmpl w:val="C75EE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964A88"/>
    <w:multiLevelType w:val="hybridMultilevel"/>
    <w:tmpl w:val="EECC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1C638F"/>
    <w:multiLevelType w:val="hybridMultilevel"/>
    <w:tmpl w:val="90DA7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64A9F"/>
    <w:multiLevelType w:val="hybridMultilevel"/>
    <w:tmpl w:val="08D07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800DC5"/>
    <w:multiLevelType w:val="hybridMultilevel"/>
    <w:tmpl w:val="D034D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790138"/>
    <w:multiLevelType w:val="hybridMultilevel"/>
    <w:tmpl w:val="BA6C4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94CF5"/>
    <w:multiLevelType w:val="hybridMultilevel"/>
    <w:tmpl w:val="22940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866214"/>
    <w:multiLevelType w:val="hybridMultilevel"/>
    <w:tmpl w:val="DFF43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DF35FE"/>
    <w:multiLevelType w:val="hybridMultilevel"/>
    <w:tmpl w:val="30188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E04B2A"/>
    <w:multiLevelType w:val="hybridMultilevel"/>
    <w:tmpl w:val="B538B7EC"/>
    <w:lvl w:ilvl="0" w:tplc="E3166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B5836"/>
    <w:multiLevelType w:val="hybridMultilevel"/>
    <w:tmpl w:val="D24EA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3A7ECC"/>
    <w:multiLevelType w:val="hybridMultilevel"/>
    <w:tmpl w:val="5AEC8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C17A12"/>
    <w:multiLevelType w:val="hybridMultilevel"/>
    <w:tmpl w:val="C2F85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4764CC"/>
    <w:multiLevelType w:val="hybridMultilevel"/>
    <w:tmpl w:val="791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E13128"/>
    <w:multiLevelType w:val="hybridMultilevel"/>
    <w:tmpl w:val="0C74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7487E32"/>
    <w:multiLevelType w:val="hybridMultilevel"/>
    <w:tmpl w:val="47563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844478E"/>
    <w:multiLevelType w:val="hybridMultilevel"/>
    <w:tmpl w:val="C706B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21028D"/>
    <w:multiLevelType w:val="hybridMultilevel"/>
    <w:tmpl w:val="12AE1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CC613C4"/>
    <w:multiLevelType w:val="hybridMultilevel"/>
    <w:tmpl w:val="02AA7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30"/>
  </w:num>
  <w:num w:numId="4">
    <w:abstractNumId w:val="1"/>
  </w:num>
  <w:num w:numId="5">
    <w:abstractNumId w:val="32"/>
  </w:num>
  <w:num w:numId="6">
    <w:abstractNumId w:val="27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22"/>
  </w:num>
  <w:num w:numId="12">
    <w:abstractNumId w:val="33"/>
  </w:num>
  <w:num w:numId="13">
    <w:abstractNumId w:val="33"/>
    <w:lvlOverride w:ilvl="0">
      <w:startOverride w:val="1"/>
    </w:lvlOverride>
  </w:num>
  <w:num w:numId="14">
    <w:abstractNumId w:val="2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34"/>
  </w:num>
  <w:num w:numId="26">
    <w:abstractNumId w:val="0"/>
  </w:num>
  <w:num w:numId="27">
    <w:abstractNumId w:val="17"/>
  </w:num>
  <w:num w:numId="28">
    <w:abstractNumId w:val="19"/>
  </w:num>
  <w:num w:numId="29">
    <w:abstractNumId w:val="28"/>
  </w:num>
  <w:num w:numId="30">
    <w:abstractNumId w:val="21"/>
  </w:num>
  <w:num w:numId="31">
    <w:abstractNumId w:val="16"/>
  </w:num>
  <w:num w:numId="32">
    <w:abstractNumId w:val="12"/>
  </w:num>
  <w:num w:numId="33">
    <w:abstractNumId w:val="7"/>
  </w:num>
  <w:num w:numId="34">
    <w:abstractNumId w:val="8"/>
  </w:num>
  <w:num w:numId="35">
    <w:abstractNumId w:val="29"/>
  </w:num>
  <w:num w:numId="36">
    <w:abstractNumId w:val="20"/>
  </w:num>
  <w:num w:numId="37">
    <w:abstractNumId w:val="9"/>
  </w:num>
  <w:num w:numId="38">
    <w:abstractNumId w:val="24"/>
  </w:num>
  <w:num w:numId="39">
    <w:abstractNumId w:val="25"/>
  </w:num>
  <w:num w:numId="40">
    <w:abstractNumId w:val="11"/>
  </w:num>
  <w:num w:numId="41">
    <w:abstractNumId w:val="13"/>
  </w:num>
  <w:num w:numId="42">
    <w:abstractNumId w:val="31"/>
  </w:num>
  <w:num w:numId="43">
    <w:abstractNumId w:val="10"/>
  </w:num>
  <w:num w:numId="44">
    <w:abstractNumId w:val="18"/>
  </w:num>
  <w:num w:numId="4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2A"/>
    <w:rsid w:val="000002B5"/>
    <w:rsid w:val="0000283A"/>
    <w:rsid w:val="00003122"/>
    <w:rsid w:val="00003725"/>
    <w:rsid w:val="00004788"/>
    <w:rsid w:val="0001070C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03A"/>
    <w:rsid w:val="000519BB"/>
    <w:rsid w:val="00053F5A"/>
    <w:rsid w:val="0005402F"/>
    <w:rsid w:val="0005752A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CE2"/>
    <w:rsid w:val="00076E05"/>
    <w:rsid w:val="00077B4C"/>
    <w:rsid w:val="00080C79"/>
    <w:rsid w:val="00083B5E"/>
    <w:rsid w:val="00084C1F"/>
    <w:rsid w:val="00084EF3"/>
    <w:rsid w:val="000854E0"/>
    <w:rsid w:val="000859C6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451C"/>
    <w:rsid w:val="000B57DC"/>
    <w:rsid w:val="000B6D34"/>
    <w:rsid w:val="000C01CA"/>
    <w:rsid w:val="000C37B1"/>
    <w:rsid w:val="000C3B38"/>
    <w:rsid w:val="000C3D4A"/>
    <w:rsid w:val="000C4076"/>
    <w:rsid w:val="000C6EC9"/>
    <w:rsid w:val="000D08E2"/>
    <w:rsid w:val="000D0B21"/>
    <w:rsid w:val="000D213A"/>
    <w:rsid w:val="000D2375"/>
    <w:rsid w:val="000D303E"/>
    <w:rsid w:val="000D7C4A"/>
    <w:rsid w:val="000D7E3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00D0"/>
    <w:rsid w:val="0011042D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438E"/>
    <w:rsid w:val="00144DB1"/>
    <w:rsid w:val="00146CF9"/>
    <w:rsid w:val="00146F91"/>
    <w:rsid w:val="00147B90"/>
    <w:rsid w:val="00150235"/>
    <w:rsid w:val="001514CC"/>
    <w:rsid w:val="00156357"/>
    <w:rsid w:val="00162E8F"/>
    <w:rsid w:val="0016319A"/>
    <w:rsid w:val="00163F44"/>
    <w:rsid w:val="00166148"/>
    <w:rsid w:val="00170255"/>
    <w:rsid w:val="00170315"/>
    <w:rsid w:val="00170397"/>
    <w:rsid w:val="00170B75"/>
    <w:rsid w:val="00170B95"/>
    <w:rsid w:val="00170E84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B58B3"/>
    <w:rsid w:val="001C0504"/>
    <w:rsid w:val="001C26E8"/>
    <w:rsid w:val="001C2D88"/>
    <w:rsid w:val="001C4BB2"/>
    <w:rsid w:val="001C4DEA"/>
    <w:rsid w:val="001C6942"/>
    <w:rsid w:val="001C6E66"/>
    <w:rsid w:val="001C7E04"/>
    <w:rsid w:val="001D02D3"/>
    <w:rsid w:val="001D157B"/>
    <w:rsid w:val="001D2101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C42"/>
    <w:rsid w:val="00222F1A"/>
    <w:rsid w:val="00226F83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52BD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2822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D69AC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197A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814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3A25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2D7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0944"/>
    <w:rsid w:val="004C2983"/>
    <w:rsid w:val="004C2A3E"/>
    <w:rsid w:val="004C6199"/>
    <w:rsid w:val="004C7DDF"/>
    <w:rsid w:val="004D3095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558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57ED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777C5"/>
    <w:rsid w:val="00580097"/>
    <w:rsid w:val="00581422"/>
    <w:rsid w:val="00584BDC"/>
    <w:rsid w:val="00584CE9"/>
    <w:rsid w:val="00586A2D"/>
    <w:rsid w:val="0059043D"/>
    <w:rsid w:val="005935C4"/>
    <w:rsid w:val="0059394F"/>
    <w:rsid w:val="00597192"/>
    <w:rsid w:val="005A2504"/>
    <w:rsid w:val="005A3BC1"/>
    <w:rsid w:val="005A525F"/>
    <w:rsid w:val="005B0213"/>
    <w:rsid w:val="005B2895"/>
    <w:rsid w:val="005B2C86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E6180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2EE9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4EE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2C72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1803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D31A6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67DD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2762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6E2E"/>
    <w:rsid w:val="0078735E"/>
    <w:rsid w:val="0078777C"/>
    <w:rsid w:val="0079060D"/>
    <w:rsid w:val="00790F1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0823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5872"/>
    <w:rsid w:val="0083632E"/>
    <w:rsid w:val="00841035"/>
    <w:rsid w:val="00843646"/>
    <w:rsid w:val="00843C77"/>
    <w:rsid w:val="0084530C"/>
    <w:rsid w:val="008458F7"/>
    <w:rsid w:val="00845903"/>
    <w:rsid w:val="00846561"/>
    <w:rsid w:val="00853610"/>
    <w:rsid w:val="00853A29"/>
    <w:rsid w:val="00854DF1"/>
    <w:rsid w:val="008560B7"/>
    <w:rsid w:val="008562D0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3FFC"/>
    <w:rsid w:val="008C44DC"/>
    <w:rsid w:val="008C5125"/>
    <w:rsid w:val="008C6DAA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3FFF"/>
    <w:rsid w:val="008E65E4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537E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6AB9"/>
    <w:rsid w:val="00A178CB"/>
    <w:rsid w:val="00A17CF4"/>
    <w:rsid w:val="00A21C91"/>
    <w:rsid w:val="00A227EC"/>
    <w:rsid w:val="00A228E0"/>
    <w:rsid w:val="00A22A22"/>
    <w:rsid w:val="00A25615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59"/>
    <w:rsid w:val="00A54892"/>
    <w:rsid w:val="00A55879"/>
    <w:rsid w:val="00A55D15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46A2"/>
    <w:rsid w:val="00A85AC8"/>
    <w:rsid w:val="00A85CB9"/>
    <w:rsid w:val="00A861CD"/>
    <w:rsid w:val="00A90820"/>
    <w:rsid w:val="00A91034"/>
    <w:rsid w:val="00A948F1"/>
    <w:rsid w:val="00A94B8B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6E2D"/>
    <w:rsid w:val="00AE78C2"/>
    <w:rsid w:val="00AF0933"/>
    <w:rsid w:val="00AF103B"/>
    <w:rsid w:val="00AF549E"/>
    <w:rsid w:val="00AF7CF9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54EE1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542"/>
    <w:rsid w:val="00C327B3"/>
    <w:rsid w:val="00C34232"/>
    <w:rsid w:val="00C4001B"/>
    <w:rsid w:val="00C4295A"/>
    <w:rsid w:val="00C43761"/>
    <w:rsid w:val="00C4737C"/>
    <w:rsid w:val="00C5598D"/>
    <w:rsid w:val="00C5759D"/>
    <w:rsid w:val="00C57ACD"/>
    <w:rsid w:val="00C60C9D"/>
    <w:rsid w:val="00C62E56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1ACB"/>
    <w:rsid w:val="00C83223"/>
    <w:rsid w:val="00C84158"/>
    <w:rsid w:val="00C87764"/>
    <w:rsid w:val="00C917A1"/>
    <w:rsid w:val="00C91E05"/>
    <w:rsid w:val="00C939C2"/>
    <w:rsid w:val="00C9455E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6C6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0ACC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4F64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B7137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4FF4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39F"/>
    <w:rsid w:val="00DF3522"/>
    <w:rsid w:val="00DF5111"/>
    <w:rsid w:val="00DF55CC"/>
    <w:rsid w:val="00DF6B2E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48C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4F0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039B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B751E"/>
    <w:rsid w:val="00EC08F9"/>
    <w:rsid w:val="00EC29B3"/>
    <w:rsid w:val="00EC2B4F"/>
    <w:rsid w:val="00EC30E9"/>
    <w:rsid w:val="00EC336A"/>
    <w:rsid w:val="00EC369B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0A"/>
    <w:rsid w:val="00F51577"/>
    <w:rsid w:val="00F52A01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3A5C"/>
    <w:rsid w:val="00FC42C7"/>
    <w:rsid w:val="00FC42EE"/>
    <w:rsid w:val="00FC59CC"/>
    <w:rsid w:val="00FC6DA2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23A"/>
    <w:rsid w:val="00FE5A53"/>
    <w:rsid w:val="00FF09A9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B7E3B9-5B46-4C83-ADF0-3581C9EB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Char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F5DE5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0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Char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9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a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b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c">
    <w:name w:val="Balloon Text"/>
    <w:basedOn w:val="a"/>
    <w:semiHidden/>
    <w:rsid w:val="00FE4634"/>
    <w:rPr>
      <w:sz w:val="18"/>
      <w:szCs w:val="18"/>
    </w:rPr>
  </w:style>
  <w:style w:type="table" w:styleId="ad">
    <w:name w:val="Table Grid"/>
    <w:basedOn w:val="a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940247"/>
  </w:style>
  <w:style w:type="character" w:styleId="ae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0">
    <w:name w:val="Document Map"/>
    <w:basedOn w:val="a"/>
    <w:link w:val="Char0"/>
    <w:rsid w:val="0066191C"/>
    <w:rPr>
      <w:sz w:val="18"/>
      <w:szCs w:val="18"/>
    </w:rPr>
  </w:style>
  <w:style w:type="character" w:customStyle="1" w:styleId="Char0">
    <w:name w:val="文档结构图 Char"/>
    <w:basedOn w:val="a0"/>
    <w:link w:val="af0"/>
    <w:rsid w:val="0066191C"/>
    <w:rPr>
      <w:rFonts w:ascii="宋体" w:cs="宋体"/>
      <w:color w:val="0000FF"/>
      <w:sz w:val="18"/>
      <w:szCs w:val="18"/>
    </w:rPr>
  </w:style>
  <w:style w:type="paragraph" w:customStyle="1" w:styleId="af1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Char">
    <w:name w:val="标题 1 Char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CF5DE5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Char">
    <w:name w:val="标题 4 Char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har">
    <w:name w:val="标题 Char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3">
    <w:name w:val="Subtitle"/>
    <w:basedOn w:val="a"/>
    <w:next w:val="a"/>
    <w:link w:val="Char1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f3"/>
    <w:uiPriority w:val="11"/>
    <w:rsid w:val="00867520"/>
    <w:rPr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6">
    <w:name w:val="No Spacing"/>
    <w:uiPriority w:val="1"/>
    <w:qFormat/>
    <w:rsid w:val="00867520"/>
    <w:pPr>
      <w:spacing w:after="0" w:line="240" w:lineRule="auto"/>
    </w:pPr>
  </w:style>
  <w:style w:type="paragraph" w:styleId="af7">
    <w:name w:val="Quote"/>
    <w:basedOn w:val="a"/>
    <w:next w:val="a"/>
    <w:link w:val="Char2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f7"/>
    <w:uiPriority w:val="29"/>
    <w:rsid w:val="00867520"/>
    <w:rPr>
      <w:i/>
      <w:iCs/>
      <w:color w:val="000000" w:themeColor="text1"/>
    </w:rPr>
  </w:style>
  <w:style w:type="paragraph" w:styleId="af8">
    <w:name w:val="Intense Quote"/>
    <w:basedOn w:val="a"/>
    <w:next w:val="a"/>
    <w:link w:val="Char3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f8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30">
    <w:name w:val="toc 3"/>
    <w:basedOn w:val="a"/>
    <w:next w:val="a"/>
    <w:autoRedefine/>
    <w:uiPriority w:val="39"/>
    <w:unhideWhenUsed/>
    <w:rsid w:val="00CF5DE5"/>
    <w:pPr>
      <w:ind w:leftChars="400" w:left="840"/>
    </w:pPr>
  </w:style>
  <w:style w:type="paragraph" w:styleId="afe">
    <w:name w:val="Normal (Web)"/>
    <w:basedOn w:val="a"/>
    <w:uiPriority w:val="99"/>
    <w:semiHidden/>
    <w:unhideWhenUsed/>
    <w:rsid w:val="0005752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4-1">
    <w:name w:val="Grid Table 4 Accent 1"/>
    <w:basedOn w:val="a1"/>
    <w:uiPriority w:val="49"/>
    <w:rsid w:val="003C3A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Grid Table 2 Accent 1"/>
    <w:basedOn w:val="a1"/>
    <w:uiPriority w:val="47"/>
    <w:rsid w:val="003C3A2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6">
    <w:name w:val="Grid Table 3 Accent 6"/>
    <w:basedOn w:val="a1"/>
    <w:uiPriority w:val="48"/>
    <w:rsid w:val="003C3A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3-1">
    <w:name w:val="List Table 3 Accent 1"/>
    <w:basedOn w:val="a1"/>
    <w:uiPriority w:val="48"/>
    <w:rsid w:val="003C3A2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3C3A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222C4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ingmier\Documents\&#33258;&#23450;&#20041;%20Office%20&#27169;&#26495;\&#38656;&#27714;&#35828;&#26126;&#20070;_&#27169;&#26495;-v2.2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0C38-1B56-49C6-95EC-A8AE10AD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需求说明书_模板-v2.2.dotm</Template>
  <TotalTime>415</TotalTime>
  <Pages>15</Pages>
  <Words>636</Words>
  <Characters>3627</Characters>
  <Application>Microsoft Office Word</Application>
  <DocSecurity>0</DocSecurity>
  <Lines>30</Lines>
  <Paragraphs>8</Paragraphs>
  <ScaleCrop>false</ScaleCrop>
  <Company>Huawei Technologies Co., Ltd.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Kingmier</dc:creator>
  <cp:lastModifiedBy>Wang Bin</cp:lastModifiedBy>
  <cp:revision>6</cp:revision>
  <cp:lastPrinted>2004-11-30T02:57:00Z</cp:lastPrinted>
  <dcterms:created xsi:type="dcterms:W3CDTF">2018-08-24T02:25:00Z</dcterms:created>
  <dcterms:modified xsi:type="dcterms:W3CDTF">2018-08-27T02:08:00Z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