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olor w:val="1B6B7B"/>
          <w:sz w:val="96"/>
          <w:szCs w:val="96"/>
        </w:rPr>
        <w:t xml:space="preserve">ALLY</w:t>
      </w:r>
    </w:p>
    <w:p>
      <w:pPr>
        <w:spacing w:after="80"/>
        <w:jc w:val="center"/>
      </w:pPr>
      <w:r>
        <w:rPr>
          <w:rFonts w:ascii="Calibri" w:cs="Calibri" w:eastAsia="Calibri" w:hAnsi="Calibri"/>
          <w:color w:val="0D3D47"/>
          <w:sz w:val="36"/>
          <w:szCs w:val="36"/>
        </w:rPr>
        <w:t xml:space="preserve">Strategy Bible</w:t>
      </w:r>
    </w:p>
    <w:p>
      <w:pPr>
        <w:spacing w:after="600"/>
        <w:jc w:val="center"/>
      </w:pPr>
      <w:r>
        <w:rPr>
          <w:rFonts w:ascii="Calibri" w:cs="Calibri" w:eastAsia="Calibri" w:hAnsi="Calibri"/>
          <w:i/>
          <w:iCs/>
          <w:color w:val="5A7A8A"/>
          <w:sz w:val="24"/>
          <w:szCs w:val="24"/>
        </w:rPr>
        <w:t xml:space="preserve">A caregiver co-pilot for Singapore — and the path to becoming the one stop platform</w:t>
      </w:r>
    </w:p>
    <w:p>
      <w:pPr>
        <w:spacing w:after="1200"/>
        <w:jc w:val="center"/>
      </w:pPr>
      <w:r>
        <w:rPr>
          <w:rFonts w:ascii="Calibri" w:cs="Calibri" w:eastAsia="Calibri" w:hAnsi="Calibri"/>
          <w:i/>
          <w:iCs/>
          <w:color w:val="1B6B7B"/>
          <w:sz w:val="22"/>
          <w:szCs w:val="22"/>
        </w:rPr>
        <w:t xml:space="preserve">"Support the ones who support everyone else."</w:t>
      </w:r>
    </w:p>
    <w:p>
      <w:pPr>
        <w:spacing w:after="60"/>
        <w:jc w:val="center"/>
      </w:pPr>
      <w:r>
        <w:rPr>
          <w:rFonts w:ascii="Calibri" w:cs="Calibri" w:eastAsia="Calibri" w:hAnsi="Calibri"/>
          <w:color w:val="1A2B35"/>
          <w:sz w:val="22"/>
          <w:szCs w:val="22"/>
        </w:rPr>
        <w:t xml:space="preserve">Prepared for: Kireeti</w:t>
      </w:r>
    </w:p>
    <w:p>
      <w:pPr>
        <w:spacing w:after="60"/>
        <w:jc w:val="center"/>
      </w:pPr>
      <w:r>
        <w:rPr>
          <w:rFonts w:ascii="Calibri" w:cs="Calibri" w:eastAsia="Calibri" w:hAnsi="Calibri"/>
          <w:color w:val="1A2B35"/>
          <w:sz w:val="22"/>
          <w:szCs w:val="22"/>
        </w:rPr>
        <w:t xml:space="preserve">Date: 7 May 2026</w:t>
      </w:r>
    </w:p>
    <w:p>
      <w:pPr>
        <w:spacing w:after="60"/>
        <w:jc w:val="center"/>
      </w:pPr>
      <w:r>
        <w:rPr>
          <w:rFonts w:ascii="Calibri" w:cs="Calibri" w:eastAsia="Calibri" w:hAnsi="Calibri"/>
          <w:color w:val="1A2B35"/>
          <w:sz w:val="22"/>
          <w:szCs w:val="22"/>
        </w:rPr>
        <w:t xml:space="preserve">Version: 1.0 — research and positioning blueprint</w:t>
      </w:r>
    </w:p>
    <w:p>
      <w:r>
        <w:br w:type="page"/>
      </w:r>
    </w:p>
    <w:p>
      <w:pPr>
        <w:pStyle w:val="Heading1"/>
        <w:spacing w:after="160" w:before="320"/>
      </w:pPr>
      <w:r>
        <w:rPr>
          <w:rFonts w:ascii="Calibri" w:cs="Calibri" w:eastAsia="Calibri" w:hAnsi="Calibri"/>
          <w:b/>
          <w:bCs/>
          <w:color w:val="0D3D47"/>
        </w:rPr>
        <w:t xml:space="preserve">Contents</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0D3D47"/>
        </w:rPr>
        <w:t xml:space="preserve">Executive summary</w:t>
      </w:r>
    </w:p>
    <w:p>
      <w:pPr>
        <w:spacing w:after="120" w:line="320"/>
        <w:jc w:val="left"/>
      </w:pPr>
      <w:r>
        <w:rPr>
          <w:rFonts w:ascii="Calibri" w:cs="Calibri" w:eastAsia="Calibri" w:hAnsi="Calibri"/>
          <w:color w:val="1A2B35"/>
          <w:sz w:val="22"/>
          <w:szCs w:val="22"/>
        </w:rPr>
        <w:t xml:space="preserve">ALLY is a caregiver co-pilot designed for the 210,000+ Singaporeans who quietly hold their families together — translating discharge documents, coordinating tasks across spouses, siblings, and foreign domestic workers, surfacing the government schemes that actually pay caregivers, and watching for the burnout signs caregivers themselves usually miss. The product exists because caregiving in Singapore is a problem of orchestration, not a problem of clinical knowledge: hospitals know what should happen, but the family at home does not have the tools, time, or training to make it happen reliably.</w:t>
      </w:r>
    </w:p>
    <w:p>
      <w:pPr>
        <w:spacing w:after="120" w:line="320"/>
        <w:jc w:val="left"/>
      </w:pPr>
      <w:r>
        <w:rPr>
          <w:rFonts w:ascii="Calibri" w:cs="Calibri" w:eastAsia="Calibri" w:hAnsi="Calibri"/>
          <w:color w:val="1A2B35"/>
          <w:sz w:val="22"/>
          <w:szCs w:val="22"/>
        </w:rPr>
        <w:t xml:space="preserve">This document captures the research, segmentation, pricing, regulatory, and competitive analysis required to take ALLY from working prototype to the one-stop platform every caregiver yearns for. It draws on official Singapore data (MOH, AIC, Synapxe, IMH), Duke-NUS and SMU caregiving research, current competitor pricing, and 2026 policy enhancements that materially change the addressable market.</w:t>
      </w:r>
    </w:p>
    <w:p>
      <w:pPr>
        <w:pStyle w:val="Heading2"/>
        <w:spacing w:after="160" w:before="320"/>
      </w:pPr>
      <w:r>
        <w:rPr>
          <w:rFonts w:ascii="Calibri" w:cs="Calibri" w:eastAsia="Calibri" w:hAnsi="Calibri"/>
          <w:b/>
          <w:bCs/>
          <w:color w:val="0D3D47"/>
        </w:rPr>
        <w:t xml:space="preserve">Five things the reader should leave knowing</w:t>
      </w:r>
    </w:p>
    <w:p>
      <w:pPr>
        <w:pStyle w:val="ListParagraph"/>
        <w:numPr>
          <w:ilvl w:val="0"/>
          <w:numId w:val="2"/>
        </w:numPr>
        <w:spacing w:after="80" w:line="300"/>
      </w:pPr>
      <w:r>
        <w:rPr>
          <w:rFonts w:ascii="Calibri" w:cs="Calibri" w:eastAsia="Calibri" w:hAnsi="Calibri"/>
          <w:color w:val="1A2B35"/>
          <w:sz w:val="22"/>
          <w:szCs w:val="22"/>
        </w:rPr>
        <w:t xml:space="preserve">Singapore just made the unit economics far better. From 1 April 2026, the Home Caregiving Grant maximum payout rose from S$400 to S$600 a month, and the household income ceiling rose from S$3,600 to S$4,800 per person. Tens of thousands of additional families are now eligible for caregiver cash that ALLY can help them claim. ALLY can position itself as the fastest path to that money.</w:t>
      </w:r>
    </w:p>
    <w:p>
      <w:pPr>
        <w:pStyle w:val="ListParagraph"/>
        <w:numPr>
          <w:ilvl w:val="0"/>
          <w:numId w:val="2"/>
        </w:numPr>
        <w:spacing w:after="80" w:line="300"/>
      </w:pPr>
      <w:r>
        <w:rPr>
          <w:rFonts w:ascii="Calibri" w:cs="Calibri" w:eastAsia="Calibri" w:hAnsi="Calibri"/>
          <w:color w:val="1A2B35"/>
          <w:sz w:val="22"/>
          <w:szCs w:val="22"/>
        </w:rPr>
        <w:t xml:space="preserve">The dementia tide is fully visible. Roughly 74,000 Singaporeans aged 60+ live with dementia today; projections take that figure to 152,000 by 2030. Half of cases are still undiagnosed. The caregiver pool will grow with this curve, and almost none of them have ever been trained — Duke-NUS found in 2023 that only 5% of caregivers had attended any caregiver training. That is the wedge.</w:t>
      </w:r>
    </w:p>
    <w:p>
      <w:pPr>
        <w:pStyle w:val="ListParagraph"/>
        <w:numPr>
          <w:ilvl w:val="0"/>
          <w:numId w:val="2"/>
        </w:numPr>
        <w:spacing w:after="80" w:line="300"/>
      </w:pPr>
      <w:r>
        <w:rPr>
          <w:rFonts w:ascii="Calibri" w:cs="Calibri" w:eastAsia="Calibri" w:hAnsi="Calibri"/>
          <w:color w:val="1A2B35"/>
          <w:sz w:val="22"/>
          <w:szCs w:val="22"/>
        </w:rPr>
        <w:t xml:space="preserve">There is no real direct competitor in Singapore. Homage and Jaga-Me sell labour by the hour. Caregiver Asia connects employers and trained workers. None of them are coordination platforms; none of them parse discharge notes; none of them surface the government scheme stack. International coordination apps (Ianacare, CaringBridge, Lotsa Helping Hands) are not localised for Singapore subsidies, foreign domestic worker workflows, or trilingual content.</w:t>
      </w:r>
    </w:p>
    <w:p>
      <w:pPr>
        <w:pStyle w:val="ListParagraph"/>
        <w:numPr>
          <w:ilvl w:val="0"/>
          <w:numId w:val="2"/>
        </w:numPr>
        <w:spacing w:after="80" w:line="300"/>
      </w:pPr>
      <w:r>
        <w:rPr>
          <w:rFonts w:ascii="Calibri" w:cs="Calibri" w:eastAsia="Calibri" w:hAnsi="Calibri"/>
          <w:color w:val="1A2B35"/>
          <w:sz w:val="22"/>
          <w:szCs w:val="22"/>
        </w:rPr>
        <w:t xml:space="preserve">The right regulatory posture is "care coordination tool", not "medical device". Under HSA's 2025 SaMD/CDSS guidelines, software that only displays patient information or surfaces recommendations grounded in established clinical guidelines is explicitly outside the medical-device perimeter. ALLY must rigorously sit on this side of the line.</w:t>
      </w:r>
    </w:p>
    <w:p>
      <w:pPr>
        <w:pStyle w:val="ListParagraph"/>
        <w:numPr>
          <w:ilvl w:val="0"/>
          <w:numId w:val="2"/>
        </w:numPr>
        <w:spacing w:after="80" w:line="300"/>
      </w:pPr>
      <w:r>
        <w:rPr>
          <w:rFonts w:ascii="Calibri" w:cs="Calibri" w:eastAsia="Calibri" w:hAnsi="Calibri"/>
          <w:color w:val="1A2B35"/>
          <w:sz w:val="22"/>
          <w:szCs w:val="22"/>
        </w:rPr>
        <w:t xml:space="preserve">The pricing should be a five-tier ladder anchored by a free tier and an enterprise tier — not a single subscription. The willingness-to-pay distribution among Singapore caregivers is wide: a young caregiver student near zero, a sandwich-generation professional at S$10–20/month, an HR department willing to spend S$5–10/employee/month for an employee-assistance benefit, a hospital willing to spend S$15–30 per discharge to cut readmissions. ALLY captures all of these only if the product structure is built for it from the start.</w:t>
      </w:r>
    </w:p>
    <w:p>
      <w:pPr>
        <w:pStyle w:val="Heading2"/>
        <w:spacing w:after="160" w:before="320"/>
      </w:pPr>
      <w:r>
        <w:rPr>
          <w:rFonts w:ascii="Calibri" w:cs="Calibri" w:eastAsia="Calibri" w:hAnsi="Calibri"/>
          <w:b/>
          <w:bCs/>
          <w:color w:val="0D3D47"/>
        </w:rPr>
        <w:t xml:space="preserve">What this document is not</w:t>
      </w:r>
    </w:p>
    <w:p>
      <w:pPr>
        <w:spacing w:after="120" w:line="320"/>
        <w:jc w:val="left"/>
      </w:pPr>
      <w:r>
        <w:rPr>
          <w:rFonts w:ascii="Calibri" w:cs="Calibri" w:eastAsia="Calibri" w:hAnsi="Calibri"/>
          <w:color w:val="1A2B35"/>
          <w:sz w:val="22"/>
          <w:szCs w:val="22"/>
        </w:rPr>
        <w:t xml:space="preserve">This is not an investment memo, not a product spec, and not a regulatory submission. It is the strategic substrate beneath all three. Anywhere the document recommends a specific number — a price, a tier, an addressable segment — those are well-considered first guesses meant to be sharpened through interviews, pricing tests, and pilot feedback. Caregiving is a domain where the lived experience of the user must always overrule the spreadsheet.</w:t>
      </w:r>
    </w:p>
    <w:p>
      <w:r>
        <w:br w:type="page"/>
      </w:r>
    </w:p>
    <w:p>
      <w:pPr>
        <w:pStyle w:val="Heading1"/>
        <w:spacing w:after="160" w:before="320"/>
      </w:pPr>
      <w:r>
        <w:rPr>
          <w:rFonts w:ascii="Calibri" w:cs="Calibri" w:eastAsia="Calibri" w:hAnsi="Calibri"/>
          <w:b/>
          <w:bCs/>
          <w:color w:val="0D3D47"/>
        </w:rPr>
        <w:t xml:space="preserve">Part 1 — The caregiving crisis</w:t>
      </w:r>
    </w:p>
    <w:p>
      <w:pPr>
        <w:pStyle w:val="Heading2"/>
        <w:spacing w:after="160" w:before="320"/>
      </w:pPr>
      <w:r>
        <w:rPr>
          <w:rFonts w:ascii="Calibri" w:cs="Calibri" w:eastAsia="Calibri" w:hAnsi="Calibri"/>
          <w:b/>
          <w:bCs/>
          <w:color w:val="0D3D47"/>
        </w:rPr>
        <w:t xml:space="preserve">1.1 Singapore by the numbers</w:t>
      </w:r>
    </w:p>
    <w:p>
      <w:pPr>
        <w:spacing w:after="120" w:line="320"/>
        <w:jc w:val="left"/>
      </w:pPr>
      <w:r>
        <w:rPr>
          <w:rFonts w:ascii="Calibri" w:cs="Calibri" w:eastAsia="Calibri" w:hAnsi="Calibri"/>
          <w:color w:val="1A2B35"/>
          <w:sz w:val="22"/>
          <w:szCs w:val="22"/>
        </w:rPr>
        <w:t xml:space="preserve">Singapore is ageing faster than almost any developed economy in Asia. By 2030, one in four Singapore residents will be 65 or older. The proportion of citizens needing some form of long-term care is rising, the supply of professional caregivers is structurally constrained by labour and visa policy, and the burden has been quietly redistributed onto family members and foreign domestic workers. The numbers below are the most recent published figures and frame the size of the problem ALLY addresses.</w:t>
      </w:r>
    </w:p>
    <w:p>
      <w:pPr>
        <w:spacing w:after="120" w:line="320"/>
        <w:jc w:val="left"/>
      </w:pPr>
      <w:r>
        <w:rPr>
          <w:rFonts w:ascii="Calibri" w:cs="Calibri" w:eastAsia="Calibri" w:hAnsi="Calibri"/>
          <w:b/>
          <w:bCs/>
          <w:color w:val="1A2B35"/>
          <w:sz w:val="22"/>
          <w:szCs w:val="22"/>
        </w:rPr>
        <w:t xml:space="preserve">210,000+</w:t>
      </w:r>
      <w:r>
        <w:rPr>
          <w:rFonts w:ascii="Calibri" w:cs="Calibri" w:eastAsia="Calibri" w:hAnsi="Calibri"/>
          <w:color w:val="1A2B35"/>
          <w:sz w:val="22"/>
          <w:szCs w:val="22"/>
        </w:rPr>
        <w:t xml:space="preserve"> Singaporeans are informal family caregivers — the figure most commonly cited by MOH and AIC across recent communications.</w:t>
      </w:r>
    </w:p>
    <w:p>
      <w:pPr>
        <w:spacing w:after="120" w:line="320"/>
        <w:jc w:val="left"/>
      </w:pPr>
      <w:r>
        <w:rPr>
          <w:rFonts w:ascii="Calibri" w:cs="Calibri" w:eastAsia="Calibri" w:hAnsi="Calibri"/>
          <w:b/>
          <w:bCs/>
          <w:color w:val="1A2B35"/>
          <w:sz w:val="22"/>
          <w:szCs w:val="22"/>
        </w:rPr>
        <w:t xml:space="preserve">90,300</w:t>
      </w:r>
      <w:r>
        <w:rPr>
          <w:rFonts w:ascii="Calibri" w:cs="Calibri" w:eastAsia="Calibri" w:hAnsi="Calibri"/>
          <w:color w:val="1A2B35"/>
          <w:sz w:val="22"/>
          <w:szCs w:val="22"/>
        </w:rPr>
        <w:t xml:space="preserve"> residents are out of the labour force primarily because of caregiving duties (2022 Labour Force Survey), of whom roughly 12,400 are caring specifically for elderly parents.</w:t>
      </w:r>
    </w:p>
    <w:p>
      <w:pPr>
        <w:spacing w:after="120" w:line="320"/>
        <w:jc w:val="left"/>
      </w:pPr>
      <w:r>
        <w:rPr>
          <w:rFonts w:ascii="Calibri" w:cs="Calibri" w:eastAsia="Calibri" w:hAnsi="Calibri"/>
          <w:b/>
          <w:bCs/>
          <w:color w:val="1A2B35"/>
          <w:sz w:val="22"/>
          <w:szCs w:val="22"/>
        </w:rPr>
        <w:t xml:space="preserve">33 hours/week</w:t>
      </w:r>
      <w:r>
        <w:rPr>
          <w:rFonts w:ascii="Calibri" w:cs="Calibri" w:eastAsia="Calibri" w:hAnsi="Calibri"/>
          <w:color w:val="1A2B35"/>
          <w:sz w:val="22"/>
          <w:szCs w:val="22"/>
        </w:rPr>
        <w:t xml:space="preserve"> is the average primary informal caregiver workload (Duke-NUS CARE study). Secondary caregivers add another 8.4 hours. Foreign domestic workers in caregiving roles average 42 hours/week.</w:t>
      </w:r>
    </w:p>
    <w:p>
      <w:pPr>
        <w:spacing w:after="120" w:line="320"/>
        <w:jc w:val="left"/>
      </w:pPr>
      <w:r>
        <w:rPr>
          <w:rFonts w:ascii="Calibri" w:cs="Calibri" w:eastAsia="Calibri" w:hAnsi="Calibri"/>
          <w:b/>
          <w:bCs/>
          <w:color w:val="1A2B35"/>
          <w:sz w:val="22"/>
          <w:szCs w:val="22"/>
        </w:rPr>
        <w:t xml:space="preserve">S$1.28 billion/year</w:t>
      </w:r>
      <w:r>
        <w:rPr>
          <w:rFonts w:ascii="Calibri" w:cs="Calibri" w:eastAsia="Calibri" w:hAnsi="Calibri"/>
          <w:color w:val="1A2B35"/>
          <w:sz w:val="22"/>
          <w:szCs w:val="22"/>
        </w:rPr>
        <w:t xml:space="preserve"> is the estimated monetary value of unpaid caregiving time for Singaporeans aged 75+ alone — comparable to a small ministry budget, and entirely invisible in the national accounts.</w:t>
      </w:r>
    </w:p>
    <w:p>
      <w:pPr>
        <w:spacing w:after="120" w:line="320"/>
        <w:jc w:val="left"/>
      </w:pPr>
      <w:r>
        <w:rPr>
          <w:rFonts w:ascii="Calibri" w:cs="Calibri" w:eastAsia="Calibri" w:hAnsi="Calibri"/>
          <w:b/>
          <w:bCs/>
          <w:color w:val="1A2B35"/>
          <w:sz w:val="22"/>
          <w:szCs w:val="22"/>
        </w:rPr>
        <w:t xml:space="preserve">40%+</w:t>
      </w:r>
      <w:r>
        <w:rPr>
          <w:rFonts w:ascii="Calibri" w:cs="Calibri" w:eastAsia="Calibri" w:hAnsi="Calibri"/>
          <w:color w:val="1A2B35"/>
          <w:sz w:val="22"/>
          <w:szCs w:val="22"/>
        </w:rPr>
        <w:t xml:space="preserve"> of Singapore family caregivers screen at risk for clinical depression. Among caregivers of stroke survivors, the IMH/NUS study put depressive symptoms at 40.2%. Among dementia caregivers, 46% report distress from behavioural and psychological symptoms.</w:t>
      </w:r>
    </w:p>
    <w:p>
      <w:pPr>
        <w:spacing w:after="120" w:line="320"/>
        <w:jc w:val="left"/>
      </w:pPr>
      <w:r>
        <w:rPr>
          <w:rFonts w:ascii="Calibri" w:cs="Calibri" w:eastAsia="Calibri" w:hAnsi="Calibri"/>
          <w:b/>
          <w:bCs/>
          <w:color w:val="1A2B35"/>
          <w:sz w:val="22"/>
          <w:szCs w:val="22"/>
        </w:rPr>
        <w:t xml:space="preserve">5%</w:t>
      </w:r>
      <w:r>
        <w:rPr>
          <w:rFonts w:ascii="Calibri" w:cs="Calibri" w:eastAsia="Calibri" w:hAnsi="Calibri"/>
          <w:color w:val="1A2B35"/>
          <w:sz w:val="22"/>
          <w:szCs w:val="22"/>
        </w:rPr>
        <w:t xml:space="preserve"> of caregivers have ever attended any structured caregiver training (Duke-NUS, 2023). This is the single most actionable statistic in the deck — it says the upskilling gap is the size of the entire population.</w:t>
      </w:r>
    </w:p>
    <w:p>
      <w:pPr>
        <w:spacing w:after="120" w:line="320"/>
        <w:jc w:val="left"/>
      </w:pPr>
      <w:r>
        <w:rPr>
          <w:rFonts w:ascii="Calibri" w:cs="Calibri" w:eastAsia="Calibri" w:hAnsi="Calibri"/>
          <w:b/>
          <w:bCs/>
          <w:color w:val="1A2B35"/>
          <w:sz w:val="22"/>
          <w:szCs w:val="22"/>
        </w:rPr>
        <w:t xml:space="preserve">18.6%</w:t>
      </w:r>
      <w:r>
        <w:rPr>
          <w:rFonts w:ascii="Calibri" w:cs="Calibri" w:eastAsia="Calibri" w:hAnsi="Calibri"/>
          <w:color w:val="1A2B35"/>
          <w:sz w:val="22"/>
          <w:szCs w:val="22"/>
        </w:rPr>
        <w:t xml:space="preserve"> was the 30-day unplanned readmission rate for hospital patients aged 65+ in Singapore as of 2019, against a national target below 10%. International literature suggests roughly a third of these readmissions are preventable with better post-discharge support.</w:t>
      </w:r>
    </w:p>
    <w:p>
      <w:pPr>
        <w:spacing w:after="120" w:line="320"/>
        <w:jc w:val="left"/>
      </w:pPr>
      <w:r>
        <w:rPr>
          <w:rFonts w:ascii="Calibri" w:cs="Calibri" w:eastAsia="Calibri" w:hAnsi="Calibri"/>
          <w:b/>
          <w:bCs/>
          <w:color w:val="1A2B35"/>
          <w:sz w:val="22"/>
          <w:szCs w:val="22"/>
        </w:rPr>
        <w:t xml:space="preserve">1 in 11</w:t>
      </w:r>
      <w:r>
        <w:rPr>
          <w:rFonts w:ascii="Calibri" w:cs="Calibri" w:eastAsia="Calibri" w:hAnsi="Calibri"/>
          <w:color w:val="1A2B35"/>
          <w:sz w:val="22"/>
          <w:szCs w:val="22"/>
        </w:rPr>
        <w:t xml:space="preserve"> adults aged 60+ in Singapore lives with dementia per the 2023 WiSE study. That is roughly 74,000 people today. Half of those cases are still undiagnosed. MOH projections take the dementia population to 152,000 by 2030 — more than doubling caregiver demand for the most cognitively-demanding form of care.</w:t>
      </w:r>
    </w:p>
    <w:p>
      <w:pPr>
        <w:pStyle w:val="Heading2"/>
        <w:spacing w:after="160" w:before="320"/>
      </w:pPr>
      <w:r>
        <w:rPr>
          <w:rFonts w:ascii="Calibri" w:cs="Calibri" w:eastAsia="Calibri" w:hAnsi="Calibri"/>
          <w:b/>
          <w:bCs/>
          <w:color w:val="0D3D47"/>
        </w:rPr>
        <w:t xml:space="preserve">1.2 The 2026 inflection point</w:t>
      </w:r>
    </w:p>
    <w:p>
      <w:pPr>
        <w:spacing w:after="120" w:line="320"/>
        <w:jc w:val="left"/>
      </w:pPr>
      <w:r>
        <w:rPr>
          <w:rFonts w:ascii="Calibri" w:cs="Calibri" w:eastAsia="Calibri" w:hAnsi="Calibri"/>
          <w:color w:val="1A2B35"/>
          <w:sz w:val="22"/>
          <w:szCs w:val="22"/>
        </w:rPr>
        <w:t xml:space="preserve">A caregiving startup launching in 2026 is launching into a policy environment that has just shifted significantly in its favour. Three changes matter most.</w:t>
      </w:r>
    </w:p>
    <w:p>
      <w:pPr>
        <w:spacing w:after="120" w:line="320"/>
        <w:jc w:val="left"/>
      </w:pPr>
      <w:r>
        <w:rPr>
          <w:rFonts w:ascii="Calibri" w:cs="Calibri" w:eastAsia="Calibri" w:hAnsi="Calibri"/>
          <w:b/>
          <w:bCs/>
          <w:color w:val="1A2B35"/>
          <w:sz w:val="22"/>
          <w:szCs w:val="22"/>
        </w:rPr>
        <w:t xml:space="preserve">The Home Caregiving Grant has been enhanced. </w:t>
      </w:r>
      <w:r>
        <w:rPr>
          <w:rFonts w:ascii="Calibri" w:cs="Calibri" w:eastAsia="Calibri" w:hAnsi="Calibri"/>
          <w:color w:val="1A2B35"/>
          <w:sz w:val="22"/>
          <w:szCs w:val="22"/>
        </w:rPr>
        <w:t xml:space="preserve">From 1 April 2026, the maximum payout rose from S$400 to S$600 per month. The household income ceiling for eligibility rose from S$3,600 per person to S$4,800. Practically, this means that a meaningful slice of middle-income Singapore households who were previously above the cut-off are now eligible for direct cash payments tied to caring for a loved one needing assistance with three or more activities of daily living. ALLY's subsidy navigator can be the fastest path from "I am eligible" to "the money has been received".</w:t>
      </w:r>
    </w:p>
    <w:p>
      <w:pPr>
        <w:spacing w:after="120" w:line="320"/>
        <w:jc w:val="left"/>
      </w:pPr>
      <w:r>
        <w:rPr>
          <w:rFonts w:ascii="Calibri" w:cs="Calibri" w:eastAsia="Calibri" w:hAnsi="Calibri"/>
          <w:b/>
          <w:bCs/>
          <w:color w:val="1A2B35"/>
          <w:sz w:val="22"/>
          <w:szCs w:val="22"/>
        </w:rPr>
        <w:t xml:space="preserve">AIC's Caregiver Support Action Plan is in execution. </w:t>
      </w:r>
      <w:r>
        <w:rPr>
          <w:rFonts w:ascii="Calibri" w:cs="Calibri" w:eastAsia="Calibri" w:hAnsi="Calibri"/>
          <w:color w:val="1A2B35"/>
          <w:sz w:val="22"/>
          <w:szCs w:val="22"/>
        </w:rPr>
        <w:t xml:space="preserve">AIC has explicitly committed to expanding caregiver supports — training, financial assistance, navigation services, peer networks — and is conducting ongoing surveys with unpaid caregivers in 2025 and 2026 to identify unmet needs. The political will to fund and partner with caregiver-facing tooling is at its highest point in years.</w:t>
      </w:r>
    </w:p>
    <w:p>
      <w:pPr>
        <w:spacing w:after="120" w:line="320"/>
        <w:jc w:val="left"/>
      </w:pPr>
      <w:r>
        <w:rPr>
          <w:rFonts w:ascii="Calibri" w:cs="Calibri" w:eastAsia="Calibri" w:hAnsi="Calibri"/>
          <w:b/>
          <w:bCs/>
          <w:color w:val="1A2B35"/>
          <w:sz w:val="22"/>
          <w:szCs w:val="22"/>
        </w:rPr>
        <w:t xml:space="preserve">Synapxe has opened the door for HealthTech integration. </w:t>
      </w:r>
      <w:r>
        <w:rPr>
          <w:rFonts w:ascii="Calibri" w:cs="Calibri" w:eastAsia="Calibri" w:hAnsi="Calibri"/>
          <w:color w:val="1A2B35"/>
          <w:sz w:val="22"/>
          <w:szCs w:val="22"/>
        </w:rPr>
        <w:t xml:space="preserve">The HealthX Innovation Sandbox 2.0, launched in 2024, gives third-party developers access to test data, multi-cloud accessibility, and compliance/security guidance for integration into the public healthcare ecosystem. HL7 FHIR APIs are publicly documented. The Healix platform consolidates de-identified clinical data. None of this existed in usable form three years ago.</w:t>
      </w:r>
    </w:p>
    <w:p>
      <w:pPr>
        <w:spacing w:after="120" w:line="320"/>
        <w:jc w:val="left"/>
      </w:pPr>
      <w:r>
        <w:rPr>
          <w:rFonts w:ascii="Calibri" w:cs="Calibri" w:eastAsia="Calibri" w:hAnsi="Calibri"/>
          <w:color w:val="1A2B35"/>
          <w:sz w:val="22"/>
          <w:szCs w:val="22"/>
        </w:rPr>
        <w:t xml:space="preserve">The combined effect is a market where the customer is more empowered, the regulator is more permissive within clear rules, and the data infrastructure is finally addressable. ALLY needs to be in market while these tailwinds are still tailwinds.</w:t>
      </w:r>
    </w:p>
    <w:p>
      <w:pPr>
        <w:pStyle w:val="Heading2"/>
        <w:spacing w:after="160" w:before="320"/>
      </w:pPr>
      <w:r>
        <w:rPr>
          <w:rFonts w:ascii="Calibri" w:cs="Calibri" w:eastAsia="Calibri" w:hAnsi="Calibri"/>
          <w:b/>
          <w:bCs/>
          <w:color w:val="0D3D47"/>
        </w:rPr>
        <w:t xml:space="preserve">1.3 Global comparators</w:t>
      </w:r>
    </w:p>
    <w:p>
      <w:pPr>
        <w:spacing w:after="120" w:line="320"/>
        <w:jc w:val="left"/>
      </w:pPr>
      <w:r>
        <w:rPr>
          <w:rFonts w:ascii="Calibri" w:cs="Calibri" w:eastAsia="Calibri" w:hAnsi="Calibri"/>
          <w:color w:val="1A2B35"/>
          <w:sz w:val="22"/>
          <w:szCs w:val="22"/>
        </w:rPr>
        <w:t xml:space="preserve">Singapore is not alone in this curve, and ALLY benefits from understanding what worked and what failed elsewhere. Three reference points are useful.</w:t>
      </w:r>
    </w:p>
    <w:p>
      <w:pPr>
        <w:spacing w:after="120" w:line="320"/>
        <w:jc w:val="left"/>
      </w:pPr>
      <w:r>
        <w:rPr>
          <w:rFonts w:ascii="Calibri" w:cs="Calibri" w:eastAsia="Calibri" w:hAnsi="Calibri"/>
          <w:b/>
          <w:bCs/>
          <w:color w:val="1A2B35"/>
          <w:sz w:val="22"/>
          <w:szCs w:val="22"/>
        </w:rPr>
        <w:t xml:space="preserve">United States. </w:t>
      </w:r>
      <w:r>
        <w:rPr>
          <w:rFonts w:ascii="Calibri" w:cs="Calibri" w:eastAsia="Calibri" w:hAnsi="Calibri"/>
          <w:color w:val="1A2B35"/>
          <w:sz w:val="22"/>
          <w:szCs w:val="22"/>
        </w:rPr>
        <w:t xml:space="preserve">AARP estimates 53 million informal caregivers, averaging 24 hours/week, with most receiving zero training. The US response has been a combination of insurance benefits (Medicaid waivers, long-term care insurance), employer benefits (Wellthy, Cariloop, Homethrive sold as employee assistance programs), and consumer apps (Ianacare, CaringBridge, Lotsa Helping Hands). The pattern: the consumer-pay business model is hard, the employer-pay business model is robust, and clinical integration is rare. The US shows ALLY where the durable revenue is.</w:t>
      </w:r>
    </w:p>
    <w:p>
      <w:pPr>
        <w:spacing w:after="120" w:line="320"/>
        <w:jc w:val="left"/>
      </w:pPr>
      <w:r>
        <w:rPr>
          <w:rFonts w:ascii="Calibri" w:cs="Calibri" w:eastAsia="Calibri" w:hAnsi="Calibri"/>
          <w:b/>
          <w:bCs/>
          <w:color w:val="1A2B35"/>
          <w:sz w:val="22"/>
          <w:szCs w:val="22"/>
        </w:rPr>
        <w:t xml:space="preserve">United Kingdom. </w:t>
      </w:r>
      <w:r>
        <w:rPr>
          <w:rFonts w:ascii="Calibri" w:cs="Calibri" w:eastAsia="Calibri" w:hAnsi="Calibri"/>
          <w:color w:val="1A2B35"/>
          <w:sz w:val="22"/>
          <w:szCs w:val="22"/>
        </w:rPr>
        <w:t xml:space="preserve">Cera Care has scaled an in-home care service backed by data and technology, valued in the hundreds of millions of pounds, by combining labour delivery with software-enabled coordination. Lifted is a smaller competitor on the same model. The UK shows the value of bundling tech with delivery — a path ALLY can selectively borrow from in later partnerships, but should not own.</w:t>
      </w:r>
    </w:p>
    <w:p>
      <w:pPr>
        <w:spacing w:after="120" w:line="320"/>
        <w:jc w:val="left"/>
      </w:pPr>
      <w:r>
        <w:rPr>
          <w:rFonts w:ascii="Calibri" w:cs="Calibri" w:eastAsia="Calibri" w:hAnsi="Calibri"/>
          <w:b/>
          <w:bCs/>
          <w:color w:val="1A2B35"/>
          <w:sz w:val="22"/>
          <w:szCs w:val="22"/>
        </w:rPr>
        <w:t xml:space="preserve">Japan. </w:t>
      </w:r>
      <w:r>
        <w:rPr>
          <w:rFonts w:ascii="Calibri" w:cs="Calibri" w:eastAsia="Calibri" w:hAnsi="Calibri"/>
          <w:color w:val="1A2B35"/>
          <w:sz w:val="22"/>
          <w:szCs w:val="22"/>
        </w:rPr>
        <w:t xml:space="preserve">The most useful comparator demographically. Japan has run public long-term care insurance since 2000 and has been working through the same dementia surge a decade ahead of Singapore. The lesson is sobering: even with universal LTC insurance, family caregivers still bear the orchestration burden and still burn out at high rates. Software cannot fix demand-side problems, but it can substantially reduce orchestration friction. Japan also shows the political durability of caregiver subsidies — once introduced, they expand.</w:t>
      </w:r>
    </w:p>
    <w:p>
      <w:r>
        <w:br w:type="page"/>
      </w:r>
    </w:p>
    <w:p>
      <w:pPr>
        <w:pStyle w:val="Heading1"/>
        <w:spacing w:after="160" w:before="320"/>
      </w:pPr>
      <w:r>
        <w:rPr>
          <w:rFonts w:ascii="Calibri" w:cs="Calibri" w:eastAsia="Calibri" w:hAnsi="Calibri"/>
          <w:b/>
          <w:bCs/>
          <w:color w:val="0D3D47"/>
        </w:rPr>
        <w:t xml:space="preserve">Part 2 — Caregiver archetypes</w:t>
      </w:r>
    </w:p>
    <w:p>
      <w:pPr>
        <w:spacing w:after="120" w:line="320"/>
        <w:jc w:val="left"/>
      </w:pPr>
      <w:r>
        <w:rPr>
          <w:rFonts w:ascii="Calibri" w:cs="Calibri" w:eastAsia="Calibri" w:hAnsi="Calibri"/>
          <w:color w:val="1A2B35"/>
          <w:sz w:val="22"/>
          <w:szCs w:val="22"/>
        </w:rPr>
        <w:t xml:space="preserve">Caregiving in Singapore is not a single experience. The product has to serve at least nine distinct archetypes, each with its own emotional load, time profile, willingness to pay, and primary unmet need. Designing a single homepage for all of them at once is a path to designing for none. The archetypes below are the ones ALLY should build for explicitly.</w:t>
      </w:r>
    </w:p>
    <w:p>
      <w:pPr>
        <w:pStyle w:val="Heading2"/>
        <w:spacing w:after="160" w:before="320"/>
      </w:pPr>
      <w:r>
        <w:rPr>
          <w:rFonts w:ascii="Calibri" w:cs="Calibri" w:eastAsia="Calibri" w:hAnsi="Calibri"/>
          <w:b/>
          <w:bCs/>
          <w:color w:val="0D3D47"/>
        </w:rPr>
        <w:t xml:space="preserve">2.1 The Sandwich Generation Anchor</w:t>
      </w:r>
    </w:p>
    <w:p>
      <w:pPr>
        <w:spacing w:after="120" w:line="320"/>
        <w:jc w:val="left"/>
      </w:pPr>
      <w:r>
        <w:rPr>
          <w:rFonts w:ascii="Calibri" w:cs="Calibri" w:eastAsia="Calibri" w:hAnsi="Calibri"/>
          <w:color w:val="1A2B35"/>
          <w:sz w:val="22"/>
          <w:szCs w:val="22"/>
        </w:rPr>
        <w:t xml:space="preserve">A Singaporean professional in their late thirties to early fifties, often the only adult child living locally, simultaneously raising school-aged children and managing an ageing parent who has just had a serious health event. Time-poor, cognitively overloaded, financially comfortable but not wealthy, and quietly carrying most of the decision-making weight. The pain point is the mental load of being the single point of failure. Willingness to pay is the highest of any segment — S$10 to S$30 per month is reasonable if the product gives them back even an hour of cognitive overhead per week. This is ALLY's anchor segment.</w:t>
      </w:r>
    </w:p>
    <w:p>
      <w:pPr>
        <w:pStyle w:val="Heading2"/>
        <w:spacing w:after="160" w:before="320"/>
      </w:pPr>
      <w:r>
        <w:rPr>
          <w:rFonts w:ascii="Calibri" w:cs="Calibri" w:eastAsia="Calibri" w:hAnsi="Calibri"/>
          <w:b/>
          <w:bCs/>
          <w:color w:val="0D3D47"/>
        </w:rPr>
        <w:t xml:space="preserve">2.2 The Spouse Caregiver</w:t>
      </w:r>
    </w:p>
    <w:p>
      <w:pPr>
        <w:spacing w:after="120" w:line="320"/>
        <w:jc w:val="left"/>
      </w:pPr>
      <w:r>
        <w:rPr>
          <w:rFonts w:ascii="Calibri" w:cs="Calibri" w:eastAsia="Calibri" w:hAnsi="Calibri"/>
          <w:color w:val="1A2B35"/>
          <w:sz w:val="22"/>
          <w:szCs w:val="22"/>
        </w:rPr>
        <w:t xml:space="preserve">Often elderly themselves, caring for a partner with dementia, post-stroke deficits, or progressive illness. Frequently socially isolated, frequently dealing with their own health conditions, often resistant to technology, and emotionally entangled in a way that makes ordinary task management feel cold. The pain point is loneliness as much as logistics. Willingness to pay is low to moderate; price-sensitive but loyal once trust is earned. ALLY's job is to be a gentle presence, not a productivity tool.</w:t>
      </w:r>
    </w:p>
    <w:p>
      <w:pPr>
        <w:pStyle w:val="Heading2"/>
        <w:spacing w:after="160" w:before="320"/>
      </w:pPr>
      <w:r>
        <w:rPr>
          <w:rFonts w:ascii="Calibri" w:cs="Calibri" w:eastAsia="Calibri" w:hAnsi="Calibri"/>
          <w:b/>
          <w:bCs/>
          <w:color w:val="0D3D47"/>
        </w:rPr>
        <w:t xml:space="preserve">2.3 The Distributed Family</w:t>
      </w:r>
    </w:p>
    <w:p>
      <w:pPr>
        <w:spacing w:after="120" w:line="320"/>
        <w:jc w:val="left"/>
      </w:pPr>
      <w:r>
        <w:rPr>
          <w:rFonts w:ascii="Calibri" w:cs="Calibri" w:eastAsia="Calibri" w:hAnsi="Calibri"/>
          <w:color w:val="1A2B35"/>
          <w:sz w:val="22"/>
          <w:szCs w:val="22"/>
        </w:rPr>
        <w:t xml:space="preserve">Adult children scattered across Singapore, the region, and the diaspora, coordinating care for a parent ageing in place. The hard part is not the care itself but the synchronisation — who took mum to the polyclinic, did the wound dressing get done, why did the helper not log the medication. Pain point is information asymmetry and the family conflict it generates. Willingness to pay is moderate to high; one paying account funds a multi-seat family. This is ALLY's viral loop — one user buys, three to five join free seats.</w:t>
      </w:r>
    </w:p>
    <w:p>
      <w:pPr>
        <w:pStyle w:val="Heading2"/>
        <w:spacing w:after="160" w:before="320"/>
      </w:pPr>
      <w:r>
        <w:rPr>
          <w:rFonts w:ascii="Calibri" w:cs="Calibri" w:eastAsia="Calibri" w:hAnsi="Calibri"/>
          <w:b/>
          <w:bCs/>
          <w:color w:val="0D3D47"/>
        </w:rPr>
        <w:t xml:space="preserve">2.4 The FDW-Reliant Household</w:t>
      </w:r>
    </w:p>
    <w:p>
      <w:pPr>
        <w:spacing w:after="120" w:line="320"/>
        <w:jc w:val="left"/>
      </w:pPr>
      <w:r>
        <w:rPr>
          <w:rFonts w:ascii="Calibri" w:cs="Calibri" w:eastAsia="Calibri" w:hAnsi="Calibri"/>
          <w:color w:val="1A2B35"/>
          <w:sz w:val="22"/>
          <w:szCs w:val="22"/>
        </w:rPr>
        <w:t xml:space="preserve">A migrant domestic worker — typically Filipino, Indonesian, Burmese, or Indian — is the hands-on primary caregiver, while the family is the financial and decision-making layer. The pain point is twofold: the family lacks visibility into what the helper actually does day-to-day, and the helper lacks clinical training, language support, and tools to do the job confidently. Most caregiver apps ignore the FDW entirely. ALLY's FDW-first mode (large text, audio instructions, bilingual UI, photo-based wound logs) is one of the strongest differentiators available, and the migrant labour population in caregiving roles in Singapore now exceeds 100,000.</w:t>
      </w:r>
    </w:p>
    <w:p>
      <w:pPr>
        <w:pStyle w:val="Heading2"/>
        <w:spacing w:after="160" w:before="320"/>
      </w:pPr>
      <w:r>
        <w:rPr>
          <w:rFonts w:ascii="Calibri" w:cs="Calibri" w:eastAsia="Calibri" w:hAnsi="Calibri"/>
          <w:b/>
          <w:bCs/>
          <w:color w:val="0D3D47"/>
        </w:rPr>
        <w:t xml:space="preserve">2.5 The Young Caregiver</w:t>
      </w:r>
    </w:p>
    <w:p>
      <w:pPr>
        <w:spacing w:after="120" w:line="320"/>
        <w:jc w:val="left"/>
      </w:pPr>
      <w:r>
        <w:rPr>
          <w:rFonts w:ascii="Calibri" w:cs="Calibri" w:eastAsia="Calibri" w:hAnsi="Calibri"/>
          <w:color w:val="1A2B35"/>
          <w:sz w:val="22"/>
          <w:szCs w:val="22"/>
        </w:rPr>
        <w:t xml:space="preserve">Under 35, often a student or early-career professional, suddenly thrust into the role by a parent's health event. The number using the Caregivers Training Grant grew from 287 in 2013 to 465 in 2017, and SMU's 2025 work suggests young caregivers are an under-counted population whose labour market trajectories suffer materially. The pain point is information shock — they were not raised expecting this, the language of healthcare is unfamiliar, and the financial cost lands during their lowest-earning years. Willingness to pay is low (a freemium tier and partnerships with universities are the right entry). This is the founder's own segment, and the most personally important to design correctly.</w:t>
      </w:r>
    </w:p>
    <w:p>
      <w:pPr>
        <w:pStyle w:val="Heading2"/>
        <w:spacing w:after="160" w:before="320"/>
      </w:pPr>
      <w:r>
        <w:rPr>
          <w:rFonts w:ascii="Calibri" w:cs="Calibri" w:eastAsia="Calibri" w:hAnsi="Calibri"/>
          <w:b/>
          <w:bCs/>
          <w:color w:val="0D3D47"/>
        </w:rPr>
        <w:t xml:space="preserve">2.6 The Dual-Care Caregiver</w:t>
      </w:r>
    </w:p>
    <w:p>
      <w:pPr>
        <w:spacing w:after="120" w:line="320"/>
        <w:jc w:val="left"/>
      </w:pPr>
      <w:r>
        <w:rPr>
          <w:rFonts w:ascii="Calibri" w:cs="Calibri" w:eastAsia="Calibri" w:hAnsi="Calibri"/>
          <w:color w:val="1A2B35"/>
          <w:sz w:val="22"/>
          <w:szCs w:val="22"/>
        </w:rPr>
        <w:t xml:space="preserve">Caring for both a child with significant medical needs and an ageing parent. Rare in absolute numbers but extreme in burden — they are the segment most likely to drop out of the labour force and most likely to develop clinical depression. The pain point is impossible triage. ALLY needs to handle multi-recipient care plans gracefully; this is a feature decision, not just a use case. Willingness to pay is high but the segment is small.</w:t>
      </w:r>
    </w:p>
    <w:p>
      <w:pPr>
        <w:pStyle w:val="Heading2"/>
        <w:spacing w:after="160" w:before="320"/>
      </w:pPr>
      <w:r>
        <w:rPr>
          <w:rFonts w:ascii="Calibri" w:cs="Calibri" w:eastAsia="Calibri" w:hAnsi="Calibri"/>
          <w:b/>
          <w:bCs/>
          <w:color w:val="0D3D47"/>
        </w:rPr>
        <w:t xml:space="preserve">2.7 The Temporary Caregiver</w:t>
      </w:r>
    </w:p>
    <w:p>
      <w:pPr>
        <w:spacing w:after="120" w:line="320"/>
        <w:jc w:val="left"/>
      </w:pPr>
      <w:r>
        <w:rPr>
          <w:rFonts w:ascii="Calibri" w:cs="Calibri" w:eastAsia="Calibri" w:hAnsi="Calibri"/>
          <w:color w:val="1A2B35"/>
          <w:sz w:val="22"/>
          <w:szCs w:val="22"/>
        </w:rPr>
        <w:t xml:space="preserve">Caregiving for a defined episode — post-surgery recovery, a course of chemotherapy, a fall and rehabilitation. Will be a caregiver for six weeks and then return to their life. The pain point is the steep learning curve for a problem they will never have to solve again. Willingness to pay is one-time and sharp: S$10 to S$30 for a "discharge starter pack" makes sense; an ongoing subscription is a hard sell. ALLY should explicitly support this with a 30-day or 90-day product (see pricing).</w:t>
      </w:r>
    </w:p>
    <w:p>
      <w:pPr>
        <w:pStyle w:val="Heading2"/>
        <w:spacing w:after="160" w:before="320"/>
      </w:pPr>
      <w:r>
        <w:rPr>
          <w:rFonts w:ascii="Calibri" w:cs="Calibri" w:eastAsia="Calibri" w:hAnsi="Calibri"/>
          <w:b/>
          <w:bCs/>
          <w:color w:val="0D3D47"/>
        </w:rPr>
        <w:t xml:space="preserve">2.8 The Long-Term Chronic Caregiver</w:t>
      </w:r>
    </w:p>
    <w:p>
      <w:pPr>
        <w:spacing w:after="120" w:line="320"/>
        <w:jc w:val="left"/>
      </w:pPr>
      <w:r>
        <w:rPr>
          <w:rFonts w:ascii="Calibri" w:cs="Calibri" w:eastAsia="Calibri" w:hAnsi="Calibri"/>
          <w:color w:val="1A2B35"/>
          <w:sz w:val="22"/>
          <w:szCs w:val="22"/>
        </w:rPr>
        <w:t xml:space="preserve">Multi-year, often multi-decade, often invisible to the formal care system. Dementia caregivers, caregivers of severely disabled adult children, caregivers in advanced renal or oncology trajectories. The pain point shifts from logistics to identity and meaning — the role becomes the person. Willingness to pay is moderate but stickiness is extreme: once they trust a tool, they stay. ALLY's burnout monitoring and respite-routing features are most important for this archetype.</w:t>
      </w:r>
    </w:p>
    <w:p>
      <w:pPr>
        <w:pStyle w:val="Heading2"/>
        <w:spacing w:after="160" w:before="320"/>
      </w:pPr>
      <w:r>
        <w:rPr>
          <w:rFonts w:ascii="Calibri" w:cs="Calibri" w:eastAsia="Calibri" w:hAnsi="Calibri"/>
          <w:b/>
          <w:bCs/>
          <w:color w:val="0D3D47"/>
        </w:rPr>
        <w:t xml:space="preserve">2.9 The Recipient-Caregiver</w:t>
      </w:r>
    </w:p>
    <w:p>
      <w:pPr>
        <w:spacing w:after="120" w:line="320"/>
        <w:jc w:val="left"/>
      </w:pPr>
      <w:r>
        <w:rPr>
          <w:rFonts w:ascii="Calibri" w:cs="Calibri" w:eastAsia="Calibri" w:hAnsi="Calibri"/>
          <w:color w:val="1A2B35"/>
          <w:sz w:val="22"/>
          <w:szCs w:val="22"/>
        </w:rPr>
        <w:t xml:space="preserve">Both parties in a household are simultaneously providing and receiving care — a couple where one has dementia and the other is recovering from surgery, or two ageing siblings who care for each other. Often invisible to social services because the household appears self-sufficient on paper. The pain point is the absence of any external safety net at all. ALLY's value here is being the third party that catches the household before it falls.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6B7B" w:sz="4"/>
              <w:left w:val="single" w:color="1B6B7B" w:sz="12"/>
              <w:bottom w:val="single" w:color="1B6B7B" w:sz="4"/>
              <w:right w:val="single" w:color="1B6B7B" w:sz="4"/>
            </w:tcBorders>
            <w:shd w:fill="E0F2F6" w:val="clear"/>
            <w:tcMar>
              <w:top w:type="dxa" w:w="160"/>
              <w:left w:type="dxa" w:w="200"/>
              <w:bottom w:type="dxa" w:w="160"/>
              <w:right w:type="dxa" w:w="200"/>
            </w:tcMar>
          </w:tcPr>
          <w:p>
            <w:pPr>
              <w:spacing w:after="80"/>
            </w:pPr>
            <w:r>
              <w:rPr>
                <w:rFonts w:ascii="Calibri" w:cs="Calibri" w:eastAsia="Calibri" w:hAnsi="Calibri"/>
                <w:b/>
                <w:bCs/>
                <w:color w:val="0D3D47"/>
                <w:sz w:val="22"/>
                <w:szCs w:val="22"/>
              </w:rPr>
              <w:t xml:space="preserve">Design implication</w:t>
            </w:r>
          </w:p>
          <w:p>
            <w:r>
              <w:rPr>
                <w:rFonts w:ascii="Calibri" w:cs="Calibri" w:eastAsia="Calibri" w:hAnsi="Calibri"/>
                <w:color w:val="1A2B35"/>
                <w:sz w:val="22"/>
                <w:szCs w:val="22"/>
              </w:rPr>
              <w:t xml:space="preserve">ALLY should ask a small number of profile questions on onboarding (how many recipients, primary caregiver role, household composition, language preference) and route users into archetype-aware experiences from the first screen. A single neutral homepage trying to be everything to everyone is a worse product for every archetype than a routed one.</w:t>
            </w:r>
          </w:p>
        </w:tc>
      </w:tr>
    </w:tbl>
    <w:p>
      <w:r>
        <w:br w:type="page"/>
      </w:r>
    </w:p>
    <w:p>
      <w:pPr>
        <w:pStyle w:val="Heading1"/>
        <w:spacing w:after="160" w:before="320"/>
      </w:pPr>
      <w:r>
        <w:rPr>
          <w:rFonts w:ascii="Calibri" w:cs="Calibri" w:eastAsia="Calibri" w:hAnsi="Calibri"/>
          <w:b/>
          <w:bCs/>
          <w:color w:val="0D3D47"/>
        </w:rPr>
        <w:t xml:space="preserve">Part 3 — Walking in their shoes</w:t>
      </w:r>
    </w:p>
    <w:p>
      <w:pPr>
        <w:spacing w:after="120" w:line="320"/>
        <w:jc w:val="left"/>
      </w:pPr>
      <w:r>
        <w:rPr>
          <w:rFonts w:ascii="Calibri" w:cs="Calibri" w:eastAsia="Calibri" w:hAnsi="Calibri"/>
          <w:color w:val="1A2B35"/>
          <w:sz w:val="22"/>
          <w:szCs w:val="22"/>
        </w:rPr>
        <w:t xml:space="preserve">To build the right product, the team has to internalise what the lived experience actually feels like. The sections below are written deliberately in the second person, as if the reader is the caregiver, because the empathy gap closes faster that way. Each pain point ends with the specific feature ALLY ships in response.</w:t>
      </w:r>
    </w:p>
    <w:p>
      <w:pPr>
        <w:pStyle w:val="Heading2"/>
        <w:spacing w:after="160" w:before="320"/>
      </w:pPr>
      <w:r>
        <w:rPr>
          <w:rFonts w:ascii="Calibri" w:cs="Calibri" w:eastAsia="Calibri" w:hAnsi="Calibri"/>
          <w:b/>
          <w:bCs/>
          <w:color w:val="0D3D47"/>
        </w:rPr>
        <w:t xml:space="preserve">3.1 The first 72 hours after discharge</w:t>
      </w:r>
    </w:p>
    <w:p>
      <w:pPr>
        <w:spacing w:after="120" w:line="320"/>
        <w:jc w:val="left"/>
      </w:pPr>
      <w:r>
        <w:rPr>
          <w:rFonts w:ascii="Calibri" w:cs="Calibri" w:eastAsia="Calibri" w:hAnsi="Calibri"/>
          <w:color w:val="1A2B35"/>
          <w:sz w:val="22"/>
          <w:szCs w:val="22"/>
        </w:rPr>
        <w:t xml:space="preserve">You are standing in a hospital ward with a six-page discharge summary in your hand. Your mother is in the wheelchair next to you, drowsy from anaesthesia. The nurse has gone through the medication list quickly — too quickly — and you are nodding because everyone is nodding. There are four medications, two of which sound similar. There is something about a wound dressing every two days. There is a follow-up at SGH in two weeks and another at the polyclinic in one week and a physio appointment somewhere. You will not remember any of this in three hours. You will be terrified to admit that out loud.</w:t>
      </w:r>
    </w:p>
    <w:p>
      <w:pPr>
        <w:spacing w:after="120" w:line="320"/>
        <w:jc w:val="left"/>
      </w:pPr>
      <w:r>
        <w:rPr>
          <w:rFonts w:ascii="Calibri" w:cs="Calibri" w:eastAsia="Calibri" w:hAnsi="Calibri"/>
          <w:b/>
          <w:bCs/>
          <w:color w:val="1A2B35"/>
          <w:sz w:val="22"/>
          <w:szCs w:val="22"/>
        </w:rPr>
        <w:t xml:space="preserve">ALLY ships: </w:t>
      </w:r>
      <w:r>
        <w:rPr>
          <w:rFonts w:ascii="Calibri" w:cs="Calibri" w:eastAsia="Calibri" w:hAnsi="Calibri"/>
          <w:color w:val="1A2B35"/>
          <w:sz w:val="22"/>
          <w:szCs w:val="22"/>
        </w:rPr>
        <w:t xml:space="preserve">a discharge-summary parser that turns the document into a structured care plan in under thirty seconds, with the human-in-the-loop confirmation step preserving caregiver agency. This is the hook that earns the right to all the other features.</w:t>
      </w:r>
    </w:p>
    <w:p>
      <w:pPr>
        <w:pStyle w:val="Heading2"/>
        <w:spacing w:after="160" w:before="320"/>
      </w:pPr>
      <w:r>
        <w:rPr>
          <w:rFonts w:ascii="Calibri" w:cs="Calibri" w:eastAsia="Calibri" w:hAnsi="Calibri"/>
          <w:b/>
          <w:bCs/>
          <w:color w:val="0D3D47"/>
        </w:rPr>
        <w:t xml:space="preserve">3.2 The medication maze</w:t>
      </w:r>
    </w:p>
    <w:p>
      <w:pPr>
        <w:spacing w:after="120" w:line="320"/>
        <w:jc w:val="left"/>
      </w:pPr>
      <w:r>
        <w:rPr>
          <w:rFonts w:ascii="Calibri" w:cs="Calibri" w:eastAsia="Calibri" w:hAnsi="Calibri"/>
          <w:color w:val="1A2B35"/>
          <w:sz w:val="22"/>
          <w:szCs w:val="22"/>
        </w:rPr>
        <w:t xml:space="preserve">Three weeks in, you have a printed list, a WhatsApp note, and a sticky note on the fridge. The morning Metformin happened, you think, but you cannot remember if it was today or yesterday. The Celecoxib is supposed to stop after seven days. Was today day six or day eight. The helper is asking when to give the Amlodipine. Your sibling in Sydney is asking why the BP reading at 8pm was higher than yesterday. You cannot answer any of these questions reliably.</w:t>
      </w:r>
    </w:p>
    <w:p>
      <w:pPr>
        <w:spacing w:after="120" w:line="320"/>
        <w:jc w:val="left"/>
      </w:pPr>
      <w:r>
        <w:rPr>
          <w:rFonts w:ascii="Calibri" w:cs="Calibri" w:eastAsia="Calibri" w:hAnsi="Calibri"/>
          <w:b/>
          <w:bCs/>
          <w:color w:val="1A2B35"/>
          <w:sz w:val="22"/>
          <w:szCs w:val="22"/>
        </w:rPr>
        <w:t xml:space="preserve">ALLY ships: </w:t>
      </w:r>
      <w:r>
        <w:rPr>
          <w:rFonts w:ascii="Calibri" w:cs="Calibri" w:eastAsia="Calibri" w:hAnsi="Calibri"/>
          <w:color w:val="1A2B35"/>
          <w:sz w:val="22"/>
          <w:szCs w:val="22"/>
        </w:rPr>
        <w:t xml:space="preserve">a medication schedule with ownership, completion logging, and family-visible status — and explicit stop-date tracking for time-limited prescriptions. The real value is not the reminder; it is the auditable trail that ends arguments at family WhatsApp meetings.</w:t>
      </w:r>
    </w:p>
    <w:p>
      <w:pPr>
        <w:pStyle w:val="Heading2"/>
        <w:spacing w:after="160" w:before="320"/>
      </w:pPr>
      <w:r>
        <w:rPr>
          <w:rFonts w:ascii="Calibri" w:cs="Calibri" w:eastAsia="Calibri" w:hAnsi="Calibri"/>
          <w:b/>
          <w:bCs/>
          <w:color w:val="0D3D47"/>
        </w:rPr>
        <w:t xml:space="preserve">3.3 Subsidy navigation hell</w:t>
      </w:r>
    </w:p>
    <w:p>
      <w:pPr>
        <w:spacing w:after="120" w:line="320"/>
        <w:jc w:val="left"/>
      </w:pPr>
      <w:r>
        <w:rPr>
          <w:rFonts w:ascii="Calibri" w:cs="Calibri" w:eastAsia="Calibri" w:hAnsi="Calibri"/>
          <w:color w:val="1A2B35"/>
          <w:sz w:val="22"/>
          <w:szCs w:val="22"/>
        </w:rPr>
        <w:t xml:space="preserve">Someone at the hospital mentioned the Home Caregiving Grant. You opened the AIC website and found six possible schemes. The Pioneer Generation, the CHAS card, the Senior Mobility Fund, MediFund Silver, the Caregivers Training Grant. Each has different eligibility criteria. You are not sure which apply. You are not sure what you need to apply with. You are too tired to spend the weekend on this. You will not get around to it. You will leave money on the table — likely thousands of dollars a year.</w:t>
      </w:r>
    </w:p>
    <w:p>
      <w:pPr>
        <w:spacing w:after="120" w:line="320"/>
        <w:jc w:val="left"/>
      </w:pPr>
      <w:r>
        <w:rPr>
          <w:rFonts w:ascii="Calibri" w:cs="Calibri" w:eastAsia="Calibri" w:hAnsi="Calibri"/>
          <w:b/>
          <w:bCs/>
          <w:color w:val="1A2B35"/>
          <w:sz w:val="22"/>
          <w:szCs w:val="22"/>
        </w:rPr>
        <w:t xml:space="preserve">ALLY ships: </w:t>
      </w:r>
      <w:r>
        <w:rPr>
          <w:rFonts w:ascii="Calibri" w:cs="Calibri" w:eastAsia="Calibri" w:hAnsi="Calibri"/>
          <w:color w:val="1A2B35"/>
          <w:sz w:val="22"/>
          <w:szCs w:val="22"/>
        </w:rPr>
        <w:t xml:space="preserve">a subsidy navigator that asks five questions and surfaces the schemes the household qualifies for, with direct links to application portals and a checklist of supporting documents. This feature, more than any other, makes ALLY pay for itself the day a caregiver installs it.</w:t>
      </w:r>
    </w:p>
    <w:p>
      <w:pPr>
        <w:pStyle w:val="Heading2"/>
        <w:spacing w:after="160" w:before="320"/>
      </w:pPr>
      <w:r>
        <w:rPr>
          <w:rFonts w:ascii="Calibri" w:cs="Calibri" w:eastAsia="Calibri" w:hAnsi="Calibri"/>
          <w:b/>
          <w:bCs/>
          <w:color w:val="0D3D47"/>
        </w:rPr>
        <w:t xml:space="preserve">3.4 The mental load</w:t>
      </w:r>
    </w:p>
    <w:p>
      <w:pPr>
        <w:spacing w:after="120" w:line="320"/>
        <w:jc w:val="left"/>
      </w:pPr>
      <w:r>
        <w:rPr>
          <w:rFonts w:ascii="Calibri" w:cs="Calibri" w:eastAsia="Calibri" w:hAnsi="Calibri"/>
          <w:color w:val="1A2B35"/>
          <w:sz w:val="22"/>
          <w:szCs w:val="22"/>
        </w:rPr>
        <w:t xml:space="preserve">You are the mental note-taker. You are the appointment scheduler, the medication-checker, the symptom-watcher, the insurance-arguer, the helper-trainer, the sibling-updater. You are the person who notices that mum has stopped eating breakfast and worries quietly about whether that means something. You are the person whose own doctor's appointment got cancelled because mum had a fall. You have not had a full night's sleep in three weeks and you are starting to be short with your kids. Nobody is asking how you are.</w:t>
      </w:r>
    </w:p>
    <w:p>
      <w:pPr>
        <w:spacing w:after="120" w:line="320"/>
        <w:jc w:val="left"/>
      </w:pPr>
      <w:r>
        <w:rPr>
          <w:rFonts w:ascii="Calibri" w:cs="Calibri" w:eastAsia="Calibri" w:hAnsi="Calibri"/>
          <w:b/>
          <w:bCs/>
          <w:color w:val="1A2B35"/>
          <w:sz w:val="22"/>
          <w:szCs w:val="22"/>
        </w:rPr>
        <w:t xml:space="preserve">ALLY ships: </w:t>
      </w:r>
      <w:r>
        <w:rPr>
          <w:rFonts w:ascii="Calibri" w:cs="Calibri" w:eastAsia="Calibri" w:hAnsi="Calibri"/>
          <w:color w:val="1A2B35"/>
          <w:sz w:val="22"/>
          <w:szCs w:val="22"/>
        </w:rPr>
        <w:t xml:space="preserve">passive burnout detection through completion patterns and chat sentiment, mood check-ins designed for ten-second use, and respite-routing that surfaces local respite care options when burnout signals exceed thresholds. The product is calibrated to be a gentle presence, not a productivity drill sergeant.</w:t>
      </w:r>
    </w:p>
    <w:p>
      <w:pPr>
        <w:pStyle w:val="Heading2"/>
        <w:spacing w:after="160" w:before="320"/>
      </w:pPr>
      <w:r>
        <w:rPr>
          <w:rFonts w:ascii="Calibri" w:cs="Calibri" w:eastAsia="Calibri" w:hAnsi="Calibri"/>
          <w:b/>
          <w:bCs/>
          <w:color w:val="0D3D47"/>
        </w:rPr>
        <w:t xml:space="preserve">3.5 Family conflict</w:t>
      </w:r>
    </w:p>
    <w:p>
      <w:pPr>
        <w:spacing w:after="120" w:line="320"/>
        <w:jc w:val="left"/>
      </w:pPr>
      <w:r>
        <w:rPr>
          <w:rFonts w:ascii="Calibri" w:cs="Calibri" w:eastAsia="Calibri" w:hAnsi="Calibri"/>
          <w:color w:val="1A2B35"/>
          <w:sz w:val="22"/>
          <w:szCs w:val="22"/>
        </w:rPr>
        <w:t xml:space="preserve">Your brother thinks you are doing too much and treating mum like a child. Your sister thinks you are not doing enough and that the helper is being lazy. The helper thinks no-one is in charge. Mum thinks everyone should leave her alone. Every weekly family video call dissolves into the same five arguments. You have started dreading it.</w:t>
      </w:r>
    </w:p>
    <w:p>
      <w:pPr>
        <w:spacing w:after="120" w:line="320"/>
        <w:jc w:val="left"/>
      </w:pPr>
      <w:r>
        <w:rPr>
          <w:rFonts w:ascii="Calibri" w:cs="Calibri" w:eastAsia="Calibri" w:hAnsi="Calibri"/>
          <w:b/>
          <w:bCs/>
          <w:color w:val="1A2B35"/>
          <w:sz w:val="22"/>
          <w:szCs w:val="22"/>
        </w:rPr>
        <w:t xml:space="preserve">ALLY ships: </w:t>
      </w:r>
      <w:r>
        <w:rPr>
          <w:rFonts w:ascii="Calibri" w:cs="Calibri" w:eastAsia="Calibri" w:hAnsi="Calibri"/>
          <w:color w:val="1A2B35"/>
          <w:sz w:val="22"/>
          <w:szCs w:val="22"/>
        </w:rPr>
        <w:t xml:space="preserve">a shared task dashboard with ownership and completion status, a transparent log so any family member can see who did what and when without anyone having to defend themselves, and role-based permissions so the FDW is a first-class user with their own screen rather than a target of suspicion.</w:t>
      </w:r>
    </w:p>
    <w:p>
      <w:pPr>
        <w:pStyle w:val="Heading2"/>
        <w:spacing w:after="160" w:before="320"/>
      </w:pPr>
      <w:r>
        <w:rPr>
          <w:rFonts w:ascii="Calibri" w:cs="Calibri" w:eastAsia="Calibri" w:hAnsi="Calibri"/>
          <w:b/>
          <w:bCs/>
          <w:color w:val="0D3D47"/>
        </w:rPr>
        <w:t xml:space="preserve">3.6 Cultural barriers</w:t>
      </w:r>
    </w:p>
    <w:p>
      <w:pPr>
        <w:spacing w:after="120" w:line="320"/>
        <w:jc w:val="left"/>
      </w:pPr>
      <w:r>
        <w:rPr>
          <w:rFonts w:ascii="Calibri" w:cs="Calibri" w:eastAsia="Calibri" w:hAnsi="Calibri"/>
          <w:color w:val="1A2B35"/>
          <w:sz w:val="22"/>
          <w:szCs w:val="22"/>
        </w:rPr>
        <w:t xml:space="preserve">You are Singaporean Chinese and your father has dementia. He does not want to be a burden, so he hides his confusion. You do not want to admit you cannot cope, so you tell extended family that things are fine. The helper has been asked, in tones that feel both polite and pointed, why she is not handling things better. Mental health is something that other families have. Asking for help feels like failure on multiple axes — filial, parental, cultural.</w:t>
      </w:r>
    </w:p>
    <w:p>
      <w:pPr>
        <w:spacing w:after="120" w:line="320"/>
        <w:jc w:val="left"/>
      </w:pPr>
      <w:r>
        <w:rPr>
          <w:rFonts w:ascii="Calibri" w:cs="Calibri" w:eastAsia="Calibri" w:hAnsi="Calibri"/>
          <w:b/>
          <w:bCs/>
          <w:color w:val="1A2B35"/>
          <w:sz w:val="22"/>
          <w:szCs w:val="22"/>
        </w:rPr>
        <w:t xml:space="preserve">ALLY ships: </w:t>
      </w:r>
      <w:r>
        <w:rPr>
          <w:rFonts w:ascii="Calibri" w:cs="Calibri" w:eastAsia="Calibri" w:hAnsi="Calibri"/>
          <w:color w:val="1A2B35"/>
          <w:sz w:val="22"/>
          <w:szCs w:val="22"/>
        </w:rPr>
        <w:t xml:space="preserve">language and tone calibrated for the Singapore context — not the imported empathy-speak of US wellness apps. Privacy by default. Resources framed as practical rather than therapeutic. A first-class place for the FDW. The product respects that asking for help is hard and lowers the bar without flattening the cultural texture.</w:t>
      </w:r>
    </w:p>
    <w:p>
      <w:pPr>
        <w:pStyle w:val="Heading2"/>
        <w:spacing w:after="160" w:before="320"/>
      </w:pPr>
      <w:r>
        <w:rPr>
          <w:rFonts w:ascii="Calibri" w:cs="Calibri" w:eastAsia="Calibri" w:hAnsi="Calibri"/>
          <w:b/>
          <w:bCs/>
          <w:color w:val="0D3D47"/>
        </w:rPr>
        <w:t xml:space="preserve">3.7 Language barriers</w:t>
      </w:r>
    </w:p>
    <w:p>
      <w:pPr>
        <w:spacing w:after="120" w:line="320"/>
        <w:jc w:val="left"/>
      </w:pPr>
      <w:r>
        <w:rPr>
          <w:rFonts w:ascii="Calibri" w:cs="Calibri" w:eastAsia="Calibri" w:hAnsi="Calibri"/>
          <w:color w:val="1A2B35"/>
          <w:sz w:val="22"/>
          <w:szCs w:val="22"/>
        </w:rPr>
        <w:t xml:space="preserve">Your father reads Mandarin newspapers but barely engages with English-language UI. Your helper speaks Tagalog at home and limited Mandarin. Your aunt reads only Tamil. The discharge summary is in English. The polyclinic letter is in English. The medication labels are in English. Half of your household is operating in a second or third language.</w:t>
      </w:r>
    </w:p>
    <w:p>
      <w:pPr>
        <w:spacing w:after="120" w:line="320"/>
        <w:jc w:val="left"/>
      </w:pPr>
      <w:r>
        <w:rPr>
          <w:rFonts w:ascii="Calibri" w:cs="Calibri" w:eastAsia="Calibri" w:hAnsi="Calibri"/>
          <w:b/>
          <w:bCs/>
          <w:color w:val="1A2B35"/>
          <w:sz w:val="22"/>
          <w:szCs w:val="22"/>
        </w:rPr>
        <w:t xml:space="preserve">ALLY ships: </w:t>
      </w:r>
      <w:r>
        <w:rPr>
          <w:rFonts w:ascii="Calibri" w:cs="Calibri" w:eastAsia="Calibri" w:hAnsi="Calibri"/>
          <w:color w:val="1A2B35"/>
          <w:sz w:val="22"/>
          <w:szCs w:val="22"/>
        </w:rPr>
        <w:t xml:space="preserve">multilingual UI in English, Mandarin, Malay, Tamil, and Filipino, with translated educational content (not just translated buttons), and audio-output options for users who read in one language but speak comfortably in another. Translation is not an afterthought; it is a first-class feature.</w:t>
      </w:r>
    </w:p>
    <w:p>
      <w:r>
        <w:br w:type="page"/>
      </w:r>
    </w:p>
    <w:p>
      <w:pPr>
        <w:pStyle w:val="Heading1"/>
        <w:spacing w:after="160" w:before="320"/>
      </w:pPr>
      <w:r>
        <w:rPr>
          <w:rFonts w:ascii="Calibri" w:cs="Calibri" w:eastAsia="Calibri" w:hAnsi="Calibri"/>
          <w:b/>
          <w:bCs/>
          <w:color w:val="0D3D47"/>
        </w:rPr>
        <w:t xml:space="preserve">Part 4 — Pull factors: why users will come</w:t>
      </w:r>
    </w:p>
    <w:p>
      <w:pPr>
        <w:spacing w:after="120" w:line="320"/>
        <w:jc w:val="left"/>
      </w:pPr>
      <w:r>
        <w:rPr>
          <w:rFonts w:ascii="Calibri" w:cs="Calibri" w:eastAsia="Calibri" w:hAnsi="Calibri"/>
          <w:color w:val="1A2B35"/>
          <w:sz w:val="22"/>
          <w:szCs w:val="22"/>
        </w:rPr>
        <w:t xml:space="preserve">Marketing strategy without product strategy is brittle. The pull factors below are the reasons a caregiver will install ALLY voluntarily and recommend it to another caregiver — they are functions of what the product does, not what the marketing says. Each pull factor is a feature thesis, not a tagline.</w:t>
      </w:r>
    </w:p>
    <w:p>
      <w:pPr>
        <w:pStyle w:val="Heading2"/>
        <w:spacing w:after="160" w:before="320"/>
      </w:pPr>
      <w:r>
        <w:rPr>
          <w:rFonts w:ascii="Calibri" w:cs="Calibri" w:eastAsia="Calibri" w:hAnsi="Calibri"/>
          <w:b/>
          <w:bCs/>
          <w:color w:val="0D3D47"/>
        </w:rPr>
        <w:t xml:space="preserve">4.1 Discharge-summary parsing as the hook</w:t>
      </w:r>
    </w:p>
    <w:p>
      <w:pPr>
        <w:spacing w:after="120" w:line="320"/>
        <w:jc w:val="left"/>
      </w:pPr>
      <w:r>
        <w:rPr>
          <w:rFonts w:ascii="Calibri" w:cs="Calibri" w:eastAsia="Calibri" w:hAnsi="Calibri"/>
          <w:color w:val="1A2B35"/>
          <w:sz w:val="22"/>
          <w:szCs w:val="22"/>
        </w:rPr>
        <w:t xml:space="preserve">Every caregiver in Singapore has, at some point, been handed a discharge summary they could not parse. The moment they see the document turn into an organised care plan, the value proposition lands instantly and emotionally. This is the strongest single pull factor available — it solves a panic moment with a magic moment. Hospital partnerships compound it: a QR code printed on the discharge summary that opens directly into ALLY with the document pre-loaded would be the highest-conversion onboarding mechanic in the entire product.</w:t>
      </w:r>
    </w:p>
    <w:p>
      <w:pPr>
        <w:pStyle w:val="Heading2"/>
        <w:spacing w:after="160" w:before="320"/>
      </w:pPr>
      <w:r>
        <w:rPr>
          <w:rFonts w:ascii="Calibri" w:cs="Calibri" w:eastAsia="Calibri" w:hAnsi="Calibri"/>
          <w:b/>
          <w:bCs/>
          <w:color w:val="0D3D47"/>
        </w:rPr>
        <w:t xml:space="preserve">4.2 Subsidy navigator as the surprise win</w:t>
      </w:r>
    </w:p>
    <w:p>
      <w:pPr>
        <w:spacing w:after="120" w:line="320"/>
        <w:jc w:val="left"/>
      </w:pPr>
      <w:r>
        <w:rPr>
          <w:rFonts w:ascii="Calibri" w:cs="Calibri" w:eastAsia="Calibri" w:hAnsi="Calibri"/>
          <w:color w:val="1A2B35"/>
          <w:sz w:val="22"/>
          <w:szCs w:val="22"/>
        </w:rPr>
        <w:t xml:space="preserve">Most caregivers do not know what they are eligible for. AIC's 2023 awareness survey put Caregivers Training Grant awareness at 38%, and HCG awareness varies by community. When ALLY surfaces three schemes worth a combined S$8,000 a year that the user did not know existed, the product has effectively paid for a decade of subscription on day one. This is also the easiest ROI claim to make publicly: ALLY users find S$X in subsidies on average within their first 30 days. Quantifiable, defensible, viral.</w:t>
      </w:r>
    </w:p>
    <w:p>
      <w:pPr>
        <w:pStyle w:val="Heading2"/>
        <w:spacing w:after="160" w:before="320"/>
      </w:pPr>
      <w:r>
        <w:rPr>
          <w:rFonts w:ascii="Calibri" w:cs="Calibri" w:eastAsia="Calibri" w:hAnsi="Calibri"/>
          <w:b/>
          <w:bCs/>
          <w:color w:val="0D3D47"/>
        </w:rPr>
        <w:t xml:space="preserve">4.3 Burnout detection as the silent guardian</w:t>
      </w:r>
    </w:p>
    <w:p>
      <w:pPr>
        <w:spacing w:after="120" w:line="320"/>
        <w:jc w:val="left"/>
      </w:pPr>
      <w:r>
        <w:rPr>
          <w:rFonts w:ascii="Calibri" w:cs="Calibri" w:eastAsia="Calibri" w:hAnsi="Calibri"/>
          <w:color w:val="1A2B35"/>
          <w:sz w:val="22"/>
          <w:szCs w:val="22"/>
        </w:rPr>
        <w:t xml:space="preserve">Caregivers do not believe they are burning out. Their family knows. The data knows. Passive monitoring — task completion times slipping, chat sentiment shifting negative, mood log scores trending down — combined with proactive nudges and respite-routing turns the product from "another thing on the to-do list" into "the only thing watching out for me". Singapore caregivers are the most under-served population in the country on the mental health axis, and the existing options (Samaritans, IMH community services, employer EAP) require explicit help-seeking. ALLY can be the layer that makes help-seeking not necessary because help is already arriving.</w:t>
      </w:r>
    </w:p>
    <w:p>
      <w:pPr>
        <w:pStyle w:val="Heading2"/>
        <w:spacing w:after="160" w:before="320"/>
      </w:pPr>
      <w:r>
        <w:rPr>
          <w:rFonts w:ascii="Calibri" w:cs="Calibri" w:eastAsia="Calibri" w:hAnsi="Calibri"/>
          <w:b/>
          <w:bCs/>
          <w:color w:val="0D3D47"/>
        </w:rPr>
        <w:t xml:space="preserve">4.4 Multilingual is inclusion, not afterthought</w:t>
      </w:r>
    </w:p>
    <w:p>
      <w:pPr>
        <w:spacing w:after="120" w:line="320"/>
        <w:jc w:val="left"/>
      </w:pPr>
      <w:r>
        <w:rPr>
          <w:rFonts w:ascii="Calibri" w:cs="Calibri" w:eastAsia="Calibri" w:hAnsi="Calibri"/>
          <w:color w:val="1A2B35"/>
          <w:sz w:val="22"/>
          <w:szCs w:val="22"/>
        </w:rPr>
        <w:t xml:space="preserve">Most apps in Singapore are English-first with translated menus. ALLY ships translated content — JIT videos, medication explanations, subsidy guides — in five languages from day one in priority categories, expanding from there. This is a marketing wedge with the Tamil and Malay communities specifically, where digital health products often arrive last. It is also a defensible moat: building a multilingual content library is slow, expensive, and not easily copied.</w:t>
      </w:r>
    </w:p>
    <w:p>
      <w:pPr>
        <w:pStyle w:val="Heading2"/>
        <w:spacing w:after="160" w:before="320"/>
      </w:pPr>
      <w:r>
        <w:rPr>
          <w:rFonts w:ascii="Calibri" w:cs="Calibri" w:eastAsia="Calibri" w:hAnsi="Calibri"/>
          <w:b/>
          <w:bCs/>
          <w:color w:val="0D3D47"/>
        </w:rPr>
        <w:t xml:space="preserve">4.5 The care team as the viral loop</w:t>
      </w:r>
    </w:p>
    <w:p>
      <w:pPr>
        <w:spacing w:after="120" w:line="320"/>
        <w:jc w:val="left"/>
      </w:pPr>
      <w:r>
        <w:rPr>
          <w:rFonts w:ascii="Calibri" w:cs="Calibri" w:eastAsia="Calibri" w:hAnsi="Calibri"/>
          <w:color w:val="1A2B35"/>
          <w:sz w:val="22"/>
          <w:szCs w:val="22"/>
        </w:rPr>
        <w:t xml:space="preserve">A caregiver who pays for one ALLY account invites the spouse, two siblings, and the helper. Four free seats per paying seat is plausible. The viral coefficient does not need to be over one — even a 1.5x team-fanout reduces the effective customer acquisition cost to a fraction of comparable consumer health apps. Every pricing decision should preserve this loop. A free tier that does not allow team invitations would be self-defeating.</w:t>
      </w:r>
    </w:p>
    <w:p>
      <w:pPr>
        <w:pStyle w:val="Heading2"/>
        <w:spacing w:after="160" w:before="320"/>
      </w:pPr>
      <w:r>
        <w:rPr>
          <w:rFonts w:ascii="Calibri" w:cs="Calibri" w:eastAsia="Calibri" w:hAnsi="Calibri"/>
          <w:b/>
          <w:bCs/>
          <w:color w:val="0D3D47"/>
        </w:rPr>
        <w:t xml:space="preserve">4.6 The FDW first-class experience</w:t>
      </w:r>
    </w:p>
    <w:p>
      <w:pPr>
        <w:spacing w:after="120" w:line="320"/>
        <w:jc w:val="left"/>
      </w:pPr>
      <w:r>
        <w:rPr>
          <w:rFonts w:ascii="Calibri" w:cs="Calibri" w:eastAsia="Calibri" w:hAnsi="Calibri"/>
          <w:color w:val="1A2B35"/>
          <w:sz w:val="22"/>
          <w:szCs w:val="22"/>
        </w:rPr>
        <w:t xml:space="preserve">Singapore has one of the highest rates of foreign domestic worker employment in the developed world, and a meaningful proportion of these workers do caregiving as their primary task. They are not the buyer, but they are the daily user. Designing the FDW experience as an afterthought (or worse, ignoring it) is malpractice. Designing it as a first-class flow — large text, audio instructions, bilingual UI, photo-based logging — is a recruiting and retention argument that families will pay for. "ALLY trains your helper to do this confidently" is a sentence that closes deals.</w:t>
      </w:r>
    </w:p>
    <w:p>
      <w:r>
        <w:br w:type="page"/>
      </w:r>
    </w:p>
    <w:p>
      <w:pPr>
        <w:pStyle w:val="Heading1"/>
        <w:spacing w:after="160" w:before="320"/>
      </w:pPr>
      <w:r>
        <w:rPr>
          <w:rFonts w:ascii="Calibri" w:cs="Calibri" w:eastAsia="Calibri" w:hAnsi="Calibri"/>
          <w:b/>
          <w:bCs/>
          <w:color w:val="0D3D47"/>
        </w:rPr>
        <w:t xml:space="preserve">Part 5 — Cautionary notes: hurdles in the early stages</w:t>
      </w:r>
    </w:p>
    <w:p>
      <w:pPr>
        <w:spacing w:after="120" w:line="320"/>
        <w:jc w:val="left"/>
      </w:pPr>
      <w:r>
        <w:rPr>
          <w:rFonts w:ascii="Calibri" w:cs="Calibri" w:eastAsia="Calibri" w:hAnsi="Calibri"/>
          <w:color w:val="1A2B35"/>
          <w:sz w:val="22"/>
          <w:szCs w:val="22"/>
        </w:rPr>
        <w:t xml:space="preserve">Equally important to the pull factors is a cold-eyed view of where ALLY can fail in the first eighteen months. The hurdles below are the ones that deserve dedicated planning, not just monitoring.</w:t>
      </w:r>
    </w:p>
    <w:p>
      <w:pPr>
        <w:pStyle w:val="Heading2"/>
        <w:spacing w:after="160" w:before="320"/>
      </w:pPr>
      <w:r>
        <w:rPr>
          <w:rFonts w:ascii="Calibri" w:cs="Calibri" w:eastAsia="Calibri" w:hAnsi="Calibri"/>
          <w:b/>
          <w:bCs/>
          <w:color w:val="0D3D47"/>
        </w:rPr>
        <w:t xml:space="preserve">5.1 The trust deficit with elderly users</w:t>
      </w:r>
    </w:p>
    <w:p>
      <w:pPr>
        <w:spacing w:after="120" w:line="320"/>
        <w:jc w:val="left"/>
      </w:pPr>
      <w:r>
        <w:rPr>
          <w:rFonts w:ascii="Calibri" w:cs="Calibri" w:eastAsia="Calibri" w:hAnsi="Calibri"/>
          <w:color w:val="1A2B35"/>
          <w:sz w:val="22"/>
          <w:szCs w:val="22"/>
        </w:rPr>
        <w:t xml:space="preserve">Many of the people whose care the app coordinates will never use the app themselves. They will not trust it. They will resent it. They will tell their adult children that it is intrusive. The mitigation is to make the app caregiver-facing first, recipient-facing second; to never surface the recipient's data to anyone except the people they would want; and to build a "tell me what you are tracking about me" disclosure flow if the recipient wants it. The hurdle is real and is sometimes underestimated by product teams who imagine elderly users adopting the app directly.</w:t>
      </w:r>
    </w:p>
    <w:p>
      <w:pPr>
        <w:pStyle w:val="Heading2"/>
        <w:spacing w:after="160" w:before="320"/>
      </w:pPr>
      <w:r>
        <w:rPr>
          <w:rFonts w:ascii="Calibri" w:cs="Calibri" w:eastAsia="Calibri" w:hAnsi="Calibri"/>
          <w:b/>
          <w:bCs/>
          <w:color w:val="0D3D47"/>
        </w:rPr>
        <w:t xml:space="preserve">5.2 "Yet another app" fatigue</w:t>
      </w:r>
    </w:p>
    <w:p>
      <w:pPr>
        <w:spacing w:after="120" w:line="320"/>
        <w:jc w:val="left"/>
      </w:pPr>
      <w:r>
        <w:rPr>
          <w:rFonts w:ascii="Calibri" w:cs="Calibri" w:eastAsia="Calibri" w:hAnsi="Calibri"/>
          <w:color w:val="1A2B35"/>
          <w:sz w:val="22"/>
          <w:szCs w:val="22"/>
        </w:rPr>
        <w:t xml:space="preserve">Singaporean caregivers already have HealthHub, the SingHealth app, the National Steps Challenge app, the AIC website, the polyclinic appointment booking system, WhatsApp family chats, and a paper folder. Adding ALLY is adding work before it saves work. The mitigation is brutal onboarding focus: time-to-first-value below five minutes, no signup friction, the discharge parser as the very first thing the user sees. If onboarding takes longer than five minutes, the user is gone.</w:t>
      </w:r>
    </w:p>
    <w:p>
      <w:pPr>
        <w:pStyle w:val="Heading2"/>
        <w:spacing w:after="160" w:before="320"/>
      </w:pPr>
      <w:r>
        <w:rPr>
          <w:rFonts w:ascii="Calibri" w:cs="Calibri" w:eastAsia="Calibri" w:hAnsi="Calibri"/>
          <w:b/>
          <w:bCs/>
          <w:color w:val="0D3D47"/>
        </w:rPr>
        <w:t xml:space="preserve">5.3 Hospital partnership friction</w:t>
      </w:r>
    </w:p>
    <w:p>
      <w:pPr>
        <w:spacing w:after="120" w:line="320"/>
        <w:jc w:val="left"/>
      </w:pPr>
      <w:r>
        <w:rPr>
          <w:rFonts w:ascii="Calibri" w:cs="Calibri" w:eastAsia="Calibri" w:hAnsi="Calibri"/>
          <w:color w:val="1A2B35"/>
          <w:sz w:val="22"/>
          <w:szCs w:val="22"/>
        </w:rPr>
        <w:t xml:space="preserve">Hospital procurement cycles are long, hospital IT teams are conservative, and hospital legal teams worry about anything that touches discharge documents. The first hospital pilot will take six to nine months, not six to nine weeks. The mitigation is to start with a single ward and a single specialty (orthopaedics is a good first target — clean discharge protocols, predictable rehabilitation, vocal patient population), and to position the partnership as a clinical-quality initiative tied to readmission rates, not as a software vendor pitch.</w:t>
      </w:r>
    </w:p>
    <w:p>
      <w:pPr>
        <w:pStyle w:val="Heading2"/>
        <w:spacing w:after="160" w:before="320"/>
      </w:pPr>
      <w:r>
        <w:rPr>
          <w:rFonts w:ascii="Calibri" w:cs="Calibri" w:eastAsia="Calibri" w:hAnsi="Calibri"/>
          <w:b/>
          <w:bCs/>
          <w:color w:val="0D3D47"/>
        </w:rPr>
        <w:t xml:space="preserve">5.4 Regulatory drag</w:t>
      </w:r>
    </w:p>
    <w:p>
      <w:pPr>
        <w:spacing w:after="120" w:line="320"/>
        <w:jc w:val="left"/>
      </w:pPr>
      <w:r>
        <w:rPr>
          <w:rFonts w:ascii="Calibri" w:cs="Calibri" w:eastAsia="Calibri" w:hAnsi="Calibri"/>
          <w:color w:val="1A2B35"/>
          <w:sz w:val="22"/>
          <w:szCs w:val="22"/>
        </w:rPr>
        <w:t xml:space="preserve">Even though ALLY positions outside the medical-device perimeter (see Part 6), the boundary is not absolute. If the AI chat ever gives a recommendation that a court would interpret as a clinical decision, or if the discharge parser ever makes a transcription error that contributes to a clinical event, the regulatory question becomes sharp and expensive. The mitigation is conservative design — disclaimers in every AI output, confirmation steps on anything time-sensitive, and a documented quality assurance process for the parser. This is also where insurance starts to matter: professional indemnity coverage in healthtech is not optional.</w:t>
      </w:r>
    </w:p>
    <w:p>
      <w:pPr>
        <w:pStyle w:val="Heading2"/>
        <w:spacing w:after="160" w:before="320"/>
      </w:pPr>
      <w:r>
        <w:rPr>
          <w:rFonts w:ascii="Calibri" w:cs="Calibri" w:eastAsia="Calibri" w:hAnsi="Calibri"/>
          <w:b/>
          <w:bCs/>
          <w:color w:val="0D3D47"/>
        </w:rPr>
        <w:t xml:space="preserve">5.5 Free-tier cannibalisation</w:t>
      </w:r>
    </w:p>
    <w:p>
      <w:pPr>
        <w:spacing w:after="120" w:line="320"/>
        <w:jc w:val="left"/>
      </w:pPr>
      <w:r>
        <w:rPr>
          <w:rFonts w:ascii="Calibri" w:cs="Calibri" w:eastAsia="Calibri" w:hAnsi="Calibri"/>
          <w:color w:val="1A2B35"/>
          <w:sz w:val="22"/>
          <w:szCs w:val="22"/>
        </w:rPr>
        <w:t xml:space="preserve">A generous free tier is necessary for distribution and viral fanout but a too-generous free tier kills monetisation. Striking the balance requires explicit thinking about what is in the free tier (mood logging, basic task list, one care recipient, English only) and what is gated (multi-recipient, multilingual content, subsidy navigator with auto-fill, advanced burnout analytics, hospital integrations). The current intuition: gate the things that have a marginal cost (Claude API calls, content licensing) and free the things that grow the network (team invitations, basic logging).</w:t>
      </w:r>
    </w:p>
    <w:p>
      <w:pPr>
        <w:pStyle w:val="Heading2"/>
        <w:spacing w:after="160" w:before="320"/>
      </w:pPr>
      <w:r>
        <w:rPr>
          <w:rFonts w:ascii="Calibri" w:cs="Calibri" w:eastAsia="Calibri" w:hAnsi="Calibri"/>
          <w:b/>
          <w:bCs/>
          <w:color w:val="0D3D47"/>
        </w:rPr>
        <w:t xml:space="preserve">5.6 Liability if the AI is wrong</w:t>
      </w:r>
    </w:p>
    <w:p>
      <w:pPr>
        <w:spacing w:after="120" w:line="320"/>
        <w:jc w:val="left"/>
      </w:pPr>
      <w:r>
        <w:rPr>
          <w:rFonts w:ascii="Calibri" w:cs="Calibri" w:eastAsia="Calibri" w:hAnsi="Calibri"/>
          <w:color w:val="1A2B35"/>
          <w:sz w:val="22"/>
          <w:szCs w:val="22"/>
        </w:rPr>
        <w:t xml:space="preserve">A caregiver asks ALLY a question. ALLY answers. The answer is wrong, or right but misinterpreted, and the patient suffers. This will happen at scale. The mitigation is layered: the system prompt explicitly refuses diagnostic and prescriptive output and routes to professionals; every AI message includes a medical disclaimer; the chat refuses to operate during defined emergency keywords and surfaces 995 instead; and the company's position is documented in the terms of service. The standard to aim for is: ALLY behaves at least as well as a knowledgeable friend who happens to be a Singapore healthcare professional and happens to remember her training.</w:t>
      </w:r>
    </w:p>
    <w:p>
      <w:pPr>
        <w:pStyle w:val="Heading2"/>
        <w:spacing w:after="160" w:before="320"/>
      </w:pPr>
      <w:r>
        <w:rPr>
          <w:rFonts w:ascii="Calibri" w:cs="Calibri" w:eastAsia="Calibri" w:hAnsi="Calibri"/>
          <w:b/>
          <w:bCs/>
          <w:color w:val="0D3D47"/>
        </w:rPr>
        <w:t xml:space="preserve">5.7 Multilingual quality control at scale</w:t>
      </w:r>
    </w:p>
    <w:p>
      <w:pPr>
        <w:spacing w:after="120" w:line="320"/>
        <w:jc w:val="left"/>
      </w:pPr>
      <w:r>
        <w:rPr>
          <w:rFonts w:ascii="Calibri" w:cs="Calibri" w:eastAsia="Calibri" w:hAnsi="Calibri"/>
          <w:color w:val="1A2B35"/>
          <w:sz w:val="22"/>
          <w:szCs w:val="22"/>
        </w:rPr>
        <w:t xml:space="preserve">Translation is easy at small scale and embarrassing at large scale. A single subsidy update, mistranslated into Tamil, can leave a family financially worse off if they act on the wrong information. The mitigation is a content QA process: every translated medical or financial content piece is reviewed by a native speaker with relevant subject expertise before going live, and content has explicit version stamps. Auto-translation tools are useful for speed; they are not adequate for ship-quality content.</w:t>
      </w:r>
    </w:p>
    <w:p>
      <w:pPr>
        <w:pStyle w:val="Heading2"/>
        <w:spacing w:after="160" w:before="320"/>
      </w:pPr>
      <w:r>
        <w:rPr>
          <w:rFonts w:ascii="Calibri" w:cs="Calibri" w:eastAsia="Calibri" w:hAnsi="Calibri"/>
          <w:b/>
          <w:bCs/>
          <w:color w:val="0D3D47"/>
        </w:rPr>
        <w:t xml:space="preserve">5.8 Funding and runway</w:t>
      </w:r>
    </w:p>
    <w:p>
      <w:pPr>
        <w:spacing w:after="120" w:line="320"/>
        <w:jc w:val="left"/>
      </w:pPr>
      <w:r>
        <w:rPr>
          <w:rFonts w:ascii="Calibri" w:cs="Calibri" w:eastAsia="Calibri" w:hAnsi="Calibri"/>
          <w:color w:val="1A2B35"/>
          <w:sz w:val="22"/>
          <w:szCs w:val="22"/>
        </w:rPr>
        <w:t xml:space="preserve">Caregiver-facing consumer apps have historically struggled to monetise in Asia. The willingness-to-pay distribution is wide but the median is uncomfortably low. The mitigation is to plan for B2B2C revenue as the primary revenue line from month twelve onwards — employer benefits and hospital partnerships — while consumer subscription revenue remains a minority of the mix until the brand is established. Targeting consumer-only revenue from day one is a structurally hard strategy and should be explicitly avoided.</w:t>
      </w:r>
    </w:p>
    <w:p>
      <w:pPr>
        <w:pStyle w:val="Heading2"/>
        <w:spacing w:after="160" w:before="320"/>
      </w:pPr>
      <w:r>
        <w:rPr>
          <w:rFonts w:ascii="Calibri" w:cs="Calibri" w:eastAsia="Calibri" w:hAnsi="Calibri"/>
          <w:b/>
          <w:bCs/>
          <w:color w:val="0D3D47"/>
        </w:rPr>
        <w:t xml:space="preserve">5.9 The founder bandwidth question</w:t>
      </w:r>
    </w:p>
    <w:p>
      <w:pPr>
        <w:spacing w:after="120" w:line="320"/>
        <w:jc w:val="left"/>
      </w:pPr>
      <w:r>
        <w:rPr>
          <w:rFonts w:ascii="Calibri" w:cs="Calibri" w:eastAsia="Calibri" w:hAnsi="Calibri"/>
          <w:color w:val="1A2B35"/>
          <w:sz w:val="22"/>
          <w:szCs w:val="22"/>
        </w:rPr>
        <w:t xml:space="preserve">This is your own constraint, but it deserves explicit naming. Building ALLY while a full-time student is an extreme test of focus, and the product is large enough that solo execution past month six becomes a quality risk. The early honest hire — even a part-time co-builder — is a force multiplier. The decision of when to seek help is best made before the team feels short-handed, not after.</w:t>
      </w:r>
    </w:p>
    <w:p>
      <w:r>
        <w:br w:type="page"/>
      </w:r>
    </w:p>
    <w:p>
      <w:pPr>
        <w:pStyle w:val="Heading1"/>
        <w:spacing w:after="160" w:before="320"/>
      </w:pPr>
      <w:r>
        <w:rPr>
          <w:rFonts w:ascii="Calibri" w:cs="Calibri" w:eastAsia="Calibri" w:hAnsi="Calibri"/>
          <w:b/>
          <w:bCs/>
          <w:color w:val="0D3D47"/>
        </w:rPr>
        <w:t xml:space="preserve">Part 6 — Stakeholder lenses</w:t>
      </w:r>
    </w:p>
    <w:p>
      <w:pPr>
        <w:spacing w:after="120" w:line="320"/>
        <w:jc w:val="left"/>
      </w:pPr>
      <w:r>
        <w:rPr>
          <w:rFonts w:ascii="Calibri" w:cs="Calibri" w:eastAsia="Calibri" w:hAnsi="Calibri"/>
          <w:color w:val="1A2B35"/>
          <w:sz w:val="22"/>
          <w:szCs w:val="22"/>
        </w:rPr>
        <w:t xml:space="preserve">Three independent perspectives — government, clinical, and policy — on whether ALLY can survive in Singapore's ecosystem.</w:t>
      </w:r>
    </w:p>
    <w:p>
      <w:pPr>
        <w:pStyle w:val="Heading2"/>
        <w:spacing w:after="160" w:before="320"/>
      </w:pPr>
      <w:r>
        <w:rPr>
          <w:rFonts w:ascii="Calibri" w:cs="Calibri" w:eastAsia="Calibri" w:hAnsi="Calibri"/>
          <w:b/>
          <w:bCs/>
          <w:color w:val="0D3D47"/>
        </w:rPr>
        <w:t xml:space="preserve">6.1 The government official's viability assessment</w:t>
      </w:r>
    </w:p>
    <w:p>
      <w:pPr>
        <w:spacing w:after="120" w:line="320"/>
        <w:jc w:val="left"/>
      </w:pPr>
      <w:r>
        <w:rPr>
          <w:rFonts w:ascii="Calibri" w:cs="Calibri" w:eastAsia="Calibri" w:hAnsi="Calibri"/>
          <w:color w:val="1A2B35"/>
          <w:sz w:val="22"/>
          <w:szCs w:val="22"/>
        </w:rPr>
        <w:t xml:space="preserve">I am a senior officer at MOH or AIC, looking at ALLY for the first time. My questions are these.</w:t>
      </w:r>
    </w:p>
    <w:p>
      <w:pPr>
        <w:spacing w:after="120" w:line="320"/>
        <w:jc w:val="left"/>
      </w:pPr>
      <w:r>
        <w:rPr>
          <w:rFonts w:ascii="Calibri" w:cs="Calibri" w:eastAsia="Calibri" w:hAnsi="Calibri"/>
          <w:color w:val="1A2B35"/>
          <w:sz w:val="22"/>
          <w:szCs w:val="22"/>
        </w:rPr>
        <w:t xml:space="preserve">Does this duplicate something the public sector is already doing? Partially — HealthHub does some of what ALLY does, the AIC website does some of what ALLY does, the MaintainAble app does some of what ALLY does. But none of them combine discharge parsing, subsidy navigation, multilingual content, and burnout monitoring in a coherent caregiver-first product, and none of them are designed primarily for the family rather than the patient. The opportunity to partner is clear.</w:t>
      </w:r>
    </w:p>
    <w:p>
      <w:pPr>
        <w:spacing w:after="120" w:line="320"/>
        <w:jc w:val="left"/>
      </w:pPr>
      <w:r>
        <w:rPr>
          <w:rFonts w:ascii="Calibri" w:cs="Calibri" w:eastAsia="Calibri" w:hAnsi="Calibri"/>
          <w:color w:val="1A2B35"/>
          <w:sz w:val="22"/>
          <w:szCs w:val="22"/>
        </w:rPr>
        <w:t xml:space="preserve">Is the data handled responsibly? This is the gating question. ALLY must demonstrate Singapore-region data residency on AWS or GCP's SG region, full PDPA compliance with a published Data Protection Notice, a designated Data Protection Officer, and an architecture that segregates patient health data from caregiver coordination data. Anything less and the partnership conversation is over before it begins.</w:t>
      </w:r>
    </w:p>
    <w:p>
      <w:pPr>
        <w:spacing w:after="120" w:line="320"/>
        <w:jc w:val="left"/>
      </w:pPr>
      <w:r>
        <w:rPr>
          <w:rFonts w:ascii="Calibri" w:cs="Calibri" w:eastAsia="Calibri" w:hAnsi="Calibri"/>
          <w:color w:val="1A2B35"/>
          <w:sz w:val="22"/>
          <w:szCs w:val="22"/>
        </w:rPr>
        <w:t xml:space="preserve">Is this a medical device? No, by HSA's 2025 SaMD guidance, ALLY positions as a care-coordination tool that displays patient information and surfaces guideline-based recommendations. The CDSS exemption applies. ALLY should publish a regulatory position note on its website that names this exemption explicitly — that signals to regulators that the team understands the rules.</w:t>
      </w:r>
    </w:p>
    <w:p>
      <w:pPr>
        <w:spacing w:after="120" w:line="320"/>
        <w:jc w:val="left"/>
      </w:pPr>
      <w:r>
        <w:rPr>
          <w:rFonts w:ascii="Calibri" w:cs="Calibri" w:eastAsia="Calibri" w:hAnsi="Calibri"/>
          <w:color w:val="1A2B35"/>
          <w:sz w:val="22"/>
          <w:szCs w:val="22"/>
        </w:rPr>
        <w:t xml:space="preserve">Does this serve underserved populations? Yes — FDW workflows, Tamil and Malay content, low-income segments accessing newly-expanded HCG. This is the strongest political case for partnership and should be made loudly.</w:t>
      </w:r>
    </w:p>
    <w:p>
      <w:pPr>
        <w:spacing w:after="120" w:line="320"/>
        <w:jc w:val="left"/>
      </w:pPr>
      <w:r>
        <w:rPr>
          <w:rFonts w:ascii="Calibri" w:cs="Calibri" w:eastAsia="Calibri" w:hAnsi="Calibri"/>
          <w:color w:val="1A2B35"/>
          <w:sz w:val="22"/>
          <w:szCs w:val="22"/>
        </w:rPr>
        <w:t xml:space="preserve">Will this be sustainable? Probably the weakest answer right now — ALLY is pre-revenue, founder-built, no enterprise contracts. The honest answer is that public-sector partnerships are themselves a path to sustainability, and ALLY would benefit from an AIC-funded pilot or a Synapxe HealthX Sandbox cohort placement to bridge that gap. Apply for both.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6B7B" w:sz="4"/>
              <w:left w:val="single" w:color="1B6B7B" w:sz="12"/>
              <w:bottom w:val="single" w:color="1B6B7B" w:sz="4"/>
              <w:right w:val="single" w:color="1B6B7B" w:sz="4"/>
            </w:tcBorders>
            <w:shd w:fill="E0F2F6" w:val="clear"/>
            <w:tcMar>
              <w:top w:type="dxa" w:w="160"/>
              <w:left w:type="dxa" w:w="200"/>
              <w:bottom w:type="dxa" w:w="160"/>
              <w:right w:type="dxa" w:w="200"/>
            </w:tcMar>
          </w:tcPr>
          <w:p>
            <w:pPr>
              <w:spacing w:after="80"/>
            </w:pPr>
            <w:r>
              <w:rPr>
                <w:rFonts w:ascii="Calibri" w:cs="Calibri" w:eastAsia="Calibri" w:hAnsi="Calibri"/>
                <w:b/>
                <w:bCs/>
                <w:color w:val="0D3D47"/>
                <w:sz w:val="22"/>
                <w:szCs w:val="22"/>
              </w:rPr>
              <w:t xml:space="preserve">The verdict from a government lens</w:t>
            </w:r>
          </w:p>
          <w:p>
            <w:r>
              <w:rPr>
                <w:rFonts w:ascii="Calibri" w:cs="Calibri" w:eastAsia="Calibri" w:hAnsi="Calibri"/>
                <w:color w:val="1A2B35"/>
                <w:sz w:val="22"/>
                <w:szCs w:val="22"/>
              </w:rPr>
              <w:t xml:space="preserve">Partnership-favourable, conditional on rigorous data protection posture and a credible plan for sustainability. ALLY should pursue a small AIC-funded pilot or Synapxe Sandbox slot in the first six months to obtain official validation, even if the dollar amount is modest. The legitimacy from the partnership is worth more than the cash.</w:t>
            </w:r>
          </w:p>
        </w:tc>
      </w:tr>
    </w:tbl>
    <w:p>
      <w:pPr>
        <w:pStyle w:val="Heading2"/>
        <w:spacing w:after="160" w:before="320"/>
      </w:pPr>
      <w:r>
        <w:rPr>
          <w:rFonts w:ascii="Calibri" w:cs="Calibri" w:eastAsia="Calibri" w:hAnsi="Calibri"/>
          <w:b/>
          <w:bCs/>
          <w:color w:val="0D3D47"/>
        </w:rPr>
        <w:t xml:space="preserve">6.2 The healthcare professional's rating</w:t>
      </w:r>
    </w:p>
    <w:p>
      <w:pPr>
        <w:spacing w:after="120" w:line="320"/>
        <w:jc w:val="left"/>
      </w:pPr>
      <w:r>
        <w:rPr>
          <w:rFonts w:ascii="Calibri" w:cs="Calibri" w:eastAsia="Calibri" w:hAnsi="Calibri"/>
          <w:color w:val="1A2B35"/>
          <w:sz w:val="22"/>
          <w:szCs w:val="22"/>
        </w:rPr>
        <w:t xml:space="preserve">I am a senior nurse manager at SGH or a primary care physician at a polyclinic. ALLY is a tool I might recommend to my patients. My questions are these.</w:t>
      </w:r>
    </w:p>
    <w:p>
      <w:pPr>
        <w:spacing w:after="120" w:line="320"/>
        <w:jc w:val="left"/>
      </w:pPr>
      <w:r>
        <w:rPr>
          <w:rFonts w:ascii="Calibri" w:cs="Calibri" w:eastAsia="Calibri" w:hAnsi="Calibri"/>
          <w:color w:val="1A2B35"/>
          <w:sz w:val="22"/>
          <w:szCs w:val="22"/>
        </w:rPr>
        <w:t xml:space="preserve">Does it make my job easier or harder? Easier, if it works as advertised. Currently I spend a non-trivial amount of time after each elderly discharge fielding calls from confused family members re-asking the same questions. If ALLY answers those questions correctly, my workload drops. If ALLY answers them incorrectly, my workload spikes and a patient may be harmed. The standard for clinical content has to be high enough that I would feel comfortable recommending it.</w:t>
      </w:r>
    </w:p>
    <w:p>
      <w:pPr>
        <w:spacing w:after="120" w:line="320"/>
        <w:jc w:val="left"/>
      </w:pPr>
      <w:r>
        <w:rPr>
          <w:rFonts w:ascii="Calibri" w:cs="Calibri" w:eastAsia="Calibri" w:hAnsi="Calibri"/>
          <w:color w:val="1A2B35"/>
          <w:sz w:val="22"/>
          <w:szCs w:val="22"/>
        </w:rPr>
        <w:t xml:space="preserve">Is the medication parsing accurate? This is the highest-risk component. A single dose mis-parsed could be lethal. ALLY needs to publish its parser accuracy on a benchmark dataset of redacted Singapore discharge summaries (a Synapxe partnership would help here), and the human-in-the-loop confirmation step must be impossible to skip. This is the most important QA line item in the product.</w:t>
      </w:r>
    </w:p>
    <w:p>
      <w:pPr>
        <w:spacing w:after="120" w:line="320"/>
        <w:jc w:val="left"/>
      </w:pPr>
      <w:r>
        <w:rPr>
          <w:rFonts w:ascii="Calibri" w:cs="Calibri" w:eastAsia="Calibri" w:hAnsi="Calibri"/>
          <w:color w:val="1A2B35"/>
          <w:sz w:val="22"/>
          <w:szCs w:val="22"/>
        </w:rPr>
        <w:t xml:space="preserve">Does it route to me when it should? Yes — symptoms above defined severity thresholds should escalate to the care team's primary care physician via a clear contact CTA, not be answered by the AI. Emergency keywords (chest pain, sudden weakness, sustained high BP, glucose extremes) should hard-route to 995. This is uncontroversial design but must be implemented diligently.</w:t>
      </w:r>
    </w:p>
    <w:p>
      <w:pPr>
        <w:spacing w:after="120" w:line="320"/>
        <w:jc w:val="left"/>
      </w:pPr>
      <w:r>
        <w:rPr>
          <w:rFonts w:ascii="Calibri" w:cs="Calibri" w:eastAsia="Calibri" w:hAnsi="Calibri"/>
          <w:color w:val="1A2B35"/>
          <w:sz w:val="22"/>
          <w:szCs w:val="22"/>
        </w:rPr>
        <w:t xml:space="preserve">Will my patients' families actually use it? The 40-something professional adult children, yes. The 70-year-old spouse caregivers, only if I personally recommend it and the onboarding is effortless. The FDW, only if there is a Tagalog or Bahasa interface and a culturally-aware tutorial. ALLY needs the polyclinic and hospital social work teams as referral channels, not just word-of-mouth.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6B7B" w:sz="4"/>
              <w:left w:val="single" w:color="1B6B7B" w:sz="12"/>
              <w:bottom w:val="single" w:color="1B6B7B" w:sz="4"/>
              <w:right w:val="single" w:color="1B6B7B" w:sz="4"/>
            </w:tcBorders>
            <w:shd w:fill="E0F2F6" w:val="clear"/>
            <w:tcMar>
              <w:top w:type="dxa" w:w="160"/>
              <w:left w:type="dxa" w:w="200"/>
              <w:bottom w:type="dxa" w:w="160"/>
              <w:right w:type="dxa" w:w="200"/>
            </w:tcMar>
          </w:tcPr>
          <w:p>
            <w:pPr>
              <w:spacing w:after="80"/>
            </w:pPr>
            <w:r>
              <w:rPr>
                <w:rFonts w:ascii="Calibri" w:cs="Calibri" w:eastAsia="Calibri" w:hAnsi="Calibri"/>
                <w:b/>
                <w:bCs/>
                <w:color w:val="0D3D47"/>
                <w:sz w:val="22"/>
                <w:szCs w:val="22"/>
              </w:rPr>
              <w:t xml:space="preserve">The verdict from a clinical lens</w:t>
            </w:r>
          </w:p>
          <w:p>
            <w:r>
              <w:rPr>
                <w:rFonts w:ascii="Calibri" w:cs="Calibri" w:eastAsia="Calibri" w:hAnsi="Calibri"/>
                <w:color w:val="1A2B35"/>
                <w:sz w:val="22"/>
                <w:szCs w:val="22"/>
              </w:rPr>
              <w:t xml:space="preserve">Useful, if the parser quality is provable, the disclaimers are robust, and the clinical content has clear provenance. The most credible thing ALLY can do is publish a transparency page detailing parser accuracy, content sourcing, and AI safety mitigations. Most consumer health apps refuse to do this. ALLY should be the one that does.</w:t>
            </w:r>
          </w:p>
        </w:tc>
      </w:tr>
    </w:tbl>
    <w:p>
      <w:pPr>
        <w:pStyle w:val="Heading2"/>
        <w:spacing w:after="160" w:before="320"/>
      </w:pPr>
      <w:r>
        <w:rPr>
          <w:rFonts w:ascii="Calibri" w:cs="Calibri" w:eastAsia="Calibri" w:hAnsi="Calibri"/>
          <w:b/>
          <w:bCs/>
          <w:color w:val="0D3D47"/>
        </w:rPr>
        <w:t xml:space="preserve">6.3 The policymaker's red tape audit</w:t>
      </w:r>
    </w:p>
    <w:p>
      <w:pPr>
        <w:spacing w:after="120" w:line="320"/>
        <w:jc w:val="left"/>
      </w:pPr>
      <w:r>
        <w:rPr>
          <w:rFonts w:ascii="Calibri" w:cs="Calibri" w:eastAsia="Calibri" w:hAnsi="Calibri"/>
          <w:color w:val="1A2B35"/>
          <w:sz w:val="22"/>
          <w:szCs w:val="22"/>
        </w:rPr>
        <w:t xml:space="preserve">I am a counsel reviewing the product before it goes live. The hurdles I see are these, in roughly the order they will bite.</w:t>
      </w:r>
    </w:p>
    <w:p>
      <w:pPr>
        <w:pStyle w:val="ListParagraph"/>
        <w:numPr>
          <w:ilvl w:val="0"/>
          <w:numId w:val="2"/>
        </w:numPr>
        <w:spacing w:after="80" w:line="300"/>
      </w:pPr>
      <w:r>
        <w:rPr>
          <w:rFonts w:ascii="Calibri" w:cs="Calibri" w:eastAsia="Calibri" w:hAnsi="Calibri"/>
          <w:color w:val="1A2B35"/>
          <w:sz w:val="22"/>
          <w:szCs w:val="22"/>
        </w:rPr>
        <w:t xml:space="preserve">PDPA compliance. Mandatory. Data Protection Notice published, DPO designated, breach notification process documented, retention schedules defined, consent flows compliant. Healthcare data handled under tighter advisory guidelines (revised September 2023). Cloud provider must be in the Singapore region. International data transfers require risk-based assessment. Non-negotiable.</w:t>
      </w:r>
    </w:p>
    <w:p>
      <w:pPr>
        <w:pStyle w:val="ListParagraph"/>
        <w:numPr>
          <w:ilvl w:val="0"/>
          <w:numId w:val="2"/>
        </w:numPr>
        <w:spacing w:after="80" w:line="300"/>
      </w:pPr>
      <w:r>
        <w:rPr>
          <w:rFonts w:ascii="Calibri" w:cs="Calibri" w:eastAsia="Calibri" w:hAnsi="Calibri"/>
          <w:color w:val="1A2B35"/>
          <w:sz w:val="22"/>
          <w:szCs w:val="22"/>
        </w:rPr>
        <w:t xml:space="preserve">HSA medical-device classification. ALLY positions outside SaMD. The published 2025 CDSS guidance creates the safe harbour, but the product cannot drift across the line. Internal policy: any AI feature change that moves towards diagnostic, prescriptive, or therapeutic output requires a regulatory review before ship. A simple internal review checklist is sufficient and worth maintaining.</w:t>
      </w:r>
    </w:p>
    <w:p>
      <w:pPr>
        <w:pStyle w:val="ListParagraph"/>
        <w:numPr>
          <w:ilvl w:val="0"/>
          <w:numId w:val="2"/>
        </w:numPr>
        <w:spacing w:after="80" w:line="300"/>
      </w:pPr>
      <w:r>
        <w:rPr>
          <w:rFonts w:ascii="Calibri" w:cs="Calibri" w:eastAsia="Calibri" w:hAnsi="Calibri"/>
          <w:color w:val="1A2B35"/>
          <w:sz w:val="22"/>
          <w:szCs w:val="22"/>
        </w:rPr>
        <w:t xml:space="preserve">Healthcare Services Act. ALLY is not delivering healthcare services — it is providing a coordination tool. The line is clean as long as ALLY does not employ caregivers, dispatch caregivers, or directly provide clinical services. If ALLY ever moves into delivery (a marketplace play), HCSA licensing becomes a separate workstream.</w:t>
      </w:r>
    </w:p>
    <w:p>
      <w:pPr>
        <w:pStyle w:val="ListParagraph"/>
        <w:numPr>
          <w:ilvl w:val="0"/>
          <w:numId w:val="2"/>
        </w:numPr>
        <w:spacing w:after="80" w:line="300"/>
      </w:pPr>
      <w:r>
        <w:rPr>
          <w:rFonts w:ascii="Calibri" w:cs="Calibri" w:eastAsia="Calibri" w:hAnsi="Calibri"/>
          <w:color w:val="1A2B35"/>
          <w:sz w:val="22"/>
          <w:szCs w:val="22"/>
        </w:rPr>
        <w:t xml:space="preserve">Cybersecurity Act and CCoP for healthcare. If ALLY integrates with public healthcare systems via Synapxe, the cybersecurity bar rises. Cyber Essentials certification is a reasonable baseline; ISO 27001 is a credible target before any public-sector partnership.</w:t>
      </w:r>
    </w:p>
    <w:p>
      <w:pPr>
        <w:pStyle w:val="ListParagraph"/>
        <w:numPr>
          <w:ilvl w:val="0"/>
          <w:numId w:val="2"/>
        </w:numPr>
        <w:spacing w:after="80" w:line="300"/>
      </w:pPr>
      <w:r>
        <w:rPr>
          <w:rFonts w:ascii="Calibri" w:cs="Calibri" w:eastAsia="Calibri" w:hAnsi="Calibri"/>
          <w:color w:val="1A2B35"/>
          <w:sz w:val="22"/>
          <w:szCs w:val="22"/>
        </w:rPr>
        <w:t xml:space="preserve">Telemedicine guidelines. ALLY does not provide telemedicine, but if it ever facilitates a video consult or a prescription refill, it crosses into MOH telemedicine territory. The line should stay clean — partner with established telemedicine providers (Speedoc, Doctor Anywhere, MyDoc) rather than attempting to operate the consult.</w:t>
      </w:r>
    </w:p>
    <w:p>
      <w:pPr>
        <w:pStyle w:val="ListParagraph"/>
        <w:numPr>
          <w:ilvl w:val="0"/>
          <w:numId w:val="2"/>
        </w:numPr>
        <w:spacing w:after="80" w:line="300"/>
      </w:pPr>
      <w:r>
        <w:rPr>
          <w:rFonts w:ascii="Calibri" w:cs="Calibri" w:eastAsia="Calibri" w:hAnsi="Calibri"/>
          <w:color w:val="1A2B35"/>
          <w:sz w:val="22"/>
          <w:szCs w:val="22"/>
        </w:rPr>
        <w:t xml:space="preserve">Advertising Standards. Healthcare advertising is regulated. ALLY's marketing must avoid implicit medical claims, must not promise health outcomes, and must avoid testimonials that imply diagnostic value. Standard discipline; not a blocker.</w:t>
      </w:r>
    </w:p>
    <w:p>
      <w:pPr>
        <w:pStyle w:val="ListParagraph"/>
        <w:numPr>
          <w:ilvl w:val="0"/>
          <w:numId w:val="2"/>
        </w:numPr>
        <w:spacing w:after="80" w:line="300"/>
      </w:pPr>
      <w:r>
        <w:rPr>
          <w:rFonts w:ascii="Calibri" w:cs="Calibri" w:eastAsia="Calibri" w:hAnsi="Calibri"/>
          <w:color w:val="1A2B35"/>
          <w:sz w:val="22"/>
          <w:szCs w:val="22"/>
        </w:rPr>
        <w:t xml:space="preserve">Consumer Protection (Fair Trading) Act. Standard SaaS protections apply — clear pricing, clear cancellation, no automatic renewals without consent reminders. Most modern subscription apps are already well-positioned here.</w:t>
      </w:r>
    </w:p>
    <w:p>
      <w:pPr>
        <w:pStyle w:val="ListParagraph"/>
        <w:numPr>
          <w:ilvl w:val="0"/>
          <w:numId w:val="2"/>
        </w:numPr>
        <w:spacing w:after="80" w:line="300"/>
      </w:pPr>
      <w:r>
        <w:rPr>
          <w:rFonts w:ascii="Calibri" w:cs="Calibri" w:eastAsia="Calibri" w:hAnsi="Calibri"/>
          <w:color w:val="1A2B35"/>
          <w:sz w:val="22"/>
          <w:szCs w:val="22"/>
        </w:rPr>
        <w:t xml:space="preserve">Singpass and MyInfo integration (future). If and when ALLY integrates with Singpass for identity verification or MyInfo for auto-fill, the technical and contractual bar is significant. Plan for this as a Year 2 deliverable, not a Year 1 deliverable.</w:t>
      </w:r>
    </w:p>
    <w:p>
      <w:pPr>
        <w:pStyle w:val="ListParagraph"/>
        <w:numPr>
          <w:ilvl w:val="0"/>
          <w:numId w:val="2"/>
        </w:numPr>
        <w:spacing w:after="80" w:line="300"/>
      </w:pPr>
      <w:r>
        <w:rPr>
          <w:rFonts w:ascii="Calibri" w:cs="Calibri" w:eastAsia="Calibri" w:hAnsi="Calibri"/>
          <w:color w:val="1A2B35"/>
          <w:sz w:val="22"/>
          <w:szCs w:val="22"/>
        </w:rPr>
        <w:t xml:space="preserve">Employer benefit (B2B2C) contracting. Singapore employer EAP contracts are standard but include data-protection riders that vary employer-by-employer. Have a model DPA template ready.</w:t>
      </w:r>
    </w:p>
    <w:p>
      <w:pPr>
        <w:pStyle w:val="ListParagraph"/>
        <w:numPr>
          <w:ilvl w:val="0"/>
          <w:numId w:val="2"/>
        </w:numPr>
        <w:spacing w:after="80" w:line="300"/>
      </w:pPr>
      <w:r>
        <w:rPr>
          <w:rFonts w:ascii="Calibri" w:cs="Calibri" w:eastAsia="Calibri" w:hAnsi="Calibri"/>
          <w:color w:val="1A2B35"/>
          <w:sz w:val="22"/>
          <w:szCs w:val="22"/>
        </w:rPr>
        <w:t xml:space="preserve">Insurance. Professional indemnity, public liability, cyber liability. All required before any hospital pilot. Approximate annual cost: S$3,000 to S$8,000 depending on coverage levels and revenue.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6B7B" w:sz="4"/>
              <w:left w:val="single" w:color="1B6B7B" w:sz="12"/>
              <w:bottom w:val="single" w:color="1B6B7B" w:sz="4"/>
              <w:right w:val="single" w:color="1B6B7B" w:sz="4"/>
            </w:tcBorders>
            <w:shd w:fill="E0F2F6" w:val="clear"/>
            <w:tcMar>
              <w:top w:type="dxa" w:w="160"/>
              <w:left w:type="dxa" w:w="200"/>
              <w:bottom w:type="dxa" w:w="160"/>
              <w:right w:type="dxa" w:w="200"/>
            </w:tcMar>
          </w:tcPr>
          <w:p>
            <w:pPr>
              <w:spacing w:after="80"/>
            </w:pPr>
            <w:r>
              <w:rPr>
                <w:rFonts w:ascii="Calibri" w:cs="Calibri" w:eastAsia="Calibri" w:hAnsi="Calibri"/>
                <w:b/>
                <w:bCs/>
                <w:color w:val="0D3D47"/>
                <w:sz w:val="22"/>
                <w:szCs w:val="22"/>
              </w:rPr>
              <w:t xml:space="preserve">The verdict from a policy lens</w:t>
            </w:r>
          </w:p>
          <w:p>
            <w:r>
              <w:rPr>
                <w:rFonts w:ascii="Calibri" w:cs="Calibri" w:eastAsia="Calibri" w:hAnsi="Calibri"/>
                <w:color w:val="1A2B35"/>
                <w:sz w:val="22"/>
                <w:szCs w:val="22"/>
              </w:rPr>
              <w:t xml:space="preserve">Survivable, if approached deliberately. The biggest hurdle is not any single regulator — it is the cumulative cost of doing all of these correctly while pre-revenue. Sequence the compliance work: PDPA and SaMD positioning before launch, ISO 27001 before any public-sector partnership, Singpass/MyInfo when there is a clear ROI for it. Do not leave compliance for "later" — leave the gold-plating for later.</w:t>
            </w:r>
          </w:p>
        </w:tc>
      </w:tr>
    </w:tbl>
    <w:p>
      <w:r>
        <w:br w:type="page"/>
      </w:r>
    </w:p>
    <w:p>
      <w:pPr>
        <w:pStyle w:val="Heading1"/>
        <w:spacing w:after="160" w:before="320"/>
      </w:pPr>
      <w:r>
        <w:rPr>
          <w:rFonts w:ascii="Calibri" w:cs="Calibri" w:eastAsia="Calibri" w:hAnsi="Calibri"/>
          <w:b/>
          <w:bCs/>
          <w:color w:val="0D3D47"/>
        </w:rPr>
        <w:t xml:space="preserve">Part 7 — Competitive landscape</w:t>
      </w:r>
    </w:p>
    <w:p>
      <w:pPr>
        <w:spacing w:after="120" w:line="320"/>
        <w:jc w:val="left"/>
      </w:pPr>
      <w:r>
        <w:rPr>
          <w:rFonts w:ascii="Calibri" w:cs="Calibri" w:eastAsia="Calibri" w:hAnsi="Calibri"/>
          <w:color w:val="1A2B35"/>
          <w:sz w:val="22"/>
          <w:szCs w:val="22"/>
        </w:rPr>
        <w:t xml:space="preserve">Singapore has caregiving services. It does not yet have a coordination platform. The distinction matters for positioning. The table below maps the field across two axes — geography and category — to identify the white space ALLY occupies.</w:t>
      </w:r>
    </w:p>
    <w:p>
      <w:pPr>
        <w:pStyle w:val="Heading2"/>
        <w:spacing w:after="160" w:before="320"/>
      </w:pPr>
      <w:r>
        <w:rPr>
          <w:rFonts w:ascii="Calibri" w:cs="Calibri" w:eastAsia="Calibri" w:hAnsi="Calibri"/>
          <w:b/>
          <w:bCs/>
          <w:color w:val="0D3D47"/>
        </w:rPr>
        <w:t xml:space="preserve">7.1 The Singapore field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300"/>
        <w:gridCol w:w="2500"/>
      </w:tblGrid>
      <w:tr>
        <w:trPr>
          <w:tblHeader/>
        </w:trPr>
        <w:tc>
          <w:tcPr>
            <w:tcW w:type="dxa" w:w="1700"/>
            <w:tcBorders>
              <w:top w:val="single" w:color="CCD9DE" w:sz="1"/>
              <w:left w:val="single" w:color="CCD9DE" w:sz="1"/>
              <w:bottom w:val="single" w:color="CCD9DE" w:sz="1"/>
              <w:right w:val="single" w:color="CCD9DE" w:sz="1"/>
            </w:tcBorders>
            <w:shd w:fill="0D3D47" w:val="clear"/>
            <w:tcMar>
              <w:top w:type="dxa" w:w="100"/>
              <w:left w:type="dxa" w:w="120"/>
              <w:bottom w:type="dxa" w:w="100"/>
              <w:right w:type="dxa" w:w="120"/>
            </w:tcMar>
          </w:tcPr>
          <w:p>
            <w:r>
              <w:rPr>
                <w:rFonts w:ascii="Calibri" w:cs="Calibri" w:eastAsia="Calibri" w:hAnsi="Calibri"/>
                <w:b/>
                <w:bCs/>
                <w:color w:val="FFFFFF"/>
                <w:sz w:val="20"/>
                <w:szCs w:val="20"/>
              </w:rPr>
              <w:t xml:space="preserve">Provider</w:t>
            </w:r>
          </w:p>
        </w:tc>
        <w:tc>
          <w:tcPr>
            <w:tcW w:type="dxa" w:w="1500"/>
            <w:tcBorders>
              <w:top w:val="single" w:color="CCD9DE" w:sz="1"/>
              <w:left w:val="single" w:color="CCD9DE" w:sz="1"/>
              <w:bottom w:val="single" w:color="CCD9DE" w:sz="1"/>
              <w:right w:val="single" w:color="CCD9DE" w:sz="1"/>
            </w:tcBorders>
            <w:shd w:fill="0D3D47" w:val="clear"/>
            <w:tcMar>
              <w:top w:type="dxa" w:w="100"/>
              <w:left w:type="dxa" w:w="120"/>
              <w:bottom w:type="dxa" w:w="100"/>
              <w:right w:type="dxa" w:w="120"/>
            </w:tcMar>
          </w:tcPr>
          <w:p>
            <w:r>
              <w:rPr>
                <w:rFonts w:ascii="Calibri" w:cs="Calibri" w:eastAsia="Calibri" w:hAnsi="Calibri"/>
                <w:b/>
                <w:bCs/>
                <w:color w:val="FFFFFF"/>
                <w:sz w:val="20"/>
                <w:szCs w:val="20"/>
              </w:rPr>
              <w:t xml:space="preserve">Category</w:t>
            </w:r>
          </w:p>
        </w:tc>
        <w:tc>
          <w:tcPr>
            <w:tcW w:type="dxa" w:w="3300"/>
            <w:tcBorders>
              <w:top w:val="single" w:color="CCD9DE" w:sz="1"/>
              <w:left w:val="single" w:color="CCD9DE" w:sz="1"/>
              <w:bottom w:val="single" w:color="CCD9DE" w:sz="1"/>
              <w:right w:val="single" w:color="CCD9DE" w:sz="1"/>
            </w:tcBorders>
            <w:shd w:fill="0D3D47" w:val="clear"/>
            <w:tcMar>
              <w:top w:type="dxa" w:w="100"/>
              <w:left w:type="dxa" w:w="120"/>
              <w:bottom w:type="dxa" w:w="100"/>
              <w:right w:type="dxa" w:w="120"/>
            </w:tcMar>
          </w:tcPr>
          <w:p>
            <w:r>
              <w:rPr>
                <w:rFonts w:ascii="Calibri" w:cs="Calibri" w:eastAsia="Calibri" w:hAnsi="Calibri"/>
                <w:b/>
                <w:bCs/>
                <w:color w:val="FFFFFF"/>
                <w:sz w:val="20"/>
                <w:szCs w:val="20"/>
              </w:rPr>
              <w:t xml:space="preserve">What they do</w:t>
            </w:r>
          </w:p>
        </w:tc>
        <w:tc>
          <w:tcPr>
            <w:tcW w:type="dxa" w:w="2500"/>
            <w:tcBorders>
              <w:top w:val="single" w:color="CCD9DE" w:sz="1"/>
              <w:left w:val="single" w:color="CCD9DE" w:sz="1"/>
              <w:bottom w:val="single" w:color="CCD9DE" w:sz="1"/>
              <w:right w:val="single" w:color="CCD9DE" w:sz="1"/>
            </w:tcBorders>
            <w:shd w:fill="0D3D47" w:val="clear"/>
            <w:tcMar>
              <w:top w:type="dxa" w:w="100"/>
              <w:left w:type="dxa" w:w="120"/>
              <w:bottom w:type="dxa" w:w="100"/>
              <w:right w:type="dxa" w:w="120"/>
            </w:tcMar>
          </w:tcPr>
          <w:p>
            <w:r>
              <w:rPr>
                <w:rFonts w:ascii="Calibri" w:cs="Calibri" w:eastAsia="Calibri" w:hAnsi="Calibri"/>
                <w:b/>
                <w:bCs/>
                <w:color w:val="FFFFFF"/>
                <w:sz w:val="20"/>
                <w:szCs w:val="20"/>
              </w:rPr>
              <w:t xml:space="preserve">Gap relative to ALLY</w:t>
            </w:r>
          </w:p>
        </w:tc>
      </w:tr>
      <w:tr>
        <w:tc>
          <w:tcPr>
            <w:tcW w:type="dxa" w:w="1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Homage</w:t>
            </w:r>
          </w:p>
        </w:tc>
        <w:tc>
          <w:tcPr>
            <w:tcW w:type="dxa" w:w="15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Care marketplace</w:t>
            </w:r>
          </w:p>
        </w:tc>
        <w:tc>
          <w:tcPr>
            <w:tcW w:type="dxa" w:w="3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Books professional caregivers by the hour (~S$23/hr)</w:t>
            </w:r>
          </w:p>
        </w:tc>
        <w:tc>
          <w:tcPr>
            <w:tcW w:type="dxa" w:w="25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No coordination tool, no discharge parsing, no subsidy navigator</w:t>
            </w:r>
          </w:p>
        </w:tc>
      </w:tr>
      <w:tr>
        <w:tc>
          <w:tcPr>
            <w:tcW w:type="dxa" w:w="1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Jaga-Me</w:t>
            </w:r>
          </w:p>
        </w:tc>
        <w:tc>
          <w:tcPr>
            <w:tcW w:type="dxa" w:w="15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Care marketplace</w:t>
            </w:r>
          </w:p>
        </w:tc>
        <w:tc>
          <w:tcPr>
            <w:tcW w:type="dxa" w:w="3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Home personal care and nursing services</w:t>
            </w:r>
          </w:p>
        </w:tc>
        <w:tc>
          <w:tcPr>
            <w:tcW w:type="dxa" w:w="25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Marketplace, not a software product for the family</w:t>
            </w:r>
          </w:p>
        </w:tc>
      </w:tr>
      <w:tr>
        <w:tc>
          <w:tcPr>
            <w:tcW w:type="dxa" w:w="1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Caregiver Asia</w:t>
            </w:r>
          </w:p>
        </w:tc>
        <w:tc>
          <w:tcPr>
            <w:tcW w:type="dxa" w:w="15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Care marketplace</w:t>
            </w:r>
          </w:p>
        </w:tc>
        <w:tc>
          <w:tcPr>
            <w:tcW w:type="dxa" w:w="3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Connects households with vetted caregivers</w:t>
            </w:r>
          </w:p>
        </w:tc>
        <w:tc>
          <w:tcPr>
            <w:tcW w:type="dxa" w:w="25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No software layer for the family</w:t>
            </w:r>
          </w:p>
        </w:tc>
      </w:tr>
      <w:tr>
        <w:tc>
          <w:tcPr>
            <w:tcW w:type="dxa" w:w="1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Active Global</w:t>
            </w:r>
          </w:p>
        </w:tc>
        <w:tc>
          <w:tcPr>
            <w:tcW w:type="dxa" w:w="15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Home care agency</w:t>
            </w:r>
          </w:p>
        </w:tc>
        <w:tc>
          <w:tcPr>
            <w:tcW w:type="dxa" w:w="3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Live-in and visiting care for elderly</w:t>
            </w:r>
          </w:p>
        </w:tc>
        <w:tc>
          <w:tcPr>
            <w:tcW w:type="dxa" w:w="25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Service business, no software layer</w:t>
            </w:r>
          </w:p>
        </w:tc>
      </w:tr>
      <w:tr>
        <w:tc>
          <w:tcPr>
            <w:tcW w:type="dxa" w:w="1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Speedoc</w:t>
            </w:r>
          </w:p>
        </w:tc>
        <w:tc>
          <w:tcPr>
            <w:tcW w:type="dxa" w:w="15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Telemedicine</w:t>
            </w:r>
          </w:p>
        </w:tc>
        <w:tc>
          <w:tcPr>
            <w:tcW w:type="dxa" w:w="3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House calls and telemedicine</w:t>
            </w:r>
          </w:p>
        </w:tc>
        <w:tc>
          <w:tcPr>
            <w:tcW w:type="dxa" w:w="25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Adjacent, not competing — partner candidate</w:t>
            </w:r>
          </w:p>
        </w:tc>
      </w:tr>
      <w:tr>
        <w:tc>
          <w:tcPr>
            <w:tcW w:type="dxa" w:w="1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Doctor Anywhere</w:t>
            </w:r>
          </w:p>
        </w:tc>
        <w:tc>
          <w:tcPr>
            <w:tcW w:type="dxa" w:w="15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Telemedicine</w:t>
            </w:r>
          </w:p>
        </w:tc>
        <w:tc>
          <w:tcPr>
            <w:tcW w:type="dxa" w:w="3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Telemedicine and pharmacy delivery</w:t>
            </w:r>
          </w:p>
        </w:tc>
        <w:tc>
          <w:tcPr>
            <w:tcW w:type="dxa" w:w="25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Adjacent, not competing — partner candidate</w:t>
            </w:r>
          </w:p>
        </w:tc>
      </w:tr>
      <w:tr>
        <w:tc>
          <w:tcPr>
            <w:tcW w:type="dxa" w:w="1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HealthHub (Synapxe)</w:t>
            </w:r>
          </w:p>
        </w:tc>
        <w:tc>
          <w:tcPr>
            <w:tcW w:type="dxa" w:w="15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Public health portal</w:t>
            </w:r>
          </w:p>
        </w:tc>
        <w:tc>
          <w:tcPr>
            <w:tcW w:type="dxa" w:w="3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Personal health records, content library</w:t>
            </w:r>
          </w:p>
        </w:tc>
        <w:tc>
          <w:tcPr>
            <w:tcW w:type="dxa" w:w="25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Patient-first, not caregiver-first; bureaucratic UX</w:t>
            </w:r>
          </w:p>
        </w:tc>
      </w:tr>
      <w:tr>
        <w:tc>
          <w:tcPr>
            <w:tcW w:type="dxa" w:w="1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AIC website</w:t>
            </w:r>
          </w:p>
        </w:tc>
        <w:tc>
          <w:tcPr>
            <w:tcW w:type="dxa" w:w="15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Public information</w:t>
            </w:r>
          </w:p>
        </w:tc>
        <w:tc>
          <w:tcPr>
            <w:tcW w:type="dxa" w:w="3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Subsidy info, caregiver training, directory</w:t>
            </w:r>
          </w:p>
        </w:tc>
        <w:tc>
          <w:tcPr>
            <w:tcW w:type="dxa" w:w="25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Not interactive; users must self-navigate</w:t>
            </w:r>
          </w:p>
        </w:tc>
      </w:tr>
      <w:tr>
        <w:tc>
          <w:tcPr>
            <w:tcW w:type="dxa" w:w="1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Dementia Singapore</w:t>
            </w:r>
          </w:p>
        </w:tc>
        <w:tc>
          <w:tcPr>
            <w:tcW w:type="dxa" w:w="15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NGO content</w:t>
            </w:r>
          </w:p>
        </w:tc>
        <w:tc>
          <w:tcPr>
            <w:tcW w:type="dxa" w:w="3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Dementia education, support groups</w:t>
            </w:r>
          </w:p>
        </w:tc>
        <w:tc>
          <w:tcPr>
            <w:tcW w:type="dxa" w:w="25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Single-condition focus, no coordination tooling</w:t>
            </w:r>
          </w:p>
        </w:tc>
      </w:tr>
      <w:tr>
        <w:tc>
          <w:tcPr>
            <w:tcW w:type="dxa" w:w="1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MyDoc, WhiteCoat</w:t>
            </w:r>
          </w:p>
        </w:tc>
        <w:tc>
          <w:tcPr>
            <w:tcW w:type="dxa" w:w="15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Telemedicine</w:t>
            </w:r>
          </w:p>
        </w:tc>
        <w:tc>
          <w:tcPr>
            <w:tcW w:type="dxa" w:w="3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Virtual GP consultations</w:t>
            </w:r>
          </w:p>
        </w:tc>
        <w:tc>
          <w:tcPr>
            <w:tcW w:type="dxa" w:w="25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Adjacent, not competing</w:t>
            </w:r>
          </w:p>
        </w:tc>
      </w:tr>
    </w:tbl>
    <w:p>
      <w:pPr>
        <w:pStyle w:val="Heading2"/>
        <w:spacing w:after="160" w:before="320"/>
      </w:pPr>
      <w:r>
        <w:rPr>
          <w:rFonts w:ascii="Calibri" w:cs="Calibri" w:eastAsia="Calibri" w:hAnsi="Calibri"/>
          <w:b/>
          <w:bCs/>
          <w:color w:val="0D3D47"/>
        </w:rPr>
        <w:t xml:space="preserve">7.2 The international field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300"/>
        <w:gridCol w:w="2900"/>
      </w:tblGrid>
      <w:tr>
        <w:trPr>
          <w:tblHeader/>
        </w:trPr>
        <w:tc>
          <w:tcPr>
            <w:tcW w:type="dxa" w:w="1700"/>
            <w:tcBorders>
              <w:top w:val="single" w:color="CCD9DE" w:sz="1"/>
              <w:left w:val="single" w:color="CCD9DE" w:sz="1"/>
              <w:bottom w:val="single" w:color="CCD9DE" w:sz="1"/>
              <w:right w:val="single" w:color="CCD9DE" w:sz="1"/>
            </w:tcBorders>
            <w:shd w:fill="0D3D47" w:val="clear"/>
            <w:tcMar>
              <w:top w:type="dxa" w:w="100"/>
              <w:left w:type="dxa" w:w="120"/>
              <w:bottom w:type="dxa" w:w="100"/>
              <w:right w:type="dxa" w:w="120"/>
            </w:tcMar>
          </w:tcPr>
          <w:p>
            <w:r>
              <w:rPr>
                <w:rFonts w:ascii="Calibri" w:cs="Calibri" w:eastAsia="Calibri" w:hAnsi="Calibri"/>
                <w:b/>
                <w:bCs/>
                <w:color w:val="FFFFFF"/>
                <w:sz w:val="20"/>
                <w:szCs w:val="20"/>
              </w:rPr>
              <w:t xml:space="preserve">Provider</w:t>
            </w:r>
          </w:p>
        </w:tc>
        <w:tc>
          <w:tcPr>
            <w:tcW w:type="dxa" w:w="1100"/>
            <w:tcBorders>
              <w:top w:val="single" w:color="CCD9DE" w:sz="1"/>
              <w:left w:val="single" w:color="CCD9DE" w:sz="1"/>
              <w:bottom w:val="single" w:color="CCD9DE" w:sz="1"/>
              <w:right w:val="single" w:color="CCD9DE" w:sz="1"/>
            </w:tcBorders>
            <w:shd w:fill="0D3D47" w:val="clear"/>
            <w:tcMar>
              <w:top w:type="dxa" w:w="100"/>
              <w:left w:type="dxa" w:w="120"/>
              <w:bottom w:type="dxa" w:w="100"/>
              <w:right w:type="dxa" w:w="120"/>
            </w:tcMar>
          </w:tcPr>
          <w:p>
            <w:r>
              <w:rPr>
                <w:rFonts w:ascii="Calibri" w:cs="Calibri" w:eastAsia="Calibri" w:hAnsi="Calibri"/>
                <w:b/>
                <w:bCs/>
                <w:color w:val="FFFFFF"/>
                <w:sz w:val="20"/>
                <w:szCs w:val="20"/>
              </w:rPr>
              <w:t xml:space="preserve">Geography</w:t>
            </w:r>
          </w:p>
        </w:tc>
        <w:tc>
          <w:tcPr>
            <w:tcW w:type="dxa" w:w="3300"/>
            <w:tcBorders>
              <w:top w:val="single" w:color="CCD9DE" w:sz="1"/>
              <w:left w:val="single" w:color="CCD9DE" w:sz="1"/>
              <w:bottom w:val="single" w:color="CCD9DE" w:sz="1"/>
              <w:right w:val="single" w:color="CCD9DE" w:sz="1"/>
            </w:tcBorders>
            <w:shd w:fill="0D3D47" w:val="clear"/>
            <w:tcMar>
              <w:top w:type="dxa" w:w="100"/>
              <w:left w:type="dxa" w:w="120"/>
              <w:bottom w:type="dxa" w:w="100"/>
              <w:right w:type="dxa" w:w="120"/>
            </w:tcMar>
          </w:tcPr>
          <w:p>
            <w:r>
              <w:rPr>
                <w:rFonts w:ascii="Calibri" w:cs="Calibri" w:eastAsia="Calibri" w:hAnsi="Calibri"/>
                <w:b/>
                <w:bCs/>
                <w:color w:val="FFFFFF"/>
                <w:sz w:val="20"/>
                <w:szCs w:val="20"/>
              </w:rPr>
              <w:t xml:space="preserve">What they do</w:t>
            </w:r>
          </w:p>
        </w:tc>
        <w:tc>
          <w:tcPr>
            <w:tcW w:type="dxa" w:w="2900"/>
            <w:tcBorders>
              <w:top w:val="single" w:color="CCD9DE" w:sz="1"/>
              <w:left w:val="single" w:color="CCD9DE" w:sz="1"/>
              <w:bottom w:val="single" w:color="CCD9DE" w:sz="1"/>
              <w:right w:val="single" w:color="CCD9DE" w:sz="1"/>
            </w:tcBorders>
            <w:shd w:fill="0D3D47" w:val="clear"/>
            <w:tcMar>
              <w:top w:type="dxa" w:w="100"/>
              <w:left w:type="dxa" w:w="120"/>
              <w:bottom w:type="dxa" w:w="100"/>
              <w:right w:type="dxa" w:w="120"/>
            </w:tcMar>
          </w:tcPr>
          <w:p>
            <w:r>
              <w:rPr>
                <w:rFonts w:ascii="Calibri" w:cs="Calibri" w:eastAsia="Calibri" w:hAnsi="Calibri"/>
                <w:b/>
                <w:bCs/>
                <w:color w:val="FFFFFF"/>
                <w:sz w:val="20"/>
                <w:szCs w:val="20"/>
              </w:rPr>
              <w:t xml:space="preserve">Gap relative to ALLY</w:t>
            </w:r>
          </w:p>
        </w:tc>
      </w:tr>
      <w:tr>
        <w:tc>
          <w:tcPr>
            <w:tcW w:type="dxa" w:w="1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Ianacare</w:t>
            </w:r>
          </w:p>
        </w:tc>
        <w:tc>
          <w:tcPr>
            <w:tcW w:type="dxa" w:w="11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US</w:t>
            </w:r>
          </w:p>
        </w:tc>
        <w:tc>
          <w:tcPr>
            <w:tcW w:type="dxa" w:w="3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Caregiver coordination, peer support, broadcast for help</w:t>
            </w:r>
          </w:p>
        </w:tc>
        <w:tc>
          <w:tcPr>
            <w:tcW w:type="dxa" w:w="29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No SG localisation, no subsidies, no FDW workflow</w:t>
            </w:r>
          </w:p>
        </w:tc>
      </w:tr>
      <w:tr>
        <w:tc>
          <w:tcPr>
            <w:tcW w:type="dxa" w:w="1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CaringBridge</w:t>
            </w:r>
          </w:p>
        </w:tc>
        <w:tc>
          <w:tcPr>
            <w:tcW w:type="dxa" w:w="11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US</w:t>
            </w:r>
          </w:p>
        </w:tc>
        <w:tc>
          <w:tcPr>
            <w:tcW w:type="dxa" w:w="3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Patient updates and emotional support journals</w:t>
            </w:r>
          </w:p>
        </w:tc>
        <w:tc>
          <w:tcPr>
            <w:tcW w:type="dxa" w:w="29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Communication only — not task or care plan</w:t>
            </w:r>
          </w:p>
        </w:tc>
      </w:tr>
      <w:tr>
        <w:tc>
          <w:tcPr>
            <w:tcW w:type="dxa" w:w="1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Lotsa Helping Hands</w:t>
            </w:r>
          </w:p>
        </w:tc>
        <w:tc>
          <w:tcPr>
            <w:tcW w:type="dxa" w:w="11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US</w:t>
            </w:r>
          </w:p>
        </w:tc>
        <w:tc>
          <w:tcPr>
            <w:tcW w:type="dxa" w:w="3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Volunteer coordination calendar</w:t>
            </w:r>
          </w:p>
        </w:tc>
        <w:tc>
          <w:tcPr>
            <w:tcW w:type="dxa" w:w="29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Calendar only; no clinical layer</w:t>
            </w:r>
          </w:p>
        </w:tc>
      </w:tr>
      <w:tr>
        <w:tc>
          <w:tcPr>
            <w:tcW w:type="dxa" w:w="1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Carely</w:t>
            </w:r>
          </w:p>
        </w:tc>
        <w:tc>
          <w:tcPr>
            <w:tcW w:type="dxa" w:w="11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US</w:t>
            </w:r>
          </w:p>
        </w:tc>
        <w:tc>
          <w:tcPr>
            <w:tcW w:type="dxa" w:w="3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Family communication for elderly care</w:t>
            </w:r>
          </w:p>
        </w:tc>
        <w:tc>
          <w:tcPr>
            <w:tcW w:type="dxa" w:w="29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Limited clinical features, US Medicare framing</w:t>
            </w:r>
          </w:p>
        </w:tc>
      </w:tr>
      <w:tr>
        <w:tc>
          <w:tcPr>
            <w:tcW w:type="dxa" w:w="1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Wellthy</w:t>
            </w:r>
          </w:p>
        </w:tc>
        <w:tc>
          <w:tcPr>
            <w:tcW w:type="dxa" w:w="11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US</w:t>
            </w:r>
          </w:p>
        </w:tc>
        <w:tc>
          <w:tcPr>
            <w:tcW w:type="dxa" w:w="3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Concierge caregiving as employer benefit</w:t>
            </w:r>
          </w:p>
        </w:tc>
        <w:tc>
          <w:tcPr>
            <w:tcW w:type="dxa" w:w="29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High-touch human service, expensive, US-only</w:t>
            </w:r>
          </w:p>
        </w:tc>
      </w:tr>
      <w:tr>
        <w:tc>
          <w:tcPr>
            <w:tcW w:type="dxa" w:w="1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Cariloop</w:t>
            </w:r>
          </w:p>
        </w:tc>
        <w:tc>
          <w:tcPr>
            <w:tcW w:type="dxa" w:w="11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US</w:t>
            </w:r>
          </w:p>
        </w:tc>
        <w:tc>
          <w:tcPr>
            <w:tcW w:type="dxa" w:w="3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Employer-paid caregiver coaching</w:t>
            </w:r>
          </w:p>
        </w:tc>
        <w:tc>
          <w:tcPr>
            <w:tcW w:type="dxa" w:w="29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Coaching service, not a product layer</w:t>
            </w:r>
          </w:p>
        </w:tc>
      </w:tr>
      <w:tr>
        <w:tc>
          <w:tcPr>
            <w:tcW w:type="dxa" w:w="1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Homethrive</w:t>
            </w:r>
          </w:p>
        </w:tc>
        <w:tc>
          <w:tcPr>
            <w:tcW w:type="dxa" w:w="11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US</w:t>
            </w:r>
          </w:p>
        </w:tc>
        <w:tc>
          <w:tcPr>
            <w:tcW w:type="dxa" w:w="3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Employer-paid caregiver navigation</w:t>
            </w:r>
          </w:p>
        </w:tc>
        <w:tc>
          <w:tcPr>
            <w:tcW w:type="dxa" w:w="29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Comparable category, US-only</w:t>
            </w:r>
          </w:p>
        </w:tc>
      </w:tr>
      <w:tr>
        <w:tc>
          <w:tcPr>
            <w:tcW w:type="dxa" w:w="1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Papa Inc</w:t>
            </w:r>
          </w:p>
        </w:tc>
        <w:tc>
          <w:tcPr>
            <w:tcW w:type="dxa" w:w="11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US</w:t>
            </w:r>
          </w:p>
        </w:tc>
        <w:tc>
          <w:tcPr>
            <w:tcW w:type="dxa" w:w="3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Companion care for older adults</w:t>
            </w:r>
          </w:p>
        </w:tc>
        <w:tc>
          <w:tcPr>
            <w:tcW w:type="dxa" w:w="29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In-person companionship, not coordination</w:t>
            </w:r>
          </w:p>
        </w:tc>
      </w:tr>
      <w:tr>
        <w:tc>
          <w:tcPr>
            <w:tcW w:type="dxa" w:w="1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CareLinx</w:t>
            </w:r>
          </w:p>
        </w:tc>
        <w:tc>
          <w:tcPr>
            <w:tcW w:type="dxa" w:w="11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US</w:t>
            </w:r>
          </w:p>
        </w:tc>
        <w:tc>
          <w:tcPr>
            <w:tcW w:type="dxa" w:w="3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Caregiver hiring marketplace ($15-25/hr)</w:t>
            </w:r>
          </w:p>
        </w:tc>
        <w:tc>
          <w:tcPr>
            <w:tcW w:type="dxa" w:w="29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Marketplace, not coordination</w:t>
            </w:r>
          </w:p>
        </w:tc>
      </w:tr>
      <w:tr>
        <w:tc>
          <w:tcPr>
            <w:tcW w:type="dxa" w:w="1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Cera Care</w:t>
            </w:r>
          </w:p>
        </w:tc>
        <w:tc>
          <w:tcPr>
            <w:tcW w:type="dxa" w:w="11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UK</w:t>
            </w:r>
          </w:p>
        </w:tc>
        <w:tc>
          <w:tcPr>
            <w:tcW w:type="dxa" w:w="3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Tech-enabled in-home care provider</w:t>
            </w:r>
          </w:p>
        </w:tc>
        <w:tc>
          <w:tcPr>
            <w:tcW w:type="dxa" w:w="29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Service business; tech is internal</w:t>
            </w:r>
          </w:p>
        </w:tc>
      </w:tr>
      <w:tr>
        <w:tc>
          <w:tcPr>
            <w:tcW w:type="dxa" w:w="1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Lifted</w:t>
            </w:r>
          </w:p>
        </w:tc>
        <w:tc>
          <w:tcPr>
            <w:tcW w:type="dxa" w:w="11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UK</w:t>
            </w:r>
          </w:p>
        </w:tc>
        <w:tc>
          <w:tcPr>
            <w:tcW w:type="dxa" w:w="3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Live-in and home care platform</w:t>
            </w:r>
          </w:p>
        </w:tc>
        <w:tc>
          <w:tcPr>
            <w:tcW w:type="dxa" w:w="29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Service business with software</w:t>
            </w:r>
          </w:p>
        </w:tc>
      </w:tr>
      <w:tr>
        <w:tc>
          <w:tcPr>
            <w:tcW w:type="dxa" w:w="1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Amica/Mable</w:t>
            </w:r>
          </w:p>
        </w:tc>
        <w:tc>
          <w:tcPr>
            <w:tcW w:type="dxa" w:w="11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AU/NZ</w:t>
            </w:r>
          </w:p>
        </w:tc>
        <w:tc>
          <w:tcPr>
            <w:tcW w:type="dxa" w:w="3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NDIS-aligned care coordination</w:t>
            </w:r>
          </w:p>
        </w:tc>
        <w:tc>
          <w:tcPr>
            <w:tcW w:type="dxa" w:w="29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Australian regulatory model</w:t>
            </w:r>
          </w:p>
        </w:tc>
      </w:tr>
    </w:tbl>
    <w:p>
      <w:pPr>
        <w:pStyle w:val="Heading2"/>
        <w:spacing w:after="160" w:before="320"/>
      </w:pPr>
      <w:r>
        <w:rPr>
          <w:rFonts w:ascii="Calibri" w:cs="Calibri" w:eastAsia="Calibri" w:hAnsi="Calibri"/>
          <w:b/>
          <w:bCs/>
          <w:color w:val="0D3D47"/>
        </w:rPr>
        <w:t xml:space="preserve">7.3 The white space</w:t>
      </w:r>
    </w:p>
    <w:p>
      <w:pPr>
        <w:spacing w:after="120" w:line="320"/>
        <w:jc w:val="left"/>
      </w:pPr>
      <w:r>
        <w:rPr>
          <w:rFonts w:ascii="Calibri" w:cs="Calibri" w:eastAsia="Calibri" w:hAnsi="Calibri"/>
          <w:color w:val="1A2B35"/>
          <w:sz w:val="22"/>
          <w:szCs w:val="22"/>
        </w:rPr>
        <w:t xml:space="preserve">Two observations follow from the tables above. First, no competitor in Singapore is a coordination platform — they are all either marketplaces or telemedicine plays or single-purpose information portals. Second, no competitor internationally is localised for Singapore — the closest functional competitors (Ianacare, CaringBridge, Carely) are US-built, US-priced, US-language, and have no concept of Singapore subsidies, foreign domestic worker workflows, or SG healthcare-system integration.</w:t>
      </w:r>
    </w:p>
    <w:p>
      <w:pPr>
        <w:spacing w:after="120" w:line="320"/>
        <w:jc w:val="left"/>
      </w:pPr>
      <w:r>
        <w:rPr>
          <w:rFonts w:ascii="Calibri" w:cs="Calibri" w:eastAsia="Calibri" w:hAnsi="Calibri"/>
          <w:color w:val="1A2B35"/>
          <w:sz w:val="22"/>
          <w:szCs w:val="22"/>
        </w:rPr>
        <w:t xml:space="preserve">ALLY's defensible position lies at the intersection of three product properties that no current player combines: it is a coordination platform (not a labour marketplace); it is deeply localised for Singapore (subsidies, languages, FDW); and it has clinical depth (parsing, training content, escalation logic). Each property alone is achievable; together, they form a durable moat.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6B7B" w:sz="4"/>
              <w:left w:val="single" w:color="1B6B7B" w:sz="12"/>
              <w:bottom w:val="single" w:color="1B6B7B" w:sz="4"/>
              <w:right w:val="single" w:color="1B6B7B" w:sz="4"/>
            </w:tcBorders>
            <w:shd w:fill="E0F2F6" w:val="clear"/>
            <w:tcMar>
              <w:top w:type="dxa" w:w="160"/>
              <w:left w:type="dxa" w:w="200"/>
              <w:bottom w:type="dxa" w:w="160"/>
              <w:right w:type="dxa" w:w="200"/>
            </w:tcMar>
          </w:tcPr>
          <w:p>
            <w:pPr>
              <w:spacing w:after="80"/>
            </w:pPr>
            <w:r>
              <w:rPr>
                <w:rFonts w:ascii="Calibri" w:cs="Calibri" w:eastAsia="Calibri" w:hAnsi="Calibri"/>
                <w:b/>
                <w:bCs/>
                <w:color w:val="0D3D47"/>
                <w:sz w:val="22"/>
                <w:szCs w:val="22"/>
              </w:rPr>
              <w:t xml:space="preserve">Positioning sentence</w:t>
            </w:r>
          </w:p>
          <w:p>
            <w:r>
              <w:rPr>
                <w:rFonts w:ascii="Calibri" w:cs="Calibri" w:eastAsia="Calibri" w:hAnsi="Calibri"/>
                <w:color w:val="1A2B35"/>
                <w:sz w:val="22"/>
                <w:szCs w:val="22"/>
              </w:rPr>
              <w:t xml:space="preserve">ALLY is the caregiver co-pilot that turns the discharge document into an organised care plan, the family WhatsApp into a coordinated team, and the subsidy maze into a five-question wizard — built specifically for Singapore households, in five languages, including the helper who actually does the work.</w:t>
            </w:r>
          </w:p>
        </w:tc>
      </w:tr>
    </w:tbl>
    <w:p>
      <w:r>
        <w:br w:type="page"/>
      </w:r>
    </w:p>
    <w:p>
      <w:pPr>
        <w:pStyle w:val="Heading1"/>
        <w:spacing w:after="160" w:before="320"/>
      </w:pPr>
      <w:r>
        <w:rPr>
          <w:rFonts w:ascii="Calibri" w:cs="Calibri" w:eastAsia="Calibri" w:hAnsi="Calibri"/>
          <w:b/>
          <w:bCs/>
          <w:color w:val="0D3D47"/>
        </w:rPr>
        <w:t xml:space="preserve">Part 8 — Consumer bands and pricing</w:t>
      </w:r>
    </w:p>
    <w:p>
      <w:pPr>
        <w:spacing w:after="120" w:line="320"/>
        <w:jc w:val="left"/>
      </w:pPr>
      <w:r>
        <w:rPr>
          <w:rFonts w:ascii="Calibri" w:cs="Calibri" w:eastAsia="Calibri" w:hAnsi="Calibri"/>
          <w:color w:val="1A2B35"/>
          <w:sz w:val="22"/>
          <w:szCs w:val="22"/>
        </w:rPr>
        <w:t xml:space="preserve">Pricing has to reflect the heterogeneity of the willingness-to-pay distribution. A single S$9.90 subscription leaves money on the table from professionals, prices out students, and fails entirely for employer and hospital channels. The pricing should be a multi-tier ladder with a strong free tier, two consumer subscription levels, an episodic option for temporary caregivers, and explicit B2B2C tiers for employers and hospitals.</w:t>
      </w:r>
    </w:p>
    <w:p>
      <w:pPr>
        <w:pStyle w:val="Heading2"/>
        <w:spacing w:after="160" w:before="320"/>
      </w:pPr>
      <w:r>
        <w:rPr>
          <w:rFonts w:ascii="Calibri" w:cs="Calibri" w:eastAsia="Calibri" w:hAnsi="Calibri"/>
          <w:b/>
          <w:bCs/>
          <w:color w:val="0D3D47"/>
        </w:rPr>
        <w:t xml:space="preserve">8.1 Tier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4300"/>
      </w:tblGrid>
      <w:tr>
        <w:trPr>
          <w:tblHeader/>
        </w:trPr>
        <w:tc>
          <w:tcPr>
            <w:tcW w:type="dxa" w:w="1300"/>
            <w:tcBorders>
              <w:top w:val="single" w:color="CCD9DE" w:sz="1"/>
              <w:left w:val="single" w:color="CCD9DE" w:sz="1"/>
              <w:bottom w:val="single" w:color="CCD9DE" w:sz="1"/>
              <w:right w:val="single" w:color="CCD9DE" w:sz="1"/>
            </w:tcBorders>
            <w:shd w:fill="0D3D47" w:val="clear"/>
            <w:tcMar>
              <w:top w:type="dxa" w:w="100"/>
              <w:left w:type="dxa" w:w="120"/>
              <w:bottom w:type="dxa" w:w="100"/>
              <w:right w:type="dxa" w:w="120"/>
            </w:tcMar>
          </w:tcPr>
          <w:p>
            <w:r>
              <w:rPr>
                <w:rFonts w:ascii="Calibri" w:cs="Calibri" w:eastAsia="Calibri" w:hAnsi="Calibri"/>
                <w:b/>
                <w:bCs/>
                <w:color w:val="FFFFFF"/>
                <w:sz w:val="20"/>
                <w:szCs w:val="20"/>
              </w:rPr>
              <w:t xml:space="preserve">Tier</w:t>
            </w:r>
          </w:p>
        </w:tc>
        <w:tc>
          <w:tcPr>
            <w:tcW w:type="dxa" w:w="1700"/>
            <w:tcBorders>
              <w:top w:val="single" w:color="CCD9DE" w:sz="1"/>
              <w:left w:val="single" w:color="CCD9DE" w:sz="1"/>
              <w:bottom w:val="single" w:color="CCD9DE" w:sz="1"/>
              <w:right w:val="single" w:color="CCD9DE" w:sz="1"/>
            </w:tcBorders>
            <w:shd w:fill="0D3D47" w:val="clear"/>
            <w:tcMar>
              <w:top w:type="dxa" w:w="100"/>
              <w:left w:type="dxa" w:w="120"/>
              <w:bottom w:type="dxa" w:w="100"/>
              <w:right w:type="dxa" w:w="120"/>
            </w:tcMar>
          </w:tcPr>
          <w:p>
            <w:r>
              <w:rPr>
                <w:rFonts w:ascii="Calibri" w:cs="Calibri" w:eastAsia="Calibri" w:hAnsi="Calibri"/>
                <w:b/>
                <w:bCs/>
                <w:color w:val="FFFFFF"/>
                <w:sz w:val="20"/>
                <w:szCs w:val="20"/>
              </w:rPr>
              <w:t xml:space="preserve">Audience</w:t>
            </w:r>
          </w:p>
        </w:tc>
        <w:tc>
          <w:tcPr>
            <w:tcW w:type="dxa" w:w="1700"/>
            <w:tcBorders>
              <w:top w:val="single" w:color="CCD9DE" w:sz="1"/>
              <w:left w:val="single" w:color="CCD9DE" w:sz="1"/>
              <w:bottom w:val="single" w:color="CCD9DE" w:sz="1"/>
              <w:right w:val="single" w:color="CCD9DE" w:sz="1"/>
            </w:tcBorders>
            <w:shd w:fill="0D3D47" w:val="clear"/>
            <w:tcMar>
              <w:top w:type="dxa" w:w="100"/>
              <w:left w:type="dxa" w:w="120"/>
              <w:bottom w:type="dxa" w:w="100"/>
              <w:right w:type="dxa" w:w="120"/>
            </w:tcMar>
          </w:tcPr>
          <w:p>
            <w:r>
              <w:rPr>
                <w:rFonts w:ascii="Calibri" w:cs="Calibri" w:eastAsia="Calibri" w:hAnsi="Calibri"/>
                <w:b/>
                <w:bCs/>
                <w:color w:val="FFFFFF"/>
                <w:sz w:val="20"/>
                <w:szCs w:val="20"/>
              </w:rPr>
              <w:t xml:space="preserve">Monthly price (SGD)</w:t>
            </w:r>
          </w:p>
        </w:tc>
        <w:tc>
          <w:tcPr>
            <w:tcW w:type="dxa" w:w="4300"/>
            <w:tcBorders>
              <w:top w:val="single" w:color="CCD9DE" w:sz="1"/>
              <w:left w:val="single" w:color="CCD9DE" w:sz="1"/>
              <w:bottom w:val="single" w:color="CCD9DE" w:sz="1"/>
              <w:right w:val="single" w:color="CCD9DE" w:sz="1"/>
            </w:tcBorders>
            <w:shd w:fill="0D3D47" w:val="clear"/>
            <w:tcMar>
              <w:top w:type="dxa" w:w="100"/>
              <w:left w:type="dxa" w:w="120"/>
              <w:bottom w:type="dxa" w:w="100"/>
              <w:right w:type="dxa" w:w="120"/>
            </w:tcMar>
          </w:tcPr>
          <w:p>
            <w:r>
              <w:rPr>
                <w:rFonts w:ascii="Calibri" w:cs="Calibri" w:eastAsia="Calibri" w:hAnsi="Calibri"/>
                <w:b/>
                <w:bCs/>
                <w:color w:val="FFFFFF"/>
                <w:sz w:val="20"/>
                <w:szCs w:val="20"/>
              </w:rPr>
              <w:t xml:space="preserve">What's included</w:t>
            </w:r>
          </w:p>
        </w:tc>
      </w:tr>
      <w:tr>
        <w:tc>
          <w:tcPr>
            <w:tcW w:type="dxa" w:w="1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ALLY Free</w:t>
            </w:r>
          </w:p>
        </w:tc>
        <w:tc>
          <w:tcPr>
            <w:tcW w:type="dxa" w:w="1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New users, students, price-sensitive</w:t>
            </w:r>
          </w:p>
        </w:tc>
        <w:tc>
          <w:tcPr>
            <w:tcW w:type="dxa" w:w="1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S$0</w:t>
            </w:r>
          </w:p>
        </w:tc>
        <w:tc>
          <w:tcPr>
            <w:tcW w:type="dxa" w:w="4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1 care recipient, English UI, basic task list, mood log, AI chat (10 msgs/mo), care team (up to 3 seats), HCG eligibility check</w:t>
            </w:r>
          </w:p>
        </w:tc>
      </w:tr>
      <w:tr>
        <w:tc>
          <w:tcPr>
            <w:tcW w:type="dxa" w:w="1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ALLY Plus</w:t>
            </w:r>
          </w:p>
        </w:tc>
        <w:tc>
          <w:tcPr>
            <w:tcW w:type="dxa" w:w="1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Sandwich-generation, distributed family</w:t>
            </w:r>
          </w:p>
        </w:tc>
        <w:tc>
          <w:tcPr>
            <w:tcW w:type="dxa" w:w="1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S$9.90 / S$99/yr</w:t>
            </w:r>
          </w:p>
        </w:tc>
        <w:tc>
          <w:tcPr>
            <w:tcW w:type="dxa" w:w="4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Unlimited AI chat, full subsidy navigator, multilingual UI, multilingual JIT content, 1 care recipient, care team (up to 6 seats), passive burnout monitoring</w:t>
            </w:r>
          </w:p>
        </w:tc>
      </w:tr>
      <w:tr>
        <w:tc>
          <w:tcPr>
            <w:tcW w:type="dxa" w:w="1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ALLY Family</w:t>
            </w:r>
          </w:p>
        </w:tc>
        <w:tc>
          <w:tcPr>
            <w:tcW w:type="dxa" w:w="1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Multi-recipient households</w:t>
            </w:r>
          </w:p>
        </w:tc>
        <w:tc>
          <w:tcPr>
            <w:tcW w:type="dxa" w:w="1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S$14.90 / S$149/yr</w:t>
            </w:r>
          </w:p>
        </w:tc>
        <w:tc>
          <w:tcPr>
            <w:tcW w:type="dxa" w:w="4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Plus features + up to 3 care recipients, FDW first-class seat, calendar sync, document storage, advanced burnout analytics</w:t>
            </w:r>
          </w:p>
        </w:tc>
      </w:tr>
      <w:tr>
        <w:tc>
          <w:tcPr>
            <w:tcW w:type="dxa" w:w="1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ALLY Recovery (one-time)</w:t>
            </w:r>
          </w:p>
        </w:tc>
        <w:tc>
          <w:tcPr>
            <w:tcW w:type="dxa" w:w="1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Temporary caregivers (post-op, oncology)</w:t>
            </w:r>
          </w:p>
        </w:tc>
        <w:tc>
          <w:tcPr>
            <w:tcW w:type="dxa" w:w="1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S$29 for 90 days</w:t>
            </w:r>
          </w:p>
        </w:tc>
        <w:tc>
          <w:tcPr>
            <w:tcW w:type="dxa" w:w="4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All Plus features for a fixed episode; renews to Plus or lapses to Free</w:t>
            </w:r>
          </w:p>
        </w:tc>
      </w:tr>
      <w:tr>
        <w:tc>
          <w:tcPr>
            <w:tcW w:type="dxa" w:w="1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ALLY Pro</w:t>
            </w:r>
          </w:p>
        </w:tc>
        <w:tc>
          <w:tcPr>
            <w:tcW w:type="dxa" w:w="1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Power users, professional family caregivers</w:t>
            </w:r>
          </w:p>
        </w:tc>
        <w:tc>
          <w:tcPr>
            <w:tcW w:type="dxa" w:w="1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S$24.90</w:t>
            </w:r>
          </w:p>
        </w:tc>
        <w:tc>
          <w:tcPr>
            <w:tcW w:type="dxa" w:w="4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Family features + Singpass/MyInfo integration (when available), priority support, dedicated content library, export-to-doctor reports</w:t>
            </w:r>
          </w:p>
        </w:tc>
      </w:tr>
      <w:tr>
        <w:tc>
          <w:tcPr>
            <w:tcW w:type="dxa" w:w="1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ALLY for Employers</w:t>
            </w:r>
          </w:p>
        </w:tc>
        <w:tc>
          <w:tcPr>
            <w:tcW w:type="dxa" w:w="1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Corporate HR / EAP partner</w:t>
            </w:r>
          </w:p>
        </w:tc>
        <w:tc>
          <w:tcPr>
            <w:tcW w:type="dxa" w:w="1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S$6/employee/month (min 50 seats)</w:t>
            </w:r>
          </w:p>
        </w:tc>
        <w:tc>
          <w:tcPr>
            <w:tcW w:type="dxa" w:w="4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Employee covered as caregiver, anonymous aggregate burnout dashboard for HR, customisable resource bundles</w:t>
            </w:r>
          </w:p>
        </w:tc>
      </w:tr>
      <w:tr>
        <w:tc>
          <w:tcPr>
            <w:tcW w:type="dxa" w:w="1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ALLY for Hospitals</w:t>
            </w:r>
          </w:p>
        </w:tc>
        <w:tc>
          <w:tcPr>
            <w:tcW w:type="dxa" w:w="1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Hospital discharge integration</w:t>
            </w:r>
          </w:p>
        </w:tc>
        <w:tc>
          <w:tcPr>
            <w:tcW w:type="dxa" w:w="1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S$15-30 per discharge bundle</w:t>
            </w:r>
          </w:p>
        </w:tc>
        <w:tc>
          <w:tcPr>
            <w:tcW w:type="dxa" w:w="4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QR-code onboarding, ALLY Plus prepaid for 90 days, readmission analytics for the hospital</w:t>
            </w:r>
          </w:p>
        </w:tc>
      </w:tr>
      <w:tr>
        <w:tc>
          <w:tcPr>
            <w:tcW w:type="dxa" w:w="1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ALLY Subsidised</w:t>
            </w:r>
          </w:p>
        </w:tc>
        <w:tc>
          <w:tcPr>
            <w:tcW w:type="dxa" w:w="1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Low-income, HCG-eligible</w:t>
            </w:r>
          </w:p>
        </w:tc>
        <w:tc>
          <w:tcPr>
            <w:tcW w:type="dxa" w:w="1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Free or S$1/mo (means-tested)</w:t>
            </w:r>
          </w:p>
        </w:tc>
        <w:tc>
          <w:tcPr>
            <w:tcW w:type="dxa" w:w="4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ALLY Plus included; cost absorbed by ALLY or sponsored partner</w:t>
            </w:r>
          </w:p>
        </w:tc>
      </w:tr>
    </w:tbl>
    <w:p>
      <w:pPr>
        <w:pStyle w:val="Heading2"/>
        <w:spacing w:after="160" w:before="320"/>
      </w:pPr>
      <w:r>
        <w:rPr>
          <w:rFonts w:ascii="Calibri" w:cs="Calibri" w:eastAsia="Calibri" w:hAnsi="Calibri"/>
          <w:b/>
          <w:bCs/>
          <w:color w:val="0D3D47"/>
        </w:rPr>
        <w:t xml:space="preserve">8.2 Why this structure</w:t>
      </w:r>
    </w:p>
    <w:p>
      <w:pPr>
        <w:spacing w:after="120" w:line="320"/>
        <w:jc w:val="left"/>
      </w:pPr>
      <w:r>
        <w:rPr>
          <w:rFonts w:ascii="Calibri" w:cs="Calibri" w:eastAsia="Calibri" w:hAnsi="Calibri"/>
          <w:color w:val="1A2B35"/>
          <w:sz w:val="22"/>
          <w:szCs w:val="22"/>
        </w:rPr>
        <w:t xml:space="preserve">Eight tiers sounds like a lot. It is the right number, because it maps to eight distinct purchasing situations. A free tier carries the viral loop and the subsidy navigator (the most viral feature). Plus is the consumer flagship; Family is the multi-recipient upsell that captures dual-care and distributed-family households. Recovery is for the temporary caregiver who would otherwise churn at month two. Pro is the willingness-to-pay tail. The two B2B tiers — employer and hospital — are the durable revenue sources that fund the consumer tiers. The subsidised tier exists for ethical reasons and is a small absolute cost relative to the legitimacy it provides.</w:t>
      </w:r>
    </w:p>
    <w:p>
      <w:pPr>
        <w:pStyle w:val="Heading2"/>
        <w:spacing w:after="160" w:before="320"/>
      </w:pPr>
      <w:r>
        <w:rPr>
          <w:rFonts w:ascii="Calibri" w:cs="Calibri" w:eastAsia="Calibri" w:hAnsi="Calibri"/>
          <w:b/>
          <w:bCs/>
          <w:color w:val="0D3D47"/>
        </w:rPr>
        <w:t xml:space="preserve">8.3 Unit economics, illustrative</w:t>
      </w:r>
    </w:p>
    <w:p>
      <w:pPr>
        <w:spacing w:after="120" w:line="320"/>
        <w:jc w:val="left"/>
      </w:pPr>
      <w:r>
        <w:rPr>
          <w:rFonts w:ascii="Calibri" w:cs="Calibri" w:eastAsia="Calibri" w:hAnsi="Calibri"/>
          <w:color w:val="1A2B35"/>
          <w:sz w:val="22"/>
          <w:szCs w:val="22"/>
        </w:rPr>
        <w:t xml:space="preserve">At a Plus monthly price of S$9.90 and assumed gross margin (after Claude API, hosting, payment processing, content licensing) of around 75% — a defensible figure given current API pricing and Supabase free-to-low-tier usage — the contribution per Plus subscriber is roughly S$7.40 a month. With organic care-team fanout, blended customer acquisition cost in the consumer tier should sit between S$15 and S$30. Payback period therefore lands at two to four months for the consumer subscription business, which is healthy.</w:t>
      </w:r>
    </w:p>
    <w:p>
      <w:pPr>
        <w:spacing w:after="120" w:line="320"/>
        <w:jc w:val="left"/>
      </w:pPr>
      <w:r>
        <w:rPr>
          <w:rFonts w:ascii="Calibri" w:cs="Calibri" w:eastAsia="Calibri" w:hAnsi="Calibri"/>
          <w:color w:val="1A2B35"/>
          <w:sz w:val="22"/>
          <w:szCs w:val="22"/>
        </w:rPr>
        <w:t xml:space="preserve">The B2B2C tiers carry stronger economics. At S$6 per employee per month for a 200-seat employer contract, ALLY captures S$14,400 a year for a customer with a long contract and very low support burden (most employees never activate). Five enterprise customers like that is a S$72,000 annual revenue line — enough to fund a part-time hire and a meaningful marketing budget.</w:t>
      </w:r>
    </w:p>
    <w:p>
      <w:pPr>
        <w:spacing w:after="120" w:line="320"/>
        <w:jc w:val="left"/>
      </w:pPr>
      <w:r>
        <w:rPr>
          <w:rFonts w:ascii="Calibri" w:cs="Calibri" w:eastAsia="Calibri" w:hAnsi="Calibri"/>
          <w:color w:val="1A2B35"/>
          <w:sz w:val="22"/>
          <w:szCs w:val="22"/>
        </w:rPr>
        <w:t xml:space="preserve">Hospital integration economics are the strongest if scaled. At S$20 per discharge bundle and a single hospital ward discharging 50 elderly patients per month, the contract is S$12,000 a year per ward. A 200-bed elderly-care wing at conservative discharge volumes is a S$50,000-plus annual contract. These numbers depend entirely on the hospital believing ALLY meaningfully reduces 30-day readmission, which is the single most important number to evidence in pilot.</w:t>
      </w:r>
    </w:p>
    <w:p>
      <w:pPr>
        <w:pStyle w:val="Heading2"/>
        <w:spacing w:after="160" w:before="320"/>
      </w:pPr>
      <w:r>
        <w:rPr>
          <w:rFonts w:ascii="Calibri" w:cs="Calibri" w:eastAsia="Calibri" w:hAnsi="Calibri"/>
          <w:b/>
          <w:bCs/>
          <w:color w:val="0D3D47"/>
        </w:rPr>
        <w:t xml:space="preserve">8.4 Pricing principles to hold the line on</w:t>
      </w:r>
    </w:p>
    <w:p>
      <w:pPr>
        <w:spacing w:after="120" w:line="320"/>
        <w:jc w:val="left"/>
      </w:pPr>
      <w:r>
        <w:rPr>
          <w:rFonts w:ascii="Calibri" w:cs="Calibri" w:eastAsia="Calibri" w:hAnsi="Calibri"/>
          <w:color w:val="1A2B35"/>
          <w:sz w:val="22"/>
          <w:szCs w:val="22"/>
        </w:rPr>
        <w:t xml:space="preserve">First, do not rationalise away the free tier. The free tier is the marketing budget; cutting it is cutting acquisition. Second, do not sell anything below cost — the temptation will be to discount aggressively for design partners and hospital pilots. Discount instead with credits, with extended trial periods, and with payment terms; do not normalise sub-cost pricing in the contract. Third, never bury the disclaimer or the cancellation flow. The consumer subscription business depends on trust; one news cycle about confusing renewal practices will set the brand back two years.</w:t>
      </w:r>
    </w:p>
    <w:p>
      <w:r>
        <w:br w:type="page"/>
      </w:r>
    </w:p>
    <w:p>
      <w:pPr>
        <w:pStyle w:val="Heading1"/>
        <w:spacing w:after="160" w:before="320"/>
      </w:pPr>
      <w:r>
        <w:rPr>
          <w:rFonts w:ascii="Calibri" w:cs="Calibri" w:eastAsia="Calibri" w:hAnsi="Calibri"/>
          <w:b/>
          <w:bCs/>
          <w:color w:val="0D3D47"/>
        </w:rPr>
        <w:t xml:space="preserve">Part 9 — Differentiation: how ALLY wins</w:t>
      </w:r>
    </w:p>
    <w:p>
      <w:pPr>
        <w:spacing w:after="120" w:line="320"/>
        <w:jc w:val="left"/>
      </w:pPr>
      <w:r>
        <w:rPr>
          <w:rFonts w:ascii="Calibri" w:cs="Calibri" w:eastAsia="Calibri" w:hAnsi="Calibri"/>
          <w:color w:val="1A2B35"/>
          <w:sz w:val="22"/>
          <w:szCs w:val="22"/>
        </w:rPr>
        <w:t xml:space="preserve">Six differentiators, each defensible against a plausible competitor response within twelve months.</w:t>
      </w:r>
    </w:p>
    <w:p>
      <w:pPr>
        <w:pStyle w:val="Heading2"/>
        <w:spacing w:after="160" w:before="320"/>
      </w:pPr>
      <w:r>
        <w:rPr>
          <w:rFonts w:ascii="Calibri" w:cs="Calibri" w:eastAsia="Calibri" w:hAnsi="Calibri"/>
          <w:b/>
          <w:bCs/>
          <w:color w:val="0D3D47"/>
        </w:rPr>
        <w:t xml:space="preserve">9.1 Clinically grounded discharge parsing</w:t>
      </w:r>
    </w:p>
    <w:p>
      <w:pPr>
        <w:spacing w:after="120" w:line="320"/>
        <w:jc w:val="left"/>
      </w:pPr>
      <w:r>
        <w:rPr>
          <w:rFonts w:ascii="Calibri" w:cs="Calibri" w:eastAsia="Calibri" w:hAnsi="Calibri"/>
          <w:color w:val="1A2B35"/>
          <w:sz w:val="22"/>
          <w:szCs w:val="22"/>
        </w:rPr>
        <w:t xml:space="preserve">No SG competitor parses discharge summaries. International competitors that do parsing focus on US discharge formats. ALLY's parser, trained on Singapore discharge document patterns from SGH, NUH, TTSH, KKH, and the major polyclinics, is one of the moats. Competitor response time: 12-18 months minimum, because the data, the QA process, and the regulatory positioning all take time.</w:t>
      </w:r>
    </w:p>
    <w:p>
      <w:pPr>
        <w:pStyle w:val="Heading2"/>
        <w:spacing w:after="160" w:before="320"/>
      </w:pPr>
      <w:r>
        <w:rPr>
          <w:rFonts w:ascii="Calibri" w:cs="Calibri" w:eastAsia="Calibri" w:hAnsi="Calibri"/>
          <w:b/>
          <w:bCs/>
          <w:color w:val="0D3D47"/>
        </w:rPr>
        <w:t xml:space="preserve">9.2 Native subsidy navigator</w:t>
      </w:r>
    </w:p>
    <w:p>
      <w:pPr>
        <w:spacing w:after="120" w:line="320"/>
        <w:jc w:val="left"/>
      </w:pPr>
      <w:r>
        <w:rPr>
          <w:rFonts w:ascii="Calibri" w:cs="Calibri" w:eastAsia="Calibri" w:hAnsi="Calibri"/>
          <w:color w:val="1A2B35"/>
          <w:sz w:val="22"/>
          <w:szCs w:val="22"/>
        </w:rPr>
        <w:t xml:space="preserve">No competitor surfaces SG government schemes. AIC's own website is informational, not interactive. The subsidy navigator is, in dollar terms, the single highest-value feature ALLY offers — and it requires sustained policy literacy that competitors will not replicate easily. Competitor response time: 6-12 months, but maintaining accuracy as schemes change is itself a moat.</w:t>
      </w:r>
    </w:p>
    <w:p>
      <w:pPr>
        <w:pStyle w:val="Heading2"/>
        <w:spacing w:after="160" w:before="320"/>
      </w:pPr>
      <w:r>
        <w:rPr>
          <w:rFonts w:ascii="Calibri" w:cs="Calibri" w:eastAsia="Calibri" w:hAnsi="Calibri"/>
          <w:b/>
          <w:bCs/>
          <w:color w:val="0D3D47"/>
        </w:rPr>
        <w:t xml:space="preserve">9.3 Trilingual-plus caregiver journey</w:t>
      </w:r>
    </w:p>
    <w:p>
      <w:pPr>
        <w:spacing w:after="120" w:line="320"/>
        <w:jc w:val="left"/>
      </w:pPr>
      <w:r>
        <w:rPr>
          <w:rFonts w:ascii="Calibri" w:cs="Calibri" w:eastAsia="Calibri" w:hAnsi="Calibri"/>
          <w:color w:val="1A2B35"/>
          <w:sz w:val="22"/>
          <w:szCs w:val="22"/>
        </w:rPr>
        <w:t xml:space="preserve">Most apps in Singapore offer English plus a translated menu. ALLY offers English, Mandarin, Malay, Tamil, and Filipino with translated content (medication explanations, JIT videos, subsidy guides), not just translated buttons. Competitor response time: 18-24 months, because building five-language clinical content is slow and expensive, and translation quality must be reviewed by domain experts.</w:t>
      </w:r>
    </w:p>
    <w:p>
      <w:pPr>
        <w:pStyle w:val="Heading2"/>
        <w:spacing w:after="160" w:before="320"/>
      </w:pPr>
      <w:r>
        <w:rPr>
          <w:rFonts w:ascii="Calibri" w:cs="Calibri" w:eastAsia="Calibri" w:hAnsi="Calibri"/>
          <w:b/>
          <w:bCs/>
          <w:color w:val="0D3D47"/>
        </w:rPr>
        <w:t xml:space="preserve">9.4 FDW-first design</w:t>
      </w:r>
    </w:p>
    <w:p>
      <w:pPr>
        <w:spacing w:after="120" w:line="320"/>
        <w:jc w:val="left"/>
      </w:pPr>
      <w:r>
        <w:rPr>
          <w:rFonts w:ascii="Calibri" w:cs="Calibri" w:eastAsia="Calibri" w:hAnsi="Calibri"/>
          <w:color w:val="1A2B35"/>
          <w:sz w:val="22"/>
          <w:szCs w:val="22"/>
        </w:rPr>
        <w:t xml:space="preserve">No major caregiving app in Singapore designs for the FDW as a first-class user. Most ignore them entirely. ALLY's FDW mode (large text, audio instructions, bilingual UI, photo-based logging, simplified medication schedules) is a recruitment and retention argument that family decision-makers will pay for. Competitor response time: 12 months for a credible attempt, longer for excellence.</w:t>
      </w:r>
    </w:p>
    <w:p>
      <w:pPr>
        <w:pStyle w:val="Heading2"/>
        <w:spacing w:after="160" w:before="320"/>
      </w:pPr>
      <w:r>
        <w:rPr>
          <w:rFonts w:ascii="Calibri" w:cs="Calibri" w:eastAsia="Calibri" w:hAnsi="Calibri"/>
          <w:b/>
          <w:bCs/>
          <w:color w:val="0D3D47"/>
        </w:rPr>
        <w:t xml:space="preserve">9.5 Burnout monitoring as a feature</w:t>
      </w:r>
    </w:p>
    <w:p>
      <w:pPr>
        <w:spacing w:after="120" w:line="320"/>
        <w:jc w:val="left"/>
      </w:pPr>
      <w:r>
        <w:rPr>
          <w:rFonts w:ascii="Calibri" w:cs="Calibri" w:eastAsia="Calibri" w:hAnsi="Calibri"/>
          <w:color w:val="1A2B35"/>
          <w:sz w:val="22"/>
          <w:szCs w:val="22"/>
        </w:rPr>
        <w:t xml:space="preserve">Mood logging exists in many apps. Burnout monitoring as a calculated, observed signal — with proactive nudges and respite-routing — is rare even internationally. The clinical and ethical work to do this responsibly takes effort. Competitor response time: depends on willingness to invest in clinical advisory capacity.</w:t>
      </w:r>
    </w:p>
    <w:p>
      <w:pPr>
        <w:pStyle w:val="Heading2"/>
        <w:spacing w:after="160" w:before="320"/>
      </w:pPr>
      <w:r>
        <w:rPr>
          <w:rFonts w:ascii="Calibri" w:cs="Calibri" w:eastAsia="Calibri" w:hAnsi="Calibri"/>
          <w:b/>
          <w:bCs/>
          <w:color w:val="0D3D47"/>
        </w:rPr>
        <w:t xml:space="preserve">9.6 Hospital integration as a wedge</w:t>
      </w:r>
    </w:p>
    <w:p>
      <w:pPr>
        <w:spacing w:after="120" w:line="320"/>
        <w:jc w:val="left"/>
      </w:pPr>
      <w:r>
        <w:rPr>
          <w:rFonts w:ascii="Calibri" w:cs="Calibri" w:eastAsia="Calibri" w:hAnsi="Calibri"/>
          <w:color w:val="1A2B35"/>
          <w:sz w:val="22"/>
          <w:szCs w:val="22"/>
        </w:rPr>
        <w:t xml:space="preserve">A QR code on the discharge summary that opens ALLY with the document pre-loaded is the highest-conversion onboarding mechanic available, and it requires hospital partnership to ship. Once the first hospital agrees, the model is replicable. Competitor response time: 18-24 months, because hospital procurement is slow and the first deal compounds — once SGH or TTSH partners with ALLY, others follow rather than start a parallel pilot.</w:t>
      </w:r>
    </w:p>
    <w:p>
      <w:r>
        <w:br w:type="page"/>
      </w:r>
    </w:p>
    <w:p>
      <w:pPr>
        <w:pStyle w:val="Heading1"/>
        <w:spacing w:after="160" w:before="320"/>
      </w:pPr>
      <w:r>
        <w:rPr>
          <w:rFonts w:ascii="Calibri" w:cs="Calibri" w:eastAsia="Calibri" w:hAnsi="Calibri"/>
          <w:b/>
          <w:bCs/>
          <w:color w:val="0D3D47"/>
        </w:rPr>
        <w:t xml:space="preserve">Part 10 — Go-to-market roadmap</w:t>
      </w:r>
    </w:p>
    <w:p>
      <w:pPr>
        <w:spacing w:after="120" w:line="320"/>
        <w:jc w:val="left"/>
      </w:pPr>
      <w:r>
        <w:rPr>
          <w:rFonts w:ascii="Calibri" w:cs="Calibri" w:eastAsia="Calibri" w:hAnsi="Calibri"/>
          <w:color w:val="1A2B35"/>
          <w:sz w:val="22"/>
          <w:szCs w:val="22"/>
        </w:rPr>
        <w:t xml:space="preserve">A twelve-month sequence designed for a single-founder bootstrapped team, with explicit decision points at month three, six, and nine. The roadmap presumes that the existing prototype is refactored into a maintainable architecture and that Supabase replaces the current in-memory state by end of month two.</w:t>
      </w:r>
    </w:p>
    <w:p>
      <w:pPr>
        <w:pStyle w:val="Heading2"/>
        <w:spacing w:after="160" w:before="320"/>
      </w:pPr>
      <w:r>
        <w:rPr>
          <w:rFonts w:ascii="Calibri" w:cs="Calibri" w:eastAsia="Calibri" w:hAnsi="Calibri"/>
          <w:b/>
          <w:bCs/>
          <w:color w:val="0D3D47"/>
        </w:rPr>
        <w:t xml:space="preserve">Months 1-3: Foundations</w:t>
      </w:r>
    </w:p>
    <w:p>
      <w:pPr>
        <w:spacing w:after="120" w:line="320"/>
        <w:jc w:val="left"/>
      </w:pPr>
      <w:r>
        <w:rPr>
          <w:rFonts w:ascii="Calibri" w:cs="Calibri" w:eastAsia="Calibri" w:hAnsi="Calibri"/>
          <w:color w:val="1A2B35"/>
          <w:sz w:val="22"/>
          <w:szCs w:val="22"/>
        </w:rPr>
        <w:t xml:space="preserve">Refactor page.tsx into the component structure proposed earlier, wire Supabase Auth, migrate state to Supabase, ship the first Vercel-deployed live build. Soft-launch to a closed beta of 20-50 caregivers recruited through student caregiver communities at NUS, NTU, SMU, and SUSS. Instrument analytics carefully; the first signal we want is time-to-first-value below five minutes. Begin PDPA documentation work in parallel.</w:t>
      </w:r>
    </w:p>
    <w:p>
      <w:pPr>
        <w:pStyle w:val="Heading2"/>
        <w:spacing w:after="160" w:before="320"/>
      </w:pPr>
      <w:r>
        <w:rPr>
          <w:rFonts w:ascii="Calibri" w:cs="Calibri" w:eastAsia="Calibri" w:hAnsi="Calibri"/>
          <w:b/>
          <w:bCs/>
          <w:color w:val="0D3D47"/>
        </w:rPr>
        <w:t xml:space="preserve">Months 4-6: First hospital pilot and first paid users</w:t>
      </w:r>
    </w:p>
    <w:p>
      <w:pPr>
        <w:spacing w:after="120" w:line="320"/>
        <w:jc w:val="left"/>
      </w:pPr>
      <w:r>
        <w:rPr>
          <w:rFonts w:ascii="Calibri" w:cs="Calibri" w:eastAsia="Calibri" w:hAnsi="Calibri"/>
          <w:color w:val="1A2B35"/>
          <w:sz w:val="22"/>
          <w:szCs w:val="22"/>
        </w:rPr>
        <w:t xml:space="preserve">Pursue a single ward partnership at a single hospital — orthopaedics is the recommended first target. The pitch is a 30-day readmission reduction pilot, with ALLY providing the discharge-parsing onboarding for free in exchange for outcome data. In parallel, launch consumer paid tiers (Plus and Family) and aim for the first 100 paying users. Tamil and Malay content begins shipping. AIC partnership conversation initiated.</w:t>
      </w:r>
    </w:p>
    <w:p>
      <w:pPr>
        <w:pStyle w:val="Heading2"/>
        <w:spacing w:after="160" w:before="320"/>
      </w:pPr>
      <w:r>
        <w:rPr>
          <w:rFonts w:ascii="Calibri" w:cs="Calibri" w:eastAsia="Calibri" w:hAnsi="Calibri"/>
          <w:b/>
          <w:bCs/>
          <w:color w:val="0D3D47"/>
        </w:rPr>
        <w:t xml:space="preserve">Months 7-9: Multilingual and FDW mode</w:t>
      </w:r>
    </w:p>
    <w:p>
      <w:pPr>
        <w:spacing w:after="120" w:line="320"/>
        <w:jc w:val="left"/>
      </w:pPr>
      <w:r>
        <w:rPr>
          <w:rFonts w:ascii="Calibri" w:cs="Calibri" w:eastAsia="Calibri" w:hAnsi="Calibri"/>
          <w:color w:val="1A2B35"/>
          <w:sz w:val="22"/>
          <w:szCs w:val="22"/>
        </w:rPr>
        <w:t xml:space="preserve">Full FDW mode shipped — large text, audio, bilingual interface, photo logging. Tamil and Malay content reaches parity with English in priority topics (medication, wound care, common chronic conditions). First employer pilot (any small Singapore employer, ideally one with caregiver-heavy demographics like banking or retail) signed and live. ISO 27001 audit work begins. First Synapxe Sandbox cohort applied for.</w:t>
      </w:r>
    </w:p>
    <w:p>
      <w:pPr>
        <w:pStyle w:val="Heading2"/>
        <w:spacing w:after="160" w:before="320"/>
      </w:pPr>
      <w:r>
        <w:rPr>
          <w:rFonts w:ascii="Calibri" w:cs="Calibri" w:eastAsia="Calibri" w:hAnsi="Calibri"/>
          <w:b/>
          <w:bCs/>
          <w:color w:val="0D3D47"/>
        </w:rPr>
        <w:t xml:space="preserve">Months 10-12: B2B2C scale and Year 2 planning</w:t>
      </w:r>
    </w:p>
    <w:p>
      <w:pPr>
        <w:spacing w:after="120" w:line="320"/>
        <w:jc w:val="left"/>
      </w:pPr>
      <w:r>
        <w:rPr>
          <w:rFonts w:ascii="Calibri" w:cs="Calibri" w:eastAsia="Calibri" w:hAnsi="Calibri"/>
          <w:color w:val="1A2B35"/>
          <w:sz w:val="22"/>
          <w:szCs w:val="22"/>
        </w:rPr>
        <w:t xml:space="preserve">First three to five paid employer contracts signed. First hospital pilot extended to a second ward or second hospital. Singpass/MyInfo integration scoped. Pre-seed or seed fundraising conversation initiated, with three to nine months of runway buffer to negotiate from strength. Year 2 plan written, focused on B2B2C as primary revenue line, consumer as growth and brand line, and clinical depth as the moat-deepening priority.</w:t>
      </w:r>
    </w:p>
    <w:p>
      <w:pPr>
        <w:pStyle w:val="Heading2"/>
        <w:spacing w:after="160" w:before="320"/>
      </w:pPr>
      <w:r>
        <w:rPr>
          <w:rFonts w:ascii="Calibri" w:cs="Calibri" w:eastAsia="Calibri" w:hAnsi="Calibri"/>
          <w:b/>
          <w:bCs/>
          <w:color w:val="0D3D47"/>
        </w:rPr>
        <w:t xml:space="preserve">Decision points</w:t>
      </w:r>
    </w:p>
    <w:p>
      <w:pPr>
        <w:spacing w:after="120" w:line="320"/>
        <w:jc w:val="left"/>
      </w:pPr>
      <w:r>
        <w:rPr>
          <w:rFonts w:ascii="Calibri" w:cs="Calibri" w:eastAsia="Calibri" w:hAnsi="Calibri"/>
          <w:color w:val="1A2B35"/>
          <w:sz w:val="22"/>
          <w:szCs w:val="22"/>
        </w:rPr>
        <w:t xml:space="preserve">Month 3: did we hit time-to-first-value below five minutes, and did the closed beta retain at week 4? If no, pause feature work and iterate onboarding.</w:t>
      </w:r>
    </w:p>
    <w:p>
      <w:pPr>
        <w:spacing w:after="120" w:line="320"/>
        <w:jc w:val="left"/>
      </w:pPr>
      <w:r>
        <w:rPr>
          <w:rFonts w:ascii="Calibri" w:cs="Calibri" w:eastAsia="Calibri" w:hAnsi="Calibri"/>
          <w:color w:val="1A2B35"/>
          <w:sz w:val="22"/>
          <w:szCs w:val="22"/>
        </w:rPr>
        <w:t xml:space="preserve">Month 6: did the first hospital pilot show a measurable readmission reduction signal, even directionally? If yes, double down on hospital channel. If no, redirect resources to employer channel.</w:t>
      </w:r>
    </w:p>
    <w:p>
      <w:pPr>
        <w:spacing w:after="120" w:line="320"/>
        <w:jc w:val="left"/>
      </w:pPr>
      <w:r>
        <w:rPr>
          <w:rFonts w:ascii="Calibri" w:cs="Calibri" w:eastAsia="Calibri" w:hAnsi="Calibri"/>
          <w:color w:val="1A2B35"/>
          <w:sz w:val="22"/>
          <w:szCs w:val="22"/>
        </w:rPr>
        <w:t xml:space="preserve">Month 9: do we have at least one paying employer contract, and is there a credible path to five by month twelve? If no, the consumer business carries the year-one revenue burden alone, which is a high-risk position; consider raising sooner rather than later.</w:t>
      </w:r>
    </w:p>
    <w:p>
      <w:r>
        <w:br w:type="page"/>
      </w:r>
    </w:p>
    <w:p>
      <w:pPr>
        <w:pStyle w:val="Heading1"/>
        <w:spacing w:after="160" w:before="320"/>
      </w:pPr>
      <w:r>
        <w:rPr>
          <w:rFonts w:ascii="Calibri" w:cs="Calibri" w:eastAsia="Calibri" w:hAnsi="Calibri"/>
          <w:b/>
          <w:bCs/>
          <w:color w:val="0D3D47"/>
        </w:rPr>
        <w:t xml:space="preserve">Part 11 — Risk register</w:t>
      </w:r>
    </w:p>
    <w:p>
      <w:pPr>
        <w:spacing w:after="120" w:line="320"/>
        <w:jc w:val="left"/>
      </w:pPr>
      <w:r>
        <w:rPr>
          <w:rFonts w:ascii="Calibri" w:cs="Calibri" w:eastAsia="Calibri" w:hAnsi="Calibri"/>
          <w:color w:val="1A2B35"/>
          <w:sz w:val="22"/>
          <w:szCs w:val="22"/>
        </w:rPr>
        <w:t xml:space="preserve">Top ten risks ranked roughly by combined likelihood and impact. Each has a named mitigation owner placeholder; in practice the founder owns most of these initially.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500"/>
        <w:gridCol w:w="2700"/>
      </w:tblGrid>
      <w:tr>
        <w:trPr>
          <w:tblHeader/>
        </w:trPr>
        <w:tc>
          <w:tcPr>
            <w:tcW w:type="dxa" w:w="3300"/>
            <w:tcBorders>
              <w:top w:val="single" w:color="CCD9DE" w:sz="1"/>
              <w:left w:val="single" w:color="CCD9DE" w:sz="1"/>
              <w:bottom w:val="single" w:color="CCD9DE" w:sz="1"/>
              <w:right w:val="single" w:color="CCD9DE" w:sz="1"/>
            </w:tcBorders>
            <w:shd w:fill="0D3D47" w:val="clear"/>
            <w:tcMar>
              <w:top w:type="dxa" w:w="100"/>
              <w:left w:type="dxa" w:w="120"/>
              <w:bottom w:type="dxa" w:w="100"/>
              <w:right w:type="dxa" w:w="120"/>
            </w:tcMar>
          </w:tcPr>
          <w:p>
            <w:r>
              <w:rPr>
                <w:rFonts w:ascii="Calibri" w:cs="Calibri" w:eastAsia="Calibri" w:hAnsi="Calibri"/>
                <w:b/>
                <w:bCs/>
                <w:color w:val="FFFFFF"/>
                <w:sz w:val="20"/>
                <w:szCs w:val="20"/>
              </w:rPr>
              <w:t xml:space="preserve">Risk</w:t>
            </w:r>
          </w:p>
        </w:tc>
        <w:tc>
          <w:tcPr>
            <w:tcW w:type="dxa" w:w="1500"/>
            <w:tcBorders>
              <w:top w:val="single" w:color="CCD9DE" w:sz="1"/>
              <w:left w:val="single" w:color="CCD9DE" w:sz="1"/>
              <w:bottom w:val="single" w:color="CCD9DE" w:sz="1"/>
              <w:right w:val="single" w:color="CCD9DE" w:sz="1"/>
            </w:tcBorders>
            <w:shd w:fill="0D3D47" w:val="clear"/>
            <w:tcMar>
              <w:top w:type="dxa" w:w="100"/>
              <w:left w:type="dxa" w:w="120"/>
              <w:bottom w:type="dxa" w:w="100"/>
              <w:right w:type="dxa" w:w="120"/>
            </w:tcMar>
          </w:tcPr>
          <w:p>
            <w:r>
              <w:rPr>
                <w:rFonts w:ascii="Calibri" w:cs="Calibri" w:eastAsia="Calibri" w:hAnsi="Calibri"/>
                <w:b/>
                <w:bCs/>
                <w:color w:val="FFFFFF"/>
                <w:sz w:val="20"/>
                <w:szCs w:val="20"/>
              </w:rPr>
              <w:t xml:space="preserve">Likelihood</w:t>
            </w:r>
          </w:p>
        </w:tc>
        <w:tc>
          <w:tcPr>
            <w:tcW w:type="dxa" w:w="1500"/>
            <w:tcBorders>
              <w:top w:val="single" w:color="CCD9DE" w:sz="1"/>
              <w:left w:val="single" w:color="CCD9DE" w:sz="1"/>
              <w:bottom w:val="single" w:color="CCD9DE" w:sz="1"/>
              <w:right w:val="single" w:color="CCD9DE" w:sz="1"/>
            </w:tcBorders>
            <w:shd w:fill="0D3D47" w:val="clear"/>
            <w:tcMar>
              <w:top w:type="dxa" w:w="100"/>
              <w:left w:type="dxa" w:w="120"/>
              <w:bottom w:type="dxa" w:w="100"/>
              <w:right w:type="dxa" w:w="120"/>
            </w:tcMar>
          </w:tcPr>
          <w:p>
            <w:r>
              <w:rPr>
                <w:rFonts w:ascii="Calibri" w:cs="Calibri" w:eastAsia="Calibri" w:hAnsi="Calibri"/>
                <w:b/>
                <w:bCs/>
                <w:color w:val="FFFFFF"/>
                <w:sz w:val="20"/>
                <w:szCs w:val="20"/>
              </w:rPr>
              <w:t xml:space="preserve">Impact</w:t>
            </w:r>
          </w:p>
        </w:tc>
        <w:tc>
          <w:tcPr>
            <w:tcW w:type="dxa" w:w="2700"/>
            <w:tcBorders>
              <w:top w:val="single" w:color="CCD9DE" w:sz="1"/>
              <w:left w:val="single" w:color="CCD9DE" w:sz="1"/>
              <w:bottom w:val="single" w:color="CCD9DE" w:sz="1"/>
              <w:right w:val="single" w:color="CCD9DE" w:sz="1"/>
            </w:tcBorders>
            <w:shd w:fill="0D3D47" w:val="clear"/>
            <w:tcMar>
              <w:top w:type="dxa" w:w="100"/>
              <w:left w:type="dxa" w:w="120"/>
              <w:bottom w:type="dxa" w:w="100"/>
              <w:right w:type="dxa" w:w="120"/>
            </w:tcMar>
          </w:tcPr>
          <w:p>
            <w:r>
              <w:rPr>
                <w:rFonts w:ascii="Calibri" w:cs="Calibri" w:eastAsia="Calibri" w:hAnsi="Calibri"/>
                <w:b/>
                <w:bCs/>
                <w:color w:val="FFFFFF"/>
                <w:sz w:val="20"/>
                <w:szCs w:val="20"/>
              </w:rPr>
              <w:t xml:space="preserve">Mitigation</w:t>
            </w:r>
          </w:p>
        </w:tc>
      </w:tr>
      <w:tr>
        <w:tc>
          <w:tcPr>
            <w:tcW w:type="dxa" w:w="3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AI parser produces a clinically harmful error</w:t>
            </w:r>
          </w:p>
        </w:tc>
        <w:tc>
          <w:tcPr>
            <w:tcW w:type="dxa" w:w="15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Low</w:t>
            </w:r>
          </w:p>
        </w:tc>
        <w:tc>
          <w:tcPr>
            <w:tcW w:type="dxa" w:w="15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Severe</w:t>
            </w:r>
          </w:p>
        </w:tc>
        <w:tc>
          <w:tcPr>
            <w:tcW w:type="dxa" w:w="2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Human-in-loop confirmation; parser accuracy testing; conservative escalation logic</w:t>
            </w:r>
          </w:p>
        </w:tc>
      </w:tr>
      <w:tr>
        <w:tc>
          <w:tcPr>
            <w:tcW w:type="dxa" w:w="3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PDPA breach or data residency violation</w:t>
            </w:r>
          </w:p>
        </w:tc>
        <w:tc>
          <w:tcPr>
            <w:tcW w:type="dxa" w:w="15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Low</w:t>
            </w:r>
          </w:p>
        </w:tc>
        <w:tc>
          <w:tcPr>
            <w:tcW w:type="dxa" w:w="15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Severe</w:t>
            </w:r>
          </w:p>
        </w:tc>
        <w:tc>
          <w:tcPr>
            <w:tcW w:type="dxa" w:w="2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SG-region cloud only; encryption at rest and in transit; quarterly access audit</w:t>
            </w:r>
          </w:p>
        </w:tc>
      </w:tr>
      <w:tr>
        <w:tc>
          <w:tcPr>
            <w:tcW w:type="dxa" w:w="3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HSA reclassifies the product as a medical device</w:t>
            </w:r>
          </w:p>
        </w:tc>
        <w:tc>
          <w:tcPr>
            <w:tcW w:type="dxa" w:w="15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Low</w:t>
            </w:r>
          </w:p>
        </w:tc>
        <w:tc>
          <w:tcPr>
            <w:tcW w:type="dxa" w:w="15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Severe</w:t>
            </w:r>
          </w:p>
        </w:tc>
        <w:tc>
          <w:tcPr>
            <w:tcW w:type="dxa" w:w="2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Maintain CDSS-exempt posture; document regulatory position; quarterly internal review</w:t>
            </w:r>
          </w:p>
        </w:tc>
      </w:tr>
      <w:tr>
        <w:tc>
          <w:tcPr>
            <w:tcW w:type="dxa" w:w="3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Hospital pilot stalls in legal/IT review</w:t>
            </w:r>
          </w:p>
        </w:tc>
        <w:tc>
          <w:tcPr>
            <w:tcW w:type="dxa" w:w="15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High</w:t>
            </w:r>
          </w:p>
        </w:tc>
        <w:tc>
          <w:tcPr>
            <w:tcW w:type="dxa" w:w="15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Moderate</w:t>
            </w:r>
          </w:p>
        </w:tc>
        <w:tc>
          <w:tcPr>
            <w:tcW w:type="dxa" w:w="2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Start with the smallest possible pilot; pursue two hospitals in parallel</w:t>
            </w:r>
          </w:p>
        </w:tc>
      </w:tr>
      <w:tr>
        <w:tc>
          <w:tcPr>
            <w:tcW w:type="dxa" w:w="3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Free tier cannibalises paid revenue</w:t>
            </w:r>
          </w:p>
        </w:tc>
        <w:tc>
          <w:tcPr>
            <w:tcW w:type="dxa" w:w="15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Moderate</w:t>
            </w:r>
          </w:p>
        </w:tc>
        <w:tc>
          <w:tcPr>
            <w:tcW w:type="dxa" w:w="15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Moderate</w:t>
            </w:r>
          </w:p>
        </w:tc>
        <w:tc>
          <w:tcPr>
            <w:tcW w:type="dxa" w:w="2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Deliberate gating on multilingual content, multi-recipient, advanced analytics</w:t>
            </w:r>
          </w:p>
        </w:tc>
      </w:tr>
      <w:tr>
        <w:tc>
          <w:tcPr>
            <w:tcW w:type="dxa" w:w="3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Founder burnout / bandwidth crash</w:t>
            </w:r>
          </w:p>
        </w:tc>
        <w:tc>
          <w:tcPr>
            <w:tcW w:type="dxa" w:w="15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High</w:t>
            </w:r>
          </w:p>
        </w:tc>
        <w:tc>
          <w:tcPr>
            <w:tcW w:type="dxa" w:w="15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Severe</w:t>
            </w:r>
          </w:p>
        </w:tc>
        <w:tc>
          <w:tcPr>
            <w:tcW w:type="dxa" w:w="2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Plan part-time hire by month six; maintain a kill-switch for non-essential features</w:t>
            </w:r>
          </w:p>
        </w:tc>
      </w:tr>
      <w:tr>
        <w:tc>
          <w:tcPr>
            <w:tcW w:type="dxa" w:w="3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Multilingual content quality embarrassment</w:t>
            </w:r>
          </w:p>
        </w:tc>
        <w:tc>
          <w:tcPr>
            <w:tcW w:type="dxa" w:w="15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Moderate</w:t>
            </w:r>
          </w:p>
        </w:tc>
        <w:tc>
          <w:tcPr>
            <w:tcW w:type="dxa" w:w="15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Moderate</w:t>
            </w:r>
          </w:p>
        </w:tc>
        <w:tc>
          <w:tcPr>
            <w:tcW w:type="dxa" w:w="2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Native-speaker QA before publish; version-stamped content; rapid retraction process</w:t>
            </w:r>
          </w:p>
        </w:tc>
      </w:tr>
      <w:tr>
        <w:tc>
          <w:tcPr>
            <w:tcW w:type="dxa" w:w="3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Liability from AI chat output</w:t>
            </w:r>
          </w:p>
        </w:tc>
        <w:tc>
          <w:tcPr>
            <w:tcW w:type="dxa" w:w="15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Moderate</w:t>
            </w:r>
          </w:p>
        </w:tc>
        <w:tc>
          <w:tcPr>
            <w:tcW w:type="dxa" w:w="15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Severe</w:t>
            </w:r>
          </w:p>
        </w:tc>
        <w:tc>
          <w:tcPr>
            <w:tcW w:type="dxa" w:w="2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Disclaimers on every output; emergency keyword routing; professional indemnity insurance</w:t>
            </w:r>
          </w:p>
        </w:tc>
      </w:tr>
      <w:tr>
        <w:tc>
          <w:tcPr>
            <w:tcW w:type="dxa" w:w="33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Competitor (Homage, Synapxe partner) launches comparable product</w:t>
            </w:r>
          </w:p>
        </w:tc>
        <w:tc>
          <w:tcPr>
            <w:tcW w:type="dxa" w:w="15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Moderate</w:t>
            </w:r>
          </w:p>
        </w:tc>
        <w:tc>
          <w:tcPr>
            <w:tcW w:type="dxa" w:w="15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Moderate</w:t>
            </w:r>
          </w:p>
        </w:tc>
        <w:tc>
          <w:tcPr>
            <w:tcW w:type="dxa" w:w="2700"/>
            <w:tcBorders>
              <w:top w:val="single" w:color="CCD9DE" w:sz="1"/>
              <w:left w:val="single" w:color="CCD9DE" w:sz="1"/>
              <w:bottom w:val="single" w:color="CCD9DE" w:sz="1"/>
              <w:right w:val="single" w:color="CCD9DE" w:sz="1"/>
            </w:tcBorders>
            <w:shd w:fill="FFFFFF" w:val="clear"/>
            <w:tcMar>
              <w:top w:type="dxa" w:w="80"/>
              <w:left w:type="dxa" w:w="120"/>
              <w:bottom w:type="dxa" w:w="80"/>
              <w:right w:type="dxa" w:w="120"/>
            </w:tcMar>
          </w:tcPr>
          <w:p>
            <w:r>
              <w:rPr>
                <w:rFonts w:ascii="Calibri" w:cs="Calibri" w:eastAsia="Calibri" w:hAnsi="Calibri"/>
                <w:color w:val="1A2B35"/>
                <w:sz w:val="20"/>
                <w:szCs w:val="20"/>
              </w:rPr>
              <w:t xml:space="preserve">Speed to depth in subsidies, languages, and FDW; defensible content moat</w:t>
            </w:r>
          </w:p>
        </w:tc>
      </w:tr>
      <w:tr>
        <w:tc>
          <w:tcPr>
            <w:tcW w:type="dxa" w:w="33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Macro funding environment tightens</w:t>
            </w:r>
          </w:p>
        </w:tc>
        <w:tc>
          <w:tcPr>
            <w:tcW w:type="dxa" w:w="15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High</w:t>
            </w:r>
          </w:p>
        </w:tc>
        <w:tc>
          <w:tcPr>
            <w:tcW w:type="dxa" w:w="15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Moderate</w:t>
            </w:r>
          </w:p>
        </w:tc>
        <w:tc>
          <w:tcPr>
            <w:tcW w:type="dxa" w:w="2700"/>
            <w:tcBorders>
              <w:top w:val="single" w:color="CCD9DE" w:sz="1"/>
              <w:left w:val="single" w:color="CCD9DE" w:sz="1"/>
              <w:bottom w:val="single" w:color="CCD9DE" w:sz="1"/>
              <w:right w:val="single" w:color="CCD9DE" w:sz="1"/>
            </w:tcBorders>
            <w:shd w:fill="F4F8FA" w:val="clear"/>
            <w:tcMar>
              <w:top w:type="dxa" w:w="80"/>
              <w:left w:type="dxa" w:w="120"/>
              <w:bottom w:type="dxa" w:w="80"/>
              <w:right w:type="dxa" w:w="120"/>
            </w:tcMar>
          </w:tcPr>
          <w:p>
            <w:r>
              <w:rPr>
                <w:rFonts w:ascii="Calibri" w:cs="Calibri" w:eastAsia="Calibri" w:hAnsi="Calibri"/>
                <w:color w:val="1A2B35"/>
                <w:sz w:val="20"/>
                <w:szCs w:val="20"/>
              </w:rPr>
              <w:t xml:space="preserve">Achieve B2B2C revenue early; aim to be break-even or near-break-even by month 18</w:t>
            </w:r>
          </w:p>
        </w:tc>
      </w:tr>
    </w:tbl>
    <w:p>
      <w:r>
        <w:br w:type="page"/>
      </w:r>
    </w:p>
    <w:p>
      <w:pPr>
        <w:pStyle w:val="Heading1"/>
        <w:spacing w:after="160" w:before="320"/>
      </w:pPr>
      <w:r>
        <w:rPr>
          <w:rFonts w:ascii="Calibri" w:cs="Calibri" w:eastAsia="Calibri" w:hAnsi="Calibri"/>
          <w:b/>
          <w:bCs/>
          <w:color w:val="0D3D47"/>
        </w:rPr>
        <w:t xml:space="preserve">Part 12 — For the ones who care for everyone</w:t>
      </w:r>
    </w:p>
    <w:p>
      <w:pPr>
        <w:spacing w:after="120" w:line="320"/>
        <w:jc w:val="left"/>
      </w:pPr>
      <w:r>
        <w:rPr>
          <w:rFonts w:ascii="Calibri" w:cs="Calibri" w:eastAsia="Calibri" w:hAnsi="Calibri"/>
          <w:color w:val="1A2B35"/>
          <w:sz w:val="22"/>
          <w:szCs w:val="22"/>
        </w:rPr>
        <w:t xml:space="preserve">A strategy document is, in the end, a long argument for what to do tomorrow. The argument here is a simple one. Singapore has a quarter of a million people doing essential, mostly invisible, mostly unsupported work. The ones doing it under the heaviest load — the spouse with dementia, the sibling caring across borders, the helper sending money home while doing wound dressings she was never trained for, the student who learned to read a discharge summary while their friends were learning to read a study guide — these people deserve a tool that respects their experience and lightens their load.</w:t>
      </w:r>
    </w:p>
    <w:p>
      <w:pPr>
        <w:spacing w:after="120" w:line="320"/>
        <w:jc w:val="left"/>
      </w:pPr>
      <w:r>
        <w:rPr>
          <w:rFonts w:ascii="Calibri" w:cs="Calibri" w:eastAsia="Calibri" w:hAnsi="Calibri"/>
          <w:color w:val="1A2B35"/>
          <w:sz w:val="22"/>
          <w:szCs w:val="22"/>
        </w:rPr>
        <w:t xml:space="preserve">ALLY exists because that tool does not. It exists because the founder lived the experience that needed it. And it exists because the policy environment, the technical infrastructure, the demographic curve, and the absence of a credible competitor have all aligned for the first time in a decade. The work ahead is enormous, but the work has clear shape, and the people it serves have been waiting.</w:t>
      </w:r>
    </w:p>
    <w:p>
      <w:pPr>
        <w:spacing w:after="120" w:line="320"/>
        <w:jc w:val="left"/>
      </w:pPr>
      <w:r>
        <w:rPr>
          <w:rFonts w:ascii="Calibri" w:cs="Calibri" w:eastAsia="Calibri" w:hAnsi="Calibri"/>
          <w:color w:val="1A2B35"/>
          <w:sz w:val="22"/>
          <w:szCs w:val="22"/>
        </w:rPr>
        <w:t xml:space="preserve">Build it. Ship it. Talk to caregivers. Listen harder than you talk. Stay on the right side of the regulatory line. Choose pricing that respects the wide willingness-to-pay distribution. Hire a partner before you exhaust yourself. And keep the mission sentence above the door of every product decision: support the ones who support everyone else.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6B7B" w:sz="4"/>
              <w:left w:val="single" w:color="1B6B7B" w:sz="12"/>
              <w:bottom w:val="single" w:color="1B6B7B" w:sz="4"/>
              <w:right w:val="single" w:color="1B6B7B" w:sz="4"/>
            </w:tcBorders>
            <w:shd w:fill="E0F2F6" w:val="clear"/>
            <w:tcMar>
              <w:top w:type="dxa" w:w="160"/>
              <w:left w:type="dxa" w:w="200"/>
              <w:bottom w:type="dxa" w:w="160"/>
              <w:right w:type="dxa" w:w="200"/>
            </w:tcMar>
          </w:tcPr>
          <w:p>
            <w:pPr>
              <w:spacing w:after="80"/>
            </w:pPr>
            <w:r>
              <w:rPr>
                <w:rFonts w:ascii="Calibri" w:cs="Calibri" w:eastAsia="Calibri" w:hAnsi="Calibri"/>
                <w:b/>
                <w:bCs/>
                <w:color w:val="0D3D47"/>
                <w:sz w:val="22"/>
                <w:szCs w:val="22"/>
              </w:rPr>
              <w:t xml:space="preserve">A note on this document</w:t>
            </w:r>
          </w:p>
          <w:p>
            <w:r>
              <w:rPr>
                <w:rFonts w:ascii="Calibri" w:cs="Calibri" w:eastAsia="Calibri" w:hAnsi="Calibri"/>
                <w:color w:val="1A2B35"/>
                <w:sz w:val="22"/>
                <w:szCs w:val="22"/>
              </w:rPr>
              <w:t xml:space="preserve">This strategy bible is a living artefact. It should be updated quarterly as evidence comes in from beta users, hospital pilots, employer contracts, and regulatory changes. The numbers will move. The archetypes will sharpen. The pricing will be re-tested. What should not move is the mission, the user-first posture, and the ethical guardrails. Everything else is a hypothesis.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7A8A"/>
        <w:sz w:val="18"/>
        <w:szCs w:val="18"/>
      </w:rPr>
      <w:t xml:space="preserve">Page </w:t>
    </w:r>
    <w:r>
      <w:rPr>
        <w:rFonts w:ascii="Calibri" w:cs="Calibri" w:eastAsia="Calibri" w:hAnsi="Calibri"/>
        <w:color w:val="5A7A8A"/>
        <w:sz w:val="18"/>
        <w:szCs w:val="18"/>
      </w:rPr>
      <w:fldChar w:fldCharType="begin"/>
      <w:instrText xml:space="preserve">PAGE</w:instrText>
      <w:fldChar w:fldCharType="separate"/>
      <w:fldChar w:fldCharType="end"/>
    </w:r>
    <w:r>
      <w:rPr>
        <w:rFonts w:ascii="Calibri" w:cs="Calibri" w:eastAsia="Calibri" w:hAnsi="Calibri"/>
        <w:color w:val="5A7A8A"/>
        <w:sz w:val="18"/>
        <w:szCs w:val="18"/>
      </w:rPr>
      <w:t xml:space="preserve"> of </w:t>
    </w:r>
    <w:r>
      <w:rPr>
        <w:rFonts w:ascii="Calibri" w:cs="Calibri" w:eastAsia="Calibri" w:hAnsi="Calibri"/>
        <w:color w:val="5A7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A7A8A"/>
        <w:sz w:val="18"/>
        <w:szCs w:val="18"/>
      </w:rPr>
      <w:t xml:space="preserve">ALLY — Strategy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B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D3D47"/>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B6B7B"/>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0D3D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ALLY Strategy Bible</dc:title>
  <dc:creator>ALLY Strategy</dc:creator>
  <dc:description>Research, segmentation, pricing, regulatory, and competitive strategy for ALLY.</dc:description>
  <cp:lastModifiedBy>Un-named</cp:lastModifiedBy>
  <cp:revision>1</cp:revision>
  <dcterms:created xsi:type="dcterms:W3CDTF">2026-05-06T20:30:56.072Z</dcterms:created>
  <dcterms:modified xsi:type="dcterms:W3CDTF">2026-05-06T20:30:56.072Z</dcterms:modified>
</cp:coreProperties>
</file>

<file path=docProps/custom.xml><?xml version="1.0" encoding="utf-8"?>
<Properties xmlns="http://schemas.openxmlformats.org/officeDocument/2006/custom-properties" xmlns:vt="http://schemas.openxmlformats.org/officeDocument/2006/docPropsVTypes"/>
</file>