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0EFEE" w14:textId="77777777" w:rsidR="00FE1E51" w:rsidRDefault="00FE1E51" w:rsidP="00FE1E51">
      <w:pPr>
        <w:rPr>
          <w:rFonts w:ascii="Calibri Light" w:hAnsi="Calibri Light" w:cs="Calibri Light"/>
          <w:sz w:val="28"/>
          <w:szCs w:val="28"/>
        </w:rPr>
      </w:pPr>
    </w:p>
    <w:p w14:paraId="2F216038" w14:textId="77777777" w:rsidR="00FE1E51" w:rsidRDefault="00FE1E51" w:rsidP="00FE1E51">
      <w:pPr>
        <w:rPr>
          <w:rFonts w:ascii="Calibri Light" w:hAnsi="Calibri Light" w:cs="Calibri Light"/>
          <w:sz w:val="28"/>
          <w:szCs w:val="28"/>
        </w:rPr>
      </w:pPr>
    </w:p>
    <w:p w14:paraId="2E750768" w14:textId="77777777" w:rsidR="00FE1E51" w:rsidRDefault="00FE1E51" w:rsidP="00FE1E51">
      <w:pPr>
        <w:rPr>
          <w:rFonts w:ascii="Calibri Light" w:hAnsi="Calibri Light" w:cs="Calibri Light"/>
          <w:sz w:val="28"/>
          <w:szCs w:val="28"/>
        </w:rPr>
      </w:pPr>
    </w:p>
    <w:p w14:paraId="5AA9EA0F"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43853404"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68294CE0"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578FFBE1" w14:textId="77777777" w:rsidTr="00FE1E51">
        <w:tc>
          <w:tcPr>
            <w:tcW w:w="1816" w:type="dxa"/>
            <w:tcBorders>
              <w:top w:val="single" w:sz="4" w:space="0" w:color="auto"/>
              <w:left w:val="single" w:sz="4" w:space="0" w:color="auto"/>
              <w:bottom w:val="single" w:sz="4" w:space="0" w:color="auto"/>
              <w:right w:val="single" w:sz="4" w:space="0" w:color="auto"/>
            </w:tcBorders>
          </w:tcPr>
          <w:p w14:paraId="13771BE6"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5B75F6F5" w14:textId="77777777" w:rsidR="00C536C7" w:rsidRDefault="00000000">
            <w:r>
              <w:t>K.C., Z.C., M.M.</w:t>
            </w:r>
          </w:p>
        </w:tc>
      </w:tr>
      <w:tr w:rsidR="00FE1E51" w14:paraId="387C291A" w14:textId="77777777" w:rsidTr="00FE1E51">
        <w:tc>
          <w:tcPr>
            <w:tcW w:w="1816" w:type="dxa"/>
            <w:tcBorders>
              <w:top w:val="single" w:sz="4" w:space="0" w:color="auto"/>
              <w:left w:val="single" w:sz="4" w:space="0" w:color="auto"/>
              <w:bottom w:val="single" w:sz="4" w:space="0" w:color="auto"/>
              <w:right w:val="single" w:sz="4" w:space="0" w:color="auto"/>
            </w:tcBorders>
          </w:tcPr>
          <w:p w14:paraId="49BECFA3"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38308572" w14:textId="77777777" w:rsidR="00C536C7" w:rsidRDefault="00000000">
            <w:r>
              <w:t>A descriptive analysis of factors influencing adoption of robot kiosks and service robots</w:t>
            </w:r>
          </w:p>
        </w:tc>
      </w:tr>
      <w:tr w:rsidR="00FE1E51" w14:paraId="09437638" w14:textId="77777777" w:rsidTr="00FE1E51">
        <w:tc>
          <w:tcPr>
            <w:tcW w:w="1816" w:type="dxa"/>
            <w:tcBorders>
              <w:top w:val="single" w:sz="4" w:space="0" w:color="auto"/>
              <w:left w:val="single" w:sz="4" w:space="0" w:color="auto"/>
              <w:bottom w:val="single" w:sz="4" w:space="0" w:color="auto"/>
              <w:right w:val="single" w:sz="4" w:space="0" w:color="auto"/>
            </w:tcBorders>
          </w:tcPr>
          <w:p w14:paraId="0E419740"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05542CB3" w14:textId="77777777" w:rsidR="00C536C7" w:rsidRDefault="00000000">
            <w:r>
              <w:t>Anduyo et al. (2025)</w:t>
            </w:r>
          </w:p>
        </w:tc>
      </w:tr>
      <w:tr w:rsidR="00FE1E51" w14:paraId="41E32EF1" w14:textId="77777777" w:rsidTr="00FE1E51">
        <w:tc>
          <w:tcPr>
            <w:tcW w:w="1816" w:type="dxa"/>
            <w:tcBorders>
              <w:top w:val="single" w:sz="4" w:space="0" w:color="auto"/>
              <w:left w:val="single" w:sz="4" w:space="0" w:color="auto"/>
              <w:bottom w:val="single" w:sz="4" w:space="0" w:color="auto"/>
              <w:right w:val="single" w:sz="4" w:space="0" w:color="auto"/>
            </w:tcBorders>
          </w:tcPr>
          <w:p w14:paraId="7C1AF5BE"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31526B17" w14:textId="09A89832" w:rsidR="00C536C7" w:rsidRPr="00D05C84" w:rsidRDefault="00D05C84">
            <w:pPr>
              <w:rPr>
                <w:rFonts w:eastAsiaTheme="minorEastAsia"/>
                <w:lang w:eastAsia="zh-CN"/>
              </w:rPr>
            </w:pPr>
            <w:r>
              <w:rPr>
                <w:rFonts w:hint="eastAsia"/>
                <w:shd w:val="clear" w:color="auto" w:fill="FFFFFF"/>
              </w:rPr>
              <w:t>https://doi.org/10.1016/j.rineng.2025.105029</w:t>
            </w:r>
          </w:p>
        </w:tc>
      </w:tr>
      <w:tr w:rsidR="00FE1E51" w14:paraId="3079CDB7" w14:textId="77777777" w:rsidTr="00FE1E51">
        <w:tc>
          <w:tcPr>
            <w:tcW w:w="1816" w:type="dxa"/>
            <w:tcBorders>
              <w:top w:val="single" w:sz="4" w:space="0" w:color="auto"/>
              <w:left w:val="single" w:sz="4" w:space="0" w:color="auto"/>
              <w:bottom w:val="single" w:sz="4" w:space="0" w:color="auto"/>
              <w:right w:val="single" w:sz="4" w:space="0" w:color="auto"/>
            </w:tcBorders>
          </w:tcPr>
          <w:p w14:paraId="438CA85F"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06240FAB" w14:textId="199DA088" w:rsidR="00C536C7" w:rsidRDefault="009E6D89">
            <w:r>
              <w:rPr>
                <w:rFonts w:eastAsiaTheme="minorEastAsia" w:hint="eastAsia"/>
                <w:lang w:eastAsia="zh-CN"/>
              </w:rPr>
              <w:t>9</w:t>
            </w:r>
            <w:r w:rsidR="00000000">
              <w:t xml:space="preserve"> June 2026</w:t>
            </w:r>
          </w:p>
        </w:tc>
      </w:tr>
    </w:tbl>
    <w:p w14:paraId="4BD5C0F8" w14:textId="77777777" w:rsidR="00FE1E51" w:rsidRDefault="00FE1E51" w:rsidP="00FE1E51">
      <w:pPr>
        <w:rPr>
          <w:rFonts w:ascii="Calibri Light" w:hAnsi="Calibri Light" w:cs="Calibri Light"/>
          <w:sz w:val="22"/>
          <w:szCs w:val="22"/>
        </w:rPr>
      </w:pPr>
    </w:p>
    <w:p w14:paraId="6258BB9D" w14:textId="77777777" w:rsidR="00FE1E51" w:rsidRDefault="00FE1E51" w:rsidP="00FE1E51">
      <w:pPr>
        <w:rPr>
          <w:rFonts w:ascii="Calibri Light" w:hAnsi="Calibri Light" w:cs="Calibri Light"/>
          <w:sz w:val="22"/>
          <w:szCs w:val="22"/>
        </w:rPr>
      </w:pPr>
    </w:p>
    <w:p w14:paraId="012267DB" w14:textId="77777777" w:rsidR="00FE1E51" w:rsidRDefault="00FE1E51" w:rsidP="00FE1E51">
      <w:pPr>
        <w:rPr>
          <w:rFonts w:ascii="Calibri Light" w:hAnsi="Calibri Light" w:cs="Calibri Light"/>
          <w:sz w:val="22"/>
          <w:szCs w:val="22"/>
        </w:rPr>
      </w:pPr>
    </w:p>
    <w:p w14:paraId="1FF6ECAA" w14:textId="77777777" w:rsidR="00FE1E51" w:rsidRDefault="00FE1E51" w:rsidP="00FE1E51">
      <w:pPr>
        <w:rPr>
          <w:rFonts w:ascii="Calibri Light" w:hAnsi="Calibri Light" w:cs="Calibri Light"/>
          <w:sz w:val="22"/>
          <w:szCs w:val="22"/>
        </w:rPr>
      </w:pPr>
    </w:p>
    <w:p w14:paraId="5EE200C3" w14:textId="77777777" w:rsidR="00FE1E51" w:rsidRDefault="00FE1E51" w:rsidP="00FE1E51">
      <w:pPr>
        <w:rPr>
          <w:rFonts w:ascii="Calibri Light" w:hAnsi="Calibri Light" w:cs="Calibri Light"/>
          <w:sz w:val="22"/>
          <w:szCs w:val="22"/>
        </w:rPr>
      </w:pPr>
    </w:p>
    <w:p w14:paraId="1F44175D" w14:textId="77777777" w:rsidR="00FE1E51" w:rsidRDefault="00FE1E51" w:rsidP="00FE1E51">
      <w:pPr>
        <w:rPr>
          <w:rFonts w:ascii="Calibri Light" w:hAnsi="Calibri Light" w:cs="Calibri Light"/>
          <w:sz w:val="22"/>
          <w:szCs w:val="22"/>
        </w:rPr>
      </w:pPr>
    </w:p>
    <w:p w14:paraId="124116C4" w14:textId="77777777" w:rsidR="00FE1E51" w:rsidRDefault="00FE1E51" w:rsidP="00FE1E51">
      <w:pPr>
        <w:rPr>
          <w:rFonts w:ascii="Calibri Light" w:hAnsi="Calibri Light" w:cs="Calibri Light"/>
          <w:sz w:val="22"/>
          <w:szCs w:val="22"/>
        </w:rPr>
      </w:pPr>
    </w:p>
    <w:p w14:paraId="661317B8" w14:textId="77777777" w:rsidR="00FE1E51" w:rsidRDefault="00FE1E51" w:rsidP="00FE1E51">
      <w:pPr>
        <w:rPr>
          <w:rFonts w:ascii="Calibri Light" w:hAnsi="Calibri Light" w:cs="Calibri Light"/>
          <w:sz w:val="22"/>
          <w:szCs w:val="22"/>
        </w:rPr>
      </w:pPr>
    </w:p>
    <w:p w14:paraId="0581E8BB" w14:textId="77777777" w:rsidR="00FE1E51" w:rsidRDefault="00FE1E51" w:rsidP="00FE1E51">
      <w:pPr>
        <w:rPr>
          <w:rFonts w:ascii="Calibri Light" w:hAnsi="Calibri Light" w:cs="Calibri Light"/>
          <w:sz w:val="22"/>
          <w:szCs w:val="22"/>
        </w:rPr>
      </w:pPr>
    </w:p>
    <w:p w14:paraId="63C9FD36" w14:textId="77777777" w:rsidR="00FE1E51" w:rsidRDefault="00FE1E51" w:rsidP="00FE1E51">
      <w:pPr>
        <w:rPr>
          <w:rFonts w:ascii="Calibri Light" w:hAnsi="Calibri Light" w:cs="Calibri Light"/>
          <w:sz w:val="22"/>
          <w:szCs w:val="22"/>
        </w:rPr>
      </w:pPr>
    </w:p>
    <w:p w14:paraId="5703F20F" w14:textId="77777777" w:rsidR="00FE1E51" w:rsidRDefault="00FE1E51" w:rsidP="00FE1E51">
      <w:pPr>
        <w:rPr>
          <w:rFonts w:ascii="Calibri Light" w:hAnsi="Calibri Light" w:cs="Calibri Light"/>
          <w:sz w:val="22"/>
          <w:szCs w:val="22"/>
        </w:rPr>
      </w:pPr>
    </w:p>
    <w:p w14:paraId="4D6A0370" w14:textId="77777777" w:rsidR="00FE1E51" w:rsidRDefault="00FE1E51" w:rsidP="00FE1E51">
      <w:pPr>
        <w:rPr>
          <w:rFonts w:ascii="Calibri Light" w:hAnsi="Calibri Light" w:cs="Calibri Light"/>
          <w:sz w:val="22"/>
          <w:szCs w:val="22"/>
        </w:rPr>
      </w:pPr>
    </w:p>
    <w:p w14:paraId="7712BF4B"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254197C2" w14:textId="77777777" w:rsidR="00FE1E51" w:rsidRDefault="00FE1E51" w:rsidP="00FE1E51">
      <w:pPr>
        <w:rPr>
          <w:rFonts w:ascii="Calibri Light" w:hAnsi="Calibri Light" w:cs="Calibri Light"/>
          <w:sz w:val="22"/>
          <w:szCs w:val="22"/>
        </w:rPr>
      </w:pPr>
    </w:p>
    <w:p w14:paraId="6067BC86" w14:textId="77777777" w:rsidR="00FE1E51" w:rsidRDefault="00FE1E51" w:rsidP="00FE1E51">
      <w:pPr>
        <w:rPr>
          <w:rFonts w:ascii="Calibri Light" w:hAnsi="Calibri Light" w:cs="Calibri Light"/>
          <w:sz w:val="22"/>
          <w:szCs w:val="22"/>
        </w:rPr>
      </w:pPr>
    </w:p>
    <w:p w14:paraId="06B852B9" w14:textId="77777777" w:rsidR="00FE1E51" w:rsidRDefault="00FE1E51" w:rsidP="00FE1E51">
      <w:pPr>
        <w:rPr>
          <w:rFonts w:ascii="Calibri Light" w:hAnsi="Calibri Light" w:cs="Calibri Light"/>
          <w:sz w:val="22"/>
          <w:szCs w:val="22"/>
        </w:rPr>
      </w:pPr>
    </w:p>
    <w:p w14:paraId="684A4837"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455038EA" w14:textId="77777777" w:rsidTr="007321EA">
        <w:tc>
          <w:tcPr>
            <w:tcW w:w="9356" w:type="dxa"/>
            <w:gridSpan w:val="3"/>
            <w:shd w:val="clear" w:color="auto" w:fill="DAE9F7" w:themeFill="text2" w:themeFillTint="1A"/>
          </w:tcPr>
          <w:p w14:paraId="04C14AFD"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66679B2"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2457547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754A521A" w14:textId="77777777" w:rsidTr="007321EA">
        <w:tc>
          <w:tcPr>
            <w:tcW w:w="4652" w:type="dxa"/>
          </w:tcPr>
          <w:p w14:paraId="31A44120"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0563337B"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49BABAC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1B9BDD2D"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4580D75F"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AD3310C"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130D9BE3"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0C221721"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12DE014B" w14:textId="77777777" w:rsidR="00C536C7" w:rsidRDefault="00000000">
            <w:r>
              <w:lastRenderedPageBreak/>
              <w:t>√ Yes   [ ] No   [ ] Can't Tell</w:t>
            </w:r>
          </w:p>
          <w:p w14:paraId="69E4457A" w14:textId="77777777" w:rsidR="00C536C7" w:rsidRDefault="00000000">
            <w:r>
              <w:lastRenderedPageBreak/>
              <w:t>The study focuses on adoption and service-quality predictors of robot kiosks and service robots (pp. 6-7).</w:t>
            </w:r>
          </w:p>
        </w:tc>
      </w:tr>
      <w:tr w:rsidR="00FE1E51" w14:paraId="66B97F2D" w14:textId="77777777" w:rsidTr="007321EA">
        <w:tc>
          <w:tcPr>
            <w:tcW w:w="9356" w:type="dxa"/>
            <w:gridSpan w:val="3"/>
            <w:shd w:val="clear" w:color="auto" w:fill="F2F2F2" w:themeFill="background1" w:themeFillShade="F2"/>
          </w:tcPr>
          <w:p w14:paraId="3F3CA828"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150BD1FD"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01838705"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2DDF6F75"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6FC3AE86"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410B39E9"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40F4EC16" w14:textId="77777777" w:rsidTr="007321EA">
        <w:tc>
          <w:tcPr>
            <w:tcW w:w="4652" w:type="dxa"/>
          </w:tcPr>
          <w:p w14:paraId="7550D1E3"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3890EAED"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2A914A8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2E430D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732C39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186014B"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6CEC961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4B4746F3" w14:textId="77777777" w:rsidR="00C536C7" w:rsidRDefault="00000000">
            <w:r>
              <w:t>√ Yes   [ ] No   [ ] Can't Tell</w:t>
            </w:r>
          </w:p>
          <w:p w14:paraId="0879BA83" w14:textId="77777777" w:rsidR="00C536C7" w:rsidRDefault="00000000">
            <w:r>
              <w:t>Cross-sectional survey with PLS-SEM is suitable for describing ratings or associations, not establishing causation (pp. 6-7).</w:t>
            </w:r>
          </w:p>
        </w:tc>
      </w:tr>
      <w:tr w:rsidR="00FE1E51" w14:paraId="6FF5284C" w14:textId="77777777" w:rsidTr="007321EA">
        <w:tc>
          <w:tcPr>
            <w:tcW w:w="9356" w:type="dxa"/>
            <w:gridSpan w:val="3"/>
            <w:shd w:val="clear" w:color="auto" w:fill="F2F2F2" w:themeFill="background1" w:themeFillShade="F2"/>
          </w:tcPr>
          <w:p w14:paraId="0F11E030"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3BD23CE6"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0B770485"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3CD57726" w14:textId="77777777" w:rsidTr="007321EA">
        <w:tc>
          <w:tcPr>
            <w:tcW w:w="4652" w:type="dxa"/>
          </w:tcPr>
          <w:p w14:paraId="2B17DE7A"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4DBEB35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7F2828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D85FC7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8331408"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1A94569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47CAB6F9" w14:textId="77777777" w:rsidR="00C536C7" w:rsidRDefault="00000000">
            <w:r>
              <w:t>√ Yes   [ ] No   [ ] Can't Tell</w:t>
            </w:r>
          </w:p>
          <w:p w14:paraId="46DA394F" w14:textId="77777777" w:rsidR="00C536C7" w:rsidRDefault="00000000">
            <w:r>
              <w:t>Eligibility and purposive recruitment of previous users are described, although the non-probability frame limits representativeness (pp. 6-7).</w:t>
            </w:r>
          </w:p>
        </w:tc>
      </w:tr>
      <w:tr w:rsidR="00FE1E51" w14:paraId="33EE36C3" w14:textId="77777777" w:rsidTr="007321EA">
        <w:tc>
          <w:tcPr>
            <w:tcW w:w="9356" w:type="dxa"/>
            <w:gridSpan w:val="3"/>
            <w:shd w:val="clear" w:color="auto" w:fill="F2F2F2" w:themeFill="background1" w:themeFillShade="F2"/>
          </w:tcPr>
          <w:p w14:paraId="6448B269"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53F15C88"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6D77A6F1"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224C6E14"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6927B8EC"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3936F418" w14:textId="77777777" w:rsidTr="007321EA">
        <w:tc>
          <w:tcPr>
            <w:tcW w:w="4652" w:type="dxa"/>
          </w:tcPr>
          <w:p w14:paraId="54B7A870"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24C5A31C"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4D0F3B85"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5C6B28B1"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605042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97D8E62"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40CC183F" w14:textId="77777777" w:rsidR="00C536C7" w:rsidRDefault="00000000">
            <w:r>
              <w:t>√ Yes   [ ] No   [ ] Can't Tell</w:t>
            </w:r>
          </w:p>
          <w:p w14:paraId="70CB1023" w14:textId="77777777" w:rsidR="00C536C7" w:rsidRDefault="00000000">
            <w:r>
              <w:t>Cronbach alpha and composite reliability exceed the paper's stated thresholds for most constructs (pp. 6-7).</w:t>
            </w:r>
          </w:p>
        </w:tc>
      </w:tr>
      <w:tr w:rsidR="00FE1E51" w14:paraId="5AA29F6D" w14:textId="77777777" w:rsidTr="007321EA">
        <w:tc>
          <w:tcPr>
            <w:tcW w:w="9356" w:type="dxa"/>
            <w:gridSpan w:val="3"/>
            <w:shd w:val="clear" w:color="auto" w:fill="F2F2F2" w:themeFill="background1" w:themeFillShade="F2"/>
          </w:tcPr>
          <w:p w14:paraId="0C3F0D6C"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69F28D66"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19275F7E"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16872BA9"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250409AE" w14:textId="77777777" w:rsidTr="007321EA">
        <w:tc>
          <w:tcPr>
            <w:tcW w:w="4652" w:type="dxa"/>
          </w:tcPr>
          <w:p w14:paraId="2BCAF8CF"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24B7D95E"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3C1ABF85"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69321905"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41F6CE80"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345CDDBE"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69B3824F" w14:textId="77777777" w:rsidR="00C536C7" w:rsidRDefault="00000000">
            <w:r>
              <w:t>√ Yes   [ ] No   [ ] Can't Tell</w:t>
            </w:r>
          </w:p>
          <w:p w14:paraId="269B0B0F" w14:textId="77777777" w:rsidR="00C536C7" w:rsidRDefault="00000000">
            <w:r>
              <w:t>Survey distribution, eligibility, ethics approval and written consent are described (pp. 6-7).</w:t>
            </w:r>
          </w:p>
        </w:tc>
      </w:tr>
      <w:tr w:rsidR="00FE1E51" w14:paraId="60DF933E" w14:textId="77777777" w:rsidTr="007321EA">
        <w:tc>
          <w:tcPr>
            <w:tcW w:w="9356" w:type="dxa"/>
            <w:gridSpan w:val="3"/>
            <w:shd w:val="clear" w:color="auto" w:fill="F2F2F2" w:themeFill="background1" w:themeFillShade="F2"/>
          </w:tcPr>
          <w:p w14:paraId="26F419C6"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7D8D984B"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setting for data collection was justified</w:t>
            </w:r>
          </w:p>
          <w:p w14:paraId="3C186D82"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102DDC3C"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4A66B2A0"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70359640" w14:textId="77777777" w:rsidTr="0000202C">
        <w:tc>
          <w:tcPr>
            <w:tcW w:w="4678" w:type="dxa"/>
            <w:gridSpan w:val="2"/>
          </w:tcPr>
          <w:p w14:paraId="7C2099AC"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09B447C2" w14:textId="77777777" w:rsidR="00FC73E4" w:rsidRDefault="00FC73E4" w:rsidP="00FC73E4">
            <w:pPr>
              <w:spacing w:before="22"/>
              <w:rPr>
                <w:rFonts w:ascii="Calibri Light" w:eastAsia="Calibri Light" w:hAnsi="Calibri Light" w:cs="Calibri Light"/>
                <w:bCs/>
                <w:color w:val="000000" w:themeColor="text1"/>
                <w:sz w:val="22"/>
                <w:szCs w:val="22"/>
              </w:rPr>
            </w:pPr>
          </w:p>
          <w:p w14:paraId="6431A315" w14:textId="77777777" w:rsidR="00FC73E4" w:rsidRDefault="00FC73E4" w:rsidP="00FC73E4">
            <w:pPr>
              <w:spacing w:before="22"/>
              <w:rPr>
                <w:rFonts w:ascii="Calibri Light" w:eastAsia="Calibri Light" w:hAnsi="Calibri Light" w:cs="Calibri Light"/>
                <w:bCs/>
                <w:color w:val="000000" w:themeColor="text1"/>
                <w:sz w:val="22"/>
                <w:szCs w:val="22"/>
              </w:rPr>
            </w:pPr>
          </w:p>
          <w:p w14:paraId="5F4A5304" w14:textId="77777777" w:rsidR="00FC73E4" w:rsidRDefault="00FC73E4" w:rsidP="00FC73E4">
            <w:pPr>
              <w:spacing w:before="22"/>
              <w:rPr>
                <w:rFonts w:ascii="Calibri Light" w:eastAsia="Calibri Light" w:hAnsi="Calibri Light" w:cs="Calibri Light"/>
                <w:bCs/>
                <w:color w:val="000000" w:themeColor="text1"/>
                <w:sz w:val="22"/>
                <w:szCs w:val="22"/>
              </w:rPr>
            </w:pPr>
          </w:p>
          <w:p w14:paraId="415F99FE"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0BA38170" w14:textId="77777777" w:rsidR="00C536C7" w:rsidRDefault="00000000">
            <w:r>
              <w:t>[ ] Yes   [ ] No   √ Can't Tell</w:t>
            </w:r>
          </w:p>
          <w:p w14:paraId="1AA96933" w14:textId="77777777" w:rsidR="00C536C7" w:rsidRDefault="00000000">
            <w:r>
              <w:t>A numerical sample is analysed, but the article does not clearly demonstrate a design-specific power calculation for all model paths (pp. 6-7).</w:t>
            </w:r>
          </w:p>
        </w:tc>
      </w:tr>
      <w:tr w:rsidR="00FC73E4" w14:paraId="1045CE9B" w14:textId="77777777" w:rsidTr="00296F7B">
        <w:tc>
          <w:tcPr>
            <w:tcW w:w="9356" w:type="dxa"/>
            <w:gridSpan w:val="3"/>
            <w:shd w:val="clear" w:color="auto" w:fill="E8E8E8" w:themeFill="background2"/>
          </w:tcPr>
          <w:p w14:paraId="52D21574"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608DD4E3"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3C2CE8D3"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21ECB0C2"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3626D53A" w14:textId="77777777" w:rsidTr="007321EA">
        <w:tc>
          <w:tcPr>
            <w:tcW w:w="4652" w:type="dxa"/>
          </w:tcPr>
          <w:p w14:paraId="6113D8C3"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516FA37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2DF7C1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2A7CF4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AC8941D"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BE6FFE5"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37F3A220" w14:textId="77777777" w:rsidR="00C536C7" w:rsidRDefault="00000000">
            <w:r>
              <w:t>√ Yes   [ ] No   [ ] Can't Tell</w:t>
            </w:r>
          </w:p>
          <w:p w14:paraId="189F665E" w14:textId="77777777" w:rsidR="00C536C7" w:rsidRDefault="00000000">
            <w:r>
              <w:t>Construct relationships and model findings are reported in tables (pp. 8-12).</w:t>
            </w:r>
          </w:p>
        </w:tc>
      </w:tr>
      <w:tr w:rsidR="00FE1E51" w14:paraId="27A2B720" w14:textId="77777777" w:rsidTr="00296F7B">
        <w:tc>
          <w:tcPr>
            <w:tcW w:w="9356" w:type="dxa"/>
            <w:gridSpan w:val="3"/>
            <w:shd w:val="clear" w:color="auto" w:fill="E8E8E8" w:themeFill="background2"/>
          </w:tcPr>
          <w:p w14:paraId="0ACEEAF0"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3F17BCFF"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0CBA6B3D"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66B0CC83"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22E845E7" w14:textId="77777777" w:rsidTr="007321EA">
        <w:tc>
          <w:tcPr>
            <w:tcW w:w="4652" w:type="dxa"/>
          </w:tcPr>
          <w:p w14:paraId="285811EE"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55B49FFE"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0D6AA686"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4F830E96"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71D37B43" w14:textId="77777777" w:rsidR="00C536C7" w:rsidRDefault="00000000">
            <w:r>
              <w:t>√ Yes   [ ] No   [ ] Can't Tell</w:t>
            </w:r>
          </w:p>
          <w:p w14:paraId="592CB352" w14:textId="77777777" w:rsidR="00C536C7" w:rsidRDefault="00000000">
            <w:r>
              <w:t>PLS-SEM and measurement-model checks are reported with coefficients and significance tests (pp. 8-12).</w:t>
            </w:r>
          </w:p>
        </w:tc>
      </w:tr>
      <w:tr w:rsidR="00FE1E51" w14:paraId="32581D74" w14:textId="77777777" w:rsidTr="007321EA">
        <w:tc>
          <w:tcPr>
            <w:tcW w:w="9356" w:type="dxa"/>
            <w:gridSpan w:val="3"/>
            <w:shd w:val="clear" w:color="auto" w:fill="F2F2F2" w:themeFill="background1" w:themeFillShade="F2"/>
          </w:tcPr>
          <w:p w14:paraId="43CE8516"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64D4727C"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4538E28D"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1F26567A" w14:textId="77777777" w:rsidTr="007321EA">
        <w:tc>
          <w:tcPr>
            <w:tcW w:w="4652" w:type="dxa"/>
          </w:tcPr>
          <w:p w14:paraId="796EC9FF"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2A483A31"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2FED3BB3"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B1809F6"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2442E43B" w14:textId="77777777" w:rsidR="00C536C7" w:rsidRDefault="00000000">
            <w:r>
              <w:t>√ Yes   [ ] No   [ ] Can't Tell</w:t>
            </w:r>
          </w:p>
          <w:p w14:paraId="353A7850" w14:textId="77777777" w:rsidR="00C536C7" w:rsidRDefault="00000000">
            <w:r>
              <w:t>The main findings are stated and related to the study aims; construct relationships and model findings are reported in tables (pp. 8-12).</w:t>
            </w:r>
          </w:p>
        </w:tc>
      </w:tr>
      <w:tr w:rsidR="00FE1E51" w14:paraId="42D2C53A" w14:textId="77777777" w:rsidTr="007321EA">
        <w:tc>
          <w:tcPr>
            <w:tcW w:w="9356" w:type="dxa"/>
            <w:gridSpan w:val="3"/>
            <w:shd w:val="clear" w:color="auto" w:fill="F2F2F2" w:themeFill="background1" w:themeFillShade="F2"/>
          </w:tcPr>
          <w:p w14:paraId="1CD04FC1"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7E9052E3"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01C8BC04"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0CE18826"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4330D11B"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13F2E32F" w14:textId="77777777" w:rsidTr="007321EA">
        <w:tc>
          <w:tcPr>
            <w:tcW w:w="4652" w:type="dxa"/>
          </w:tcPr>
          <w:p w14:paraId="2AE5171E"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31B4939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78F02C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46BC22D"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504FF4D"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5BC32DB3" w14:textId="77777777" w:rsidR="00C536C7" w:rsidRDefault="00000000">
            <w:r>
              <w:t>[ ] Yes   [ ] No   √ Can't Tell</w:t>
            </w:r>
          </w:p>
          <w:p w14:paraId="69BD0843" w14:textId="77777777" w:rsidR="00C536C7" w:rsidRDefault="00000000">
            <w:r>
              <w:t>Results reflect Filipino users reached through online and other channels, not all service users (p. 13).</w:t>
            </w:r>
          </w:p>
        </w:tc>
      </w:tr>
      <w:tr w:rsidR="00FE1E51" w14:paraId="7955C888" w14:textId="77777777" w:rsidTr="007321EA">
        <w:tc>
          <w:tcPr>
            <w:tcW w:w="9356" w:type="dxa"/>
            <w:gridSpan w:val="3"/>
            <w:shd w:val="clear" w:color="auto" w:fill="F2F2F2" w:themeFill="background1" w:themeFillShade="F2"/>
          </w:tcPr>
          <w:p w14:paraId="68024AAD"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3AF7CF6D"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4FDD56BF"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147ECF4C" w14:textId="77777777" w:rsidTr="00240C9D">
        <w:tc>
          <w:tcPr>
            <w:tcW w:w="4678" w:type="dxa"/>
            <w:gridSpan w:val="2"/>
          </w:tcPr>
          <w:p w14:paraId="6AFAFFDE"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3A36C83B" w14:textId="77777777" w:rsidR="00BE701B" w:rsidRDefault="00BE701B" w:rsidP="00BE701B">
            <w:pPr>
              <w:spacing w:before="10" w:line="220" w:lineRule="exact"/>
              <w:rPr>
                <w:rFonts w:ascii="Calibri Light" w:hAnsi="Calibri Light" w:cs="Calibri Light"/>
                <w:color w:val="000000" w:themeColor="text1"/>
                <w:sz w:val="22"/>
                <w:szCs w:val="22"/>
              </w:rPr>
            </w:pPr>
          </w:p>
          <w:p w14:paraId="62AC5E84" w14:textId="77777777" w:rsidR="00BE701B" w:rsidRDefault="00BE701B" w:rsidP="00BE701B">
            <w:pPr>
              <w:spacing w:before="10" w:line="220" w:lineRule="exact"/>
              <w:rPr>
                <w:rFonts w:ascii="Calibri Light" w:hAnsi="Calibri Light" w:cs="Calibri Light"/>
                <w:color w:val="000000" w:themeColor="text1"/>
                <w:sz w:val="22"/>
                <w:szCs w:val="22"/>
              </w:rPr>
            </w:pPr>
          </w:p>
          <w:p w14:paraId="09B2DB0D" w14:textId="77777777" w:rsidR="00BE701B" w:rsidRDefault="00BE701B" w:rsidP="00BE701B">
            <w:pPr>
              <w:spacing w:before="10" w:line="220" w:lineRule="exact"/>
              <w:rPr>
                <w:rFonts w:ascii="Calibri Light" w:hAnsi="Calibri Light" w:cs="Calibri Light"/>
                <w:color w:val="000000" w:themeColor="text1"/>
                <w:sz w:val="22"/>
                <w:szCs w:val="22"/>
              </w:rPr>
            </w:pPr>
          </w:p>
          <w:p w14:paraId="2D8A472F" w14:textId="77777777" w:rsidR="00BE701B" w:rsidRDefault="00BE701B" w:rsidP="00BE701B">
            <w:pPr>
              <w:spacing w:before="10" w:line="220" w:lineRule="exact"/>
              <w:rPr>
                <w:rFonts w:ascii="Calibri Light" w:hAnsi="Calibri Light" w:cs="Calibri Light"/>
                <w:color w:val="000000" w:themeColor="text1"/>
                <w:sz w:val="22"/>
                <w:szCs w:val="22"/>
              </w:rPr>
            </w:pPr>
          </w:p>
          <w:p w14:paraId="2CD9982A" w14:textId="77777777" w:rsidR="0060485D" w:rsidRDefault="0060485D" w:rsidP="00BE701B">
            <w:pPr>
              <w:spacing w:before="10" w:line="220" w:lineRule="exact"/>
              <w:rPr>
                <w:rFonts w:ascii="Calibri Light" w:hAnsi="Calibri Light" w:cs="Calibri Light"/>
                <w:color w:val="000000" w:themeColor="text1"/>
                <w:sz w:val="22"/>
                <w:szCs w:val="22"/>
              </w:rPr>
            </w:pPr>
          </w:p>
          <w:p w14:paraId="32AF3EAD" w14:textId="77777777" w:rsidR="0060485D" w:rsidRDefault="0060485D" w:rsidP="00BE701B">
            <w:pPr>
              <w:spacing w:before="10" w:line="220" w:lineRule="exact"/>
              <w:rPr>
                <w:rFonts w:ascii="Calibri Light" w:hAnsi="Calibri Light" w:cs="Calibri Light"/>
                <w:color w:val="000000" w:themeColor="text1"/>
                <w:sz w:val="22"/>
                <w:szCs w:val="22"/>
              </w:rPr>
            </w:pPr>
          </w:p>
          <w:p w14:paraId="08044E44"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283B2AE5" w14:textId="77777777" w:rsidR="00C536C7" w:rsidRDefault="00000000">
            <w:r>
              <w:t>√ Yes   [ ] No   [ ] Can't Tell</w:t>
            </w:r>
          </w:p>
          <w:p w14:paraId="00E962C5" w14:textId="77777777" w:rsidR="00C536C7" w:rsidRDefault="00000000">
            <w:r>
              <w:t>The paper links SERVQUAL-related attributes to technology adoption in robot services (pp. 8-12).</w:t>
            </w:r>
          </w:p>
        </w:tc>
      </w:tr>
      <w:tr w:rsidR="00BE701B" w14:paraId="03A7A4F1" w14:textId="77777777" w:rsidTr="00BE701B">
        <w:trPr>
          <w:trHeight w:val="992"/>
        </w:trPr>
        <w:tc>
          <w:tcPr>
            <w:tcW w:w="9356" w:type="dxa"/>
            <w:gridSpan w:val="3"/>
            <w:shd w:val="clear" w:color="auto" w:fill="E8E8E8" w:themeFill="background2"/>
          </w:tcPr>
          <w:p w14:paraId="5FE36522"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31ABBC7B"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246A84DD"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2577E562"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516F57D7"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3789A5FA"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4895890D" w14:textId="77777777" w:rsidTr="00984645">
        <w:trPr>
          <w:trHeight w:val="667"/>
        </w:trPr>
        <w:tc>
          <w:tcPr>
            <w:tcW w:w="9157" w:type="dxa"/>
            <w:gridSpan w:val="3"/>
            <w:shd w:val="clear" w:color="auto" w:fill="F2CEED" w:themeFill="accent5" w:themeFillTint="33"/>
          </w:tcPr>
          <w:p w14:paraId="36B13D9D"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6FF9BD83" w14:textId="77777777" w:rsidTr="00984645">
        <w:trPr>
          <w:trHeight w:val="374"/>
        </w:trPr>
        <w:tc>
          <w:tcPr>
            <w:tcW w:w="3310" w:type="dxa"/>
          </w:tcPr>
          <w:p w14:paraId="2BB78979"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3B21A0F4"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14287ABF"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3194046A" w14:textId="77777777" w:rsidTr="00984645">
        <w:trPr>
          <w:trHeight w:val="373"/>
        </w:trPr>
        <w:tc>
          <w:tcPr>
            <w:tcW w:w="3310" w:type="dxa"/>
          </w:tcPr>
          <w:p w14:paraId="5AE83968" w14:textId="77777777" w:rsidR="00C536C7" w:rsidRDefault="00000000">
            <w:r>
              <w:t>Clear eligibility, ethics and measurement-model reporting.</w:t>
            </w:r>
          </w:p>
        </w:tc>
        <w:tc>
          <w:tcPr>
            <w:tcW w:w="3388" w:type="dxa"/>
          </w:tcPr>
          <w:p w14:paraId="19EF3D80" w14:textId="77777777" w:rsidR="00C536C7" w:rsidRDefault="00000000">
            <w:r>
              <w:t>Purposive recruitment and cross-sectional causal limits.</w:t>
            </w:r>
          </w:p>
        </w:tc>
        <w:tc>
          <w:tcPr>
            <w:tcW w:w="2459" w:type="dxa"/>
          </w:tcPr>
          <w:p w14:paraId="0A170E80" w14:textId="77777777" w:rsidR="00C536C7" w:rsidRDefault="00000000">
            <w:r>
              <w:t>Items marked Can't Tell reflect information not clearly established in the article report. No numerical score was calculated.</w:t>
            </w:r>
          </w:p>
        </w:tc>
      </w:tr>
    </w:tbl>
    <w:p w14:paraId="167A2E0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8447C03"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6566525"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B72FF0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5AF81E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917F94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7C3CC26"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D7BAB1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C5F70AA"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4720566"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545D32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2C2426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1795A7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78FFE7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A22026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5C32E3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BCFE28B"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7132D90B"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46BD6039"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A2153D4"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1B99E627"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7A1F1C7D"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1694DBB4"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67BD3845" w14:textId="77777777" w:rsidR="0036786A" w:rsidRDefault="0036786A" w:rsidP="0036786A">
      <w:pPr>
        <w:spacing w:before="10" w:line="220" w:lineRule="exact"/>
        <w:rPr>
          <w:rFonts w:ascii="Calibri Light" w:hAnsi="Calibri Light" w:cs="Calibri Light"/>
          <w:color w:val="000000" w:themeColor="text1"/>
          <w:sz w:val="22"/>
          <w:szCs w:val="22"/>
        </w:rPr>
      </w:pPr>
    </w:p>
    <w:p w14:paraId="61248B87"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5209996D"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554FCD34"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71801F3A"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5B3ADE05" w14:textId="2FE51006"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BD3E46">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r w:rsidR="00984645">
        <w:rPr>
          <w:rFonts w:ascii="Calibri Light" w:hAnsi="Calibri Light" w:cs="Calibri Light"/>
          <w:i/>
          <w:iCs/>
          <w:sz w:val="22"/>
          <w:szCs w:val="22"/>
        </w:rPr>
        <w:t xml:space="preserve">cross sectional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7C6439A8" w14:textId="77777777" w:rsidR="0036786A" w:rsidRDefault="0036786A" w:rsidP="0036786A">
      <w:pPr>
        <w:rPr>
          <w:rFonts w:ascii="Calibri Light" w:hAnsi="Calibri Light" w:cs="Calibri Light"/>
          <w:i/>
          <w:iCs/>
          <w:color w:val="000000" w:themeColor="text1"/>
          <w:sz w:val="22"/>
          <w:szCs w:val="22"/>
        </w:rPr>
      </w:pPr>
    </w:p>
    <w:p w14:paraId="2C04EC0D"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53E078AD" w14:textId="77777777" w:rsidR="0036786A" w:rsidRDefault="0036786A" w:rsidP="0036786A">
      <w:pPr>
        <w:spacing w:before="10" w:line="220" w:lineRule="exact"/>
        <w:rPr>
          <w:rFonts w:ascii="Calibri Light" w:hAnsi="Calibri Light" w:cs="Calibri Light"/>
          <w:color w:val="000000" w:themeColor="text1"/>
          <w:sz w:val="22"/>
          <w:szCs w:val="22"/>
        </w:rPr>
      </w:pPr>
    </w:p>
    <w:p w14:paraId="65826966"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5712651D" w14:textId="77777777" w:rsidR="0036786A" w:rsidRDefault="0036786A" w:rsidP="0036786A">
      <w:pPr>
        <w:spacing w:before="10" w:line="220" w:lineRule="exact"/>
        <w:rPr>
          <w:rFonts w:ascii="Calibri Light" w:hAnsi="Calibri Light" w:cs="Calibri Light"/>
          <w:color w:val="000000" w:themeColor="text1"/>
          <w:sz w:val="22"/>
          <w:szCs w:val="22"/>
        </w:rPr>
      </w:pPr>
    </w:p>
    <w:p w14:paraId="77BDFB6C"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4E636208"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55B4BA3A"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BCBC0"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11591D70"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22CB076A"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61E82A0C"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22A20593"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3CBC8B81"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2840A90F" w14:textId="77777777" w:rsidR="0036786A" w:rsidRDefault="0036786A" w:rsidP="0036786A">
      <w:pPr>
        <w:spacing w:before="10" w:line="220" w:lineRule="exact"/>
        <w:rPr>
          <w:rFonts w:ascii="Calibri Light" w:hAnsi="Calibri Light" w:cs="Calibri Light"/>
          <w:color w:val="000000" w:themeColor="text1"/>
          <w:sz w:val="22"/>
          <w:szCs w:val="22"/>
        </w:rPr>
      </w:pPr>
    </w:p>
    <w:p w14:paraId="53A26C14"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19192DFC"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7605D38B"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589161C6"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5C60C085"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06C6951F" w14:textId="77777777" w:rsidR="0036786A" w:rsidRDefault="0036786A" w:rsidP="0036786A">
      <w:pPr>
        <w:spacing w:before="10" w:line="220" w:lineRule="exact"/>
        <w:rPr>
          <w:rFonts w:ascii="Calibri Light" w:hAnsi="Calibri Light" w:cs="Calibri Light"/>
          <w:color w:val="000000" w:themeColor="text1"/>
          <w:sz w:val="22"/>
          <w:szCs w:val="22"/>
        </w:rPr>
      </w:pPr>
    </w:p>
    <w:p w14:paraId="0B5381D5"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1DA88B5E"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6DE97" w14:textId="77777777" w:rsidR="00BF0FA6" w:rsidRDefault="00BF0FA6" w:rsidP="0036786A">
      <w:r>
        <w:separator/>
      </w:r>
    </w:p>
  </w:endnote>
  <w:endnote w:type="continuationSeparator" w:id="0">
    <w:p w14:paraId="036A407B" w14:textId="77777777" w:rsidR="00BF0FA6" w:rsidRDefault="00BF0FA6"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447FA83F"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70665858"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4AA5D8CA"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577A884F"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41AD6" w14:textId="77777777" w:rsidR="00BF0FA6" w:rsidRDefault="00BF0FA6" w:rsidP="0036786A">
      <w:r>
        <w:separator/>
      </w:r>
    </w:p>
  </w:footnote>
  <w:footnote w:type="continuationSeparator" w:id="0">
    <w:p w14:paraId="2E78FD3B" w14:textId="77777777" w:rsidR="00BF0FA6" w:rsidRDefault="00BF0FA6"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1AA6"/>
    <w:rsid w:val="00072456"/>
    <w:rsid w:val="00181C67"/>
    <w:rsid w:val="001E34A8"/>
    <w:rsid w:val="001F3017"/>
    <w:rsid w:val="0021758F"/>
    <w:rsid w:val="00251D62"/>
    <w:rsid w:val="00296F7B"/>
    <w:rsid w:val="002A0E4C"/>
    <w:rsid w:val="002E51C7"/>
    <w:rsid w:val="0036786A"/>
    <w:rsid w:val="00390FD8"/>
    <w:rsid w:val="00575A2B"/>
    <w:rsid w:val="005B3C96"/>
    <w:rsid w:val="0060485D"/>
    <w:rsid w:val="006771DA"/>
    <w:rsid w:val="007321EA"/>
    <w:rsid w:val="00952CDE"/>
    <w:rsid w:val="00984645"/>
    <w:rsid w:val="009E6D89"/>
    <w:rsid w:val="00A4503B"/>
    <w:rsid w:val="00A700D3"/>
    <w:rsid w:val="00B9765B"/>
    <w:rsid w:val="00BB1A83"/>
    <w:rsid w:val="00BD3E46"/>
    <w:rsid w:val="00BE701B"/>
    <w:rsid w:val="00BF0FA6"/>
    <w:rsid w:val="00C536C7"/>
    <w:rsid w:val="00CE7949"/>
    <w:rsid w:val="00D05C84"/>
    <w:rsid w:val="00D10D7F"/>
    <w:rsid w:val="00D234B3"/>
    <w:rsid w:val="00D71D9A"/>
    <w:rsid w:val="00E10106"/>
    <w:rsid w:val="00E20D94"/>
    <w:rsid w:val="00ED6D77"/>
    <w:rsid w:val="00FA1720"/>
    <w:rsid w:val="00FC0B80"/>
    <w:rsid w:val="00FC73E4"/>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5BE14"/>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7</cp:revision>
  <dcterms:created xsi:type="dcterms:W3CDTF">2024-09-24T12:22:00Z</dcterms:created>
  <dcterms:modified xsi:type="dcterms:W3CDTF">2026-09-19T14:02:00Z</dcterms:modified>
</cp:coreProperties>
</file>