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/>
        <w:jc w:val="center"/>
      </w:pPr>
      <w:r>
        <w:rPr>
          <w:b/>
          <w:bCs/>
          <w:color w:val="1F4E78"/>
          <w:sz w:val="40"/>
          <w:szCs w:val="40"/>
        </w:rPr>
        <w:t xml:space="preserve">Customer Behaviour Analytics</w:t>
      </w:r>
    </w:p>
    <w:p>
      <w:pPr>
        <w:spacing w:after="240"/>
        <w:jc w:val="center"/>
      </w:pPr>
      <w:r>
        <w:rPr>
          <w:color w:val="2E75B6"/>
          <w:sz w:val="32"/>
          <w:szCs w:val="32"/>
        </w:rPr>
        <w:t xml:space="preserve">Market Segmentation Using Machine Learning</w:t>
      </w:r>
    </w:p>
    <w:p>
      <w:pPr>
        <w:spacing w:before="1440" w:after="240"/>
        <w:jc w:val="center"/>
      </w:pPr>
      <w:r>
        <w:rPr>
          <w:i/>
          <w:iCs/>
          <w:sz w:val="24"/>
          <w:szCs w:val="24"/>
        </w:rPr>
        <w:t xml:space="preserve">E-Commerce Customer Clustering Analysis</w:t>
      </w:r>
    </w:p>
    <w:p>
      <w:pPr>
        <w:spacing w:before="2880"/>
        <w:jc w:val="center"/>
      </w:pPr>
      <w:r>
        <w:rPr>
          <w:sz w:val="22"/>
          <w:szCs w:val="22"/>
        </w:rPr>
        <w:t xml:space="preserve">February 22, 2026</w:t>
      </w:r>
    </w:p>
    <w:p>
      <w:r>
        <w:br w:type="page"/>
      </w:r>
    </w:p>
    <w:p>
      <w:pPr>
        <w:pStyle w:val="Heading1"/>
      </w:pPr>
      <w:r>
        <w:t xml:space="preserve">Executive Summary</w:t>
      </w:r>
    </w:p>
    <w:p>
      <w:pPr>
        <w:spacing w:after="180"/>
      </w:pPr>
      <w:r>
        <w:t xml:space="preserve">This report presents a comprehensive analysis of customer purchasing behavior using advanced clustering techniques to identify distinct market segments within an e-commerce dataset. The analysis reveals three primary customer segments with significantly different behavioral patterns, revenue contributions, and engagement levels.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Finding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Dataset Size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51,290 e-commerce transactions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Segments Identified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3 distinct customer clusters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Methodology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K-Means clustering with elbow method optimization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Tools Used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 (data cleaning), Python (modeling), Tableau (visualization)</w:t>
            </w:r>
          </w:p>
        </w:tc>
      </w:tr>
    </w:tbl>
    <w:p>
      <w:pPr>
        <w:spacing w:before="360" w:after="180"/>
      </w:pPr>
    </w:p>
    <w:p>
      <w:pPr>
        <w:pStyle w:val="Heading2"/>
      </w:pPr>
      <w:r>
        <w:t xml:space="preserve">Key Insights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High-Value Active Customers: 17,984 customers drive disproportionate revenue through frequent, high-value purchases</w:t>
      </w:r>
    </w:p>
    <w:p>
      <w:pPr>
        <w:pStyle w:val="ListParagraph"/>
        <w:numPr>
          <w:ilvl w:val="0"/>
          <w:numId w:val="2"/>
        </w:numPr>
      </w:pPr>
      <w:r>
        <w:t xml:space="preserve">High Profit Potential: 13,955 customers with balanced purchasing and strong profitability margins</w:t>
      </w:r>
    </w:p>
    <w:p>
      <w:pPr>
        <w:pStyle w:val="ListParagraph"/>
        <w:numPr>
          <w:ilvl w:val="0"/>
          <w:numId w:val="2"/>
        </w:numPr>
      </w:pPr>
      <w:r>
        <w:t xml:space="preserve">Low-Value Dormant: 7,051 customers showing minimal engagement requiring re-activation strategies</w:t>
      </w:r>
    </w:p>
    <w:p>
      <w:pPr>
        <w:pStyle w:val="ListParagraph"/>
        <w:numPr>
          <w:ilvl w:val="0"/>
          <w:numId w:val="2"/>
        </w:numPr>
      </w:pPr>
      <w:r>
        <w:t xml:space="preserve">Revenue Concentration: The Pareto Principle applies—high-value customers generate majority of revenue</w:t>
      </w:r>
    </w:p>
    <w:p>
      <w:r>
        <w:br w:type="page"/>
      </w:r>
    </w:p>
    <w:p>
      <w:pPr>
        <w:pStyle w:val="Heading1"/>
      </w:pPr>
      <w:r>
        <w:t xml:space="preserve">1. Introduction</w:t>
      </w:r>
    </w:p>
    <w:p>
      <w:pPr>
        <w:pStyle w:val="Heading2"/>
      </w:pPr>
      <w:r>
        <w:t xml:space="preserve">1.1 Project Overview</w:t>
      </w:r>
    </w:p>
    <w:p>
      <w:pPr>
        <w:spacing w:after="180"/>
      </w:pPr>
      <w:r>
        <w:t xml:space="preserve">In the competitive e-commerce landscape, understanding customer behavior is critical for sustainable growth and profitability. This project applies unsupervised machine learning techniques to segment customers based on their purchasing patterns, enabling data-driven marketing strategies and resource allocation.</w:t>
      </w:r>
    </w:p>
    <w:p>
      <w:pPr>
        <w:pStyle w:val="Heading2"/>
      </w:pPr>
      <w:r>
        <w:t xml:space="preserve">1.2 Business Objectives</w:t>
      </w:r>
    </w:p>
    <w:p>
      <w:pPr>
        <w:pStyle w:val="ListParagraph"/>
        <w:numPr>
          <w:ilvl w:val="0"/>
          <w:numId w:val="2"/>
        </w:numPr>
      </w:pPr>
      <w:r>
        <w:t xml:space="preserve">Identify distinct customer segments based on behavioral and transactional data</w:t>
      </w:r>
    </w:p>
    <w:p>
      <w:pPr>
        <w:pStyle w:val="ListParagraph"/>
        <w:numPr>
          <w:ilvl w:val="0"/>
          <w:numId w:val="2"/>
        </w:numPr>
      </w:pPr>
      <w:r>
        <w:t xml:space="preserve">Quantify revenue contribution and profitability across segments</w:t>
      </w:r>
    </w:p>
    <w:p>
      <w:pPr>
        <w:pStyle w:val="ListParagraph"/>
        <w:numPr>
          <w:ilvl w:val="0"/>
          <w:numId w:val="2"/>
        </w:numPr>
      </w:pPr>
      <w:r>
        <w:t xml:space="preserve">Develop actionable insights for targeted marketing campaigns</w:t>
      </w:r>
    </w:p>
    <w:p>
      <w:pPr>
        <w:pStyle w:val="ListParagraph"/>
        <w:numPr>
          <w:ilvl w:val="0"/>
          <w:numId w:val="2"/>
        </w:numPr>
      </w:pPr>
      <w:r>
        <w:t xml:space="preserve">Create visual dashboards for ongoing monitoring and decision-making</w:t>
      </w:r>
    </w:p>
    <w:p>
      <w:pPr>
        <w:pStyle w:val="Heading2"/>
      </w:pPr>
      <w:r>
        <w:t xml:space="preserve">1.3 Methodology</w:t>
      </w:r>
    </w:p>
    <w:p>
      <w:pPr>
        <w:spacing w:after="180"/>
      </w:pPr>
      <w:r>
        <w:t xml:space="preserve">The analysis follows a systematic approach: data acquisition and cleaning (R), feature engineering and clustering (Python with scikit-learn), and interactive visualization (Tableau). K-Means clustering was selected for its efficiency with large datasets and interpretability of results.</w:t>
      </w:r>
    </w:p>
    <w:p>
      <w:r>
        <w:br w:type="page"/>
      </w:r>
    </w:p>
    <w:p>
      <w:pPr>
        <w:pStyle w:val="Heading1"/>
      </w:pPr>
      <w:r>
        <w:t xml:space="preserve">2. Dataset Description</w:t>
      </w:r>
    </w:p>
    <w:p>
      <w:pPr>
        <w:pStyle w:val="Heading2"/>
      </w:pPr>
      <w:r>
        <w:t xml:space="preserve">2.1 Data Source</w:t>
      </w:r>
    </w:p>
    <w:p>
      <w:pPr>
        <w:spacing w:after="180"/>
      </w:pPr>
      <w:r>
        <w:t xml:space="preserve">The dataset comprises 51,290 e-commerce transaction records spanning multiple product categories, customer demographics, and geographical regions. Each record captures comprehensive transaction details including pricing, discounts, shipping costs, and payment methods.</w:t>
      </w:r>
    </w:p>
    <w:p>
      <w:pPr>
        <w:pStyle w:val="Heading2"/>
      </w:pPr>
      <w:r>
        <w:t xml:space="preserve">2.2 Data Structure</w:t>
      </w:r>
    </w:p>
    <w:p>
      <w:pPr>
        <w:spacing w:after="120"/>
      </w:pPr>
      <w:r>
        <w:rPr>
          <w:i/>
          <w:iCs/>
        </w:rPr>
        <w:t xml:space="preserve">The dataset contains the following key attributes: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500"/>
        <w:gridCol w:w="4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Category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Fields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Customer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Customer ID, Gender, Age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Unique identifiers and demographic attributes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Product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Category, Product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Product classification (Auto, Car Covers, etc.)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Transaction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Sales, Quantity, Discount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Revenue metrics (range: $33-$250)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Financial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Profit, Shipping Cost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Profitability (mean: $70.41) and logistics costs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Operational Data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Order Priority, Payment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Priority levels and payment methods (credit card)</w:t>
            </w:r>
          </w:p>
        </w:tc>
      </w:tr>
    </w:tbl>
    <w:p>
      <w:pPr>
        <w:spacing w:before="360" w:after="180"/>
      </w:pPr>
    </w:p>
    <w:p>
      <w:pPr>
        <w:pStyle w:val="Heading3"/>
      </w:pPr>
      <w:r>
        <w:t xml:space="preserve">Figure 1: Dataset Structure</w:t>
      </w:r>
    </w:p>
    <w:p>
      <w:pPr>
        <w:spacing w:after="120"/>
        <w:jc w:val="center"/>
      </w:pPr>
      <w:r>
        <w:drawing>
          <wp:inline distT="0" distB="0" distL="0" distR="0">
            <wp:extent cx="5715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R structure output showing 51,290 observations across 16 variables</w:t>
      </w:r>
    </w:p>
    <w:p>
      <w:pPr>
        <w:pStyle w:val="Heading3"/>
      </w:pPr>
      <w:r>
        <w:t xml:space="preserve">Figure 2: Summary Statistics</w:t>
      </w:r>
    </w:p>
    <w:p>
      <w:pPr>
        <w:spacing w:after="120"/>
        <w:jc w:val="center"/>
      </w:pPr>
      <w:r>
        <w:drawing>
          <wp:inline distT="0" distB="0" distL="0" distR="0">
            <wp:extent cx="5715000" cy="23812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Descriptive statistics revealing customer behavior ranges and distributions</w:t>
      </w:r>
    </w:p>
    <w:p>
      <w:r>
        <w:br w:type="page"/>
      </w:r>
    </w:p>
    <w:p>
      <w:pPr>
        <w:pStyle w:val="Heading1"/>
      </w:pPr>
      <w:r>
        <w:t xml:space="preserve">3. Data Cleaning &amp; Preparation (R)</w:t>
      </w:r>
    </w:p>
    <w:p>
      <w:pPr>
        <w:pStyle w:val="Heading2"/>
      </w:pPr>
      <w:r>
        <w:t xml:space="preserve">3.1 Data Quality Assessment</w:t>
      </w:r>
    </w:p>
    <w:p>
      <w:pPr>
        <w:spacing w:after="180"/>
      </w:pPr>
      <w:r>
        <w:t xml:space="preserve">Initial data quality checks identified missing values, duplicate records, and inconsistent formatting. The following preprocessing steps ensured data integrity for clustering analysis.</w:t>
      </w:r>
    </w:p>
    <w:p>
      <w:pPr>
        <w:pStyle w:val="Heading2"/>
      </w:pPr>
      <w:r>
        <w:t xml:space="preserve">3.2 Cleaning Operations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Missing Value Handling: Removed records with critical missing values using na.omit() function</w:t>
      </w:r>
    </w:p>
    <w:p>
      <w:pPr>
        <w:pStyle w:val="ListParagraph"/>
        <w:numPr>
          <w:ilvl w:val="0"/>
          <w:numId w:val="2"/>
        </w:numPr>
      </w:pPr>
      <w:r>
        <w:t xml:space="preserve">Duplicate Detection: Identified and removed duplicate transaction records based on unique identifiers</w:t>
      </w:r>
    </w:p>
    <w:p>
      <w:pPr>
        <w:pStyle w:val="ListParagraph"/>
        <w:numPr>
          <w:ilvl w:val="0"/>
          <w:numId w:val="2"/>
        </w:numPr>
      </w:pPr>
      <w:r>
        <w:t xml:space="preserve">Data Type Conversion: Standardized date formats (2018-01-02 to 2018-12-30) and ensured numeric fields</w:t>
      </w:r>
    </w:p>
    <w:p>
      <w:pPr>
        <w:pStyle w:val="ListParagraph"/>
        <w:numPr>
          <w:ilvl w:val="0"/>
          <w:numId w:val="2"/>
        </w:numPr>
      </w:pPr>
      <w:r>
        <w:t xml:space="preserve">Outlier Treatment: Investigated extreme values in sales ($250 max) and profit ($167.50 max)</w:t>
      </w:r>
    </w:p>
    <w:p>
      <w:pPr>
        <w:spacing w:before="360" w:after="180"/>
      </w:pPr>
    </w:p>
    <w:p>
      <w:pPr>
        <w:pStyle w:val="Heading2"/>
      </w:pPr>
      <w:r>
        <w:t xml:space="preserve">3.3 Feature Engineering</w:t>
      </w:r>
    </w:p>
    <w:p>
      <w:pPr>
        <w:spacing w:after="120"/>
      </w:pPr>
      <w:r>
        <w:rPr>
          <w:i/>
          <w:iCs/>
        </w:rPr>
        <w:t xml:space="preserve">Created derived features to capture customer behavior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Feature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5B9BD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  <w:color w:val="FFFFFF"/>
              </w:rPr>
              <w:t xml:space="preserve">Calculation Method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Total_Spending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Sales × Quantity per transaction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Total_Orders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Count of unique orders per customer (aggregated by Customer_ID)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Total_Revenue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Sum of all sales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Avg_Discount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Mean discount percentage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Avg_Profit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Mean profit per transaction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Avg_Shipping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Mean shipping cost per customer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b/>
                <w:bCs/>
              </w:rPr>
              <w:t xml:space="preserve">Recency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t xml:space="preserve">Days since last purchase from dataset end date (lower = more recent)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4. K-Means Clustering Model (Python)</w:t>
      </w:r>
    </w:p>
    <w:p>
      <w:pPr>
        <w:pStyle w:val="Heading2"/>
      </w:pPr>
      <w:r>
        <w:t xml:space="preserve">4.1 Feature Standardization</w:t>
      </w:r>
    </w:p>
    <w:p>
      <w:pPr>
        <w:spacing w:after="180"/>
      </w:pPr>
      <w:r>
        <w:t xml:space="preserve">Before applying K-Means clustering, all features were standardized using StandardScaler from scikit-learn. Standardization ensures that features with larger scales (such as Total_Revenue ranging from hundreds to thousands) do not dominate the distance calculations compared to features with smaller scales (such as average discount ranging from 0 to 0.5). Each feature was transformed to have mean = 0 and standard deviation = 1.</w:t>
      </w:r>
    </w:p>
    <w:p>
      <w:pPr>
        <w:pStyle w:val="Heading2"/>
      </w:pPr>
      <w:r>
        <w:t xml:space="preserve">4.2 Optimal Cluster Determination</w:t>
      </w:r>
    </w:p>
    <w:p>
      <w:pPr>
        <w:spacing w:after="180"/>
      </w:pPr>
      <w:r>
        <w:t xml:space="preserve">The Elbow Method was employed to identify the optimal number of clusters (k). This technique plots the within-cluster sum of squares (WCSS) against different values of k. The optimal k is identified at the 'elbow point' where adding more clusters provides diminishing returns in terms of variance reduction.</w:t>
      </w:r>
    </w:p>
    <w:p>
      <w:pPr>
        <w:pStyle w:val="Heading3"/>
      </w:pPr>
      <w:r>
        <w:t xml:space="preserve">Figure 3: Elbow Method Analysis</w:t>
      </w:r>
    </w:p>
    <w:p>
      <w:pPr>
        <w:spacing w:after="120"/>
        <w:jc w:val="center"/>
      </w:pPr>
      <w:r>
        <w:drawing>
          <wp:inline distT="0" distB="0" distL="0" distR="0">
            <wp:extent cx="4572000" cy="3333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WCSS vs number of clusters showing optimal k=3 at the elbow point</w:t>
      </w:r>
    </w:p>
    <w:p>
      <w:pPr>
        <w:spacing w:after="180"/>
      </w:pPr>
      <w:r>
        <w:t xml:space="preserve">Analysis of the elbow curve revealed that k = 3 provides the optimal balance between model complexity and cluster compactness. The curve shows a sharp decline from k=1 to k=3, with diminishing improvements beyond k=3, confirming three as the ideal number of segments.</w:t>
      </w:r>
    </w:p>
    <w:p>
      <w:pPr>
        <w:pStyle w:val="Heading2"/>
      </w:pPr>
      <w:r>
        <w:t xml:space="preserve">4.3 Model Implementation</w:t>
      </w:r>
    </w:p>
    <w:p>
      <w:pPr>
        <w:spacing w:after="120"/>
      </w:pPr>
      <w:r>
        <w:rPr>
          <w:i/>
          <w:iCs/>
        </w:rPr>
        <w:t xml:space="preserve">K-Means algorithm was implemented with the following parameters:</w:t>
      </w:r>
    </w:p>
    <w:p>
      <w:pPr>
        <w:pStyle w:val="ListParagraph"/>
        <w:numPr>
          <w:ilvl w:val="0"/>
          <w:numId w:val="2"/>
        </w:numPr>
      </w:pPr>
      <w:r>
        <w:t xml:space="preserve">Number of clusters: 3</w:t>
      </w:r>
    </w:p>
    <w:p>
      <w:pPr>
        <w:pStyle w:val="ListParagraph"/>
        <w:numPr>
          <w:ilvl w:val="0"/>
          <w:numId w:val="2"/>
        </w:numPr>
      </w:pPr>
      <w:r>
        <w:t xml:space="preserve">Initialization method: k-means++ (for optimal centroid initialization)</w:t>
      </w:r>
    </w:p>
    <w:p>
      <w:pPr>
        <w:pStyle w:val="ListParagraph"/>
        <w:numPr>
          <w:ilvl w:val="0"/>
          <w:numId w:val="2"/>
        </w:numPr>
      </w:pPr>
      <w:r>
        <w:t xml:space="preserve">Maximum iterations: 300</w:t>
      </w:r>
    </w:p>
    <w:p>
      <w:pPr>
        <w:pStyle w:val="ListParagraph"/>
        <w:numPr>
          <w:ilvl w:val="0"/>
          <w:numId w:val="2"/>
        </w:numPr>
      </w:pPr>
      <w:r>
        <w:t xml:space="preserve">Random state: 42 (for reproducibility)</w:t>
      </w:r>
    </w:p>
    <w:p>
      <w:pPr>
        <w:spacing w:before="360" w:after="180"/>
      </w:pPr>
    </w:p>
    <w:p>
      <w:pPr>
        <w:pStyle w:val="Heading3"/>
      </w:pPr>
      <w:r>
        <w:t xml:space="preserve">Figure 4: Cluster Distribution</w:t>
      </w:r>
    </w:p>
    <w:p>
      <w:pPr>
        <w:spacing w:after="120"/>
        <w:jc w:val="center"/>
      </w:pPr>
      <w:r>
        <w:drawing>
          <wp:inline distT="0" distB="0" distL="0" distR="0">
            <wp:extent cx="4286250" cy="14287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1428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Customer distribution across three identified clusters</w:t>
      </w:r>
    </w:p>
    <w:p>
      <w:pPr>
        <w:spacing w:after="180"/>
      </w:pPr>
      <w:r>
        <w:t xml:space="preserve">Cluster distribution: Cluster 1 (High-Value Active) = 17,984 customers, Cluster 2 (High Profit Potential) = 13,955 customers, Cluster 0 (Low-Value Dormant) = 7,051 customers.</w:t>
      </w:r>
    </w:p>
    <w:p>
      <w:r>
        <w:br w:type="page"/>
      </w:r>
    </w:p>
    <w:p>
      <w:pPr>
        <w:pStyle w:val="Heading1"/>
      </w:pPr>
      <w:r>
        <w:t xml:space="preserve">5. Cluster Insights &amp; Business Interpretation</w:t>
      </w:r>
    </w:p>
    <w:p>
      <w:pPr>
        <w:pStyle w:val="Heading2"/>
      </w:pPr>
      <w:r>
        <w:t xml:space="preserve">5.1 Cluster Profiles</w:t>
      </w:r>
    </w:p>
    <w:p>
      <w:pPr>
        <w:spacing w:after="180"/>
      </w:pPr>
      <w:r>
        <w:t xml:space="preserve">Three distinct customer segments emerged from the clustering analysis, each with unique behavioral characteristics and strategic implications.</w:t>
      </w:r>
    </w:p>
    <w:p>
      <w:pPr>
        <w:pStyle w:val="Heading3"/>
      </w:pPr>
      <w:r>
        <w:t xml:space="preserve">Cluster 1: High-Value Active Customers (17,984 customers)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Highest revenue contribution: Generates majority of total revenue with highest average total revenue per customer</w:t>
      </w:r>
    </w:p>
    <w:p>
      <w:pPr>
        <w:pStyle w:val="ListParagraph"/>
        <w:numPr>
          <w:ilvl w:val="0"/>
          <w:numId w:val="2"/>
        </w:numPr>
      </w:pPr>
      <w:r>
        <w:t xml:space="preserve">Frequent purchasers: Highest average order count (2.4 orders) compared to other clusters</w:t>
      </w:r>
    </w:p>
    <w:p>
      <w:pPr>
        <w:pStyle w:val="ListParagraph"/>
        <w:numPr>
          <w:ilvl w:val="0"/>
          <w:numId w:val="2"/>
        </w:numPr>
      </w:pPr>
      <w:r>
        <w:t xml:space="preserve">Low recency scores: Most recently active with average recency around 90 days</w:t>
      </w:r>
    </w:p>
    <w:p>
      <w:pPr>
        <w:pStyle w:val="ListParagraph"/>
        <w:numPr>
          <w:ilvl w:val="0"/>
          <w:numId w:val="2"/>
        </w:numPr>
      </w:pPr>
      <w:r>
        <w:t xml:space="preserve">Strategic importance: Critical for maintaining revenue stability and growth trajectory</w:t>
      </w:r>
    </w:p>
    <w:p>
      <w:pPr>
        <w:spacing w:after="240"/>
      </w:pPr>
      <w:r>
        <w:rPr>
          <w:i/>
          <w:iCs/>
        </w:rPr>
        <w:t xml:space="preserve">Business Recommendation: Implement VIP loyalty programs with tiered benefits, priority customer service channels, exclusive early access to new products, personalized communication strategies, and dedicated account management.</w:t>
      </w:r>
    </w:p>
    <w:p>
      <w:pPr>
        <w:pStyle w:val="Heading3"/>
      </w:pPr>
      <w:r>
        <w:t xml:space="preserve">Cluster 2: High Profit Potential (13,955 customers)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Moderate revenue: Balanced purchasing behavior with consistent mid-level transactions</w:t>
      </w:r>
    </w:p>
    <w:p>
      <w:pPr>
        <w:pStyle w:val="ListParagraph"/>
        <w:numPr>
          <w:ilvl w:val="0"/>
          <w:numId w:val="2"/>
        </w:numPr>
      </w:pPr>
      <w:r>
        <w:t xml:space="preserve">Strong profitability: Highest profit margins per transaction due to lower discount sensitivity</w:t>
      </w:r>
    </w:p>
    <w:p>
      <w:pPr>
        <w:pStyle w:val="ListParagraph"/>
        <w:numPr>
          <w:ilvl w:val="0"/>
          <w:numId w:val="2"/>
        </w:numPr>
      </w:pPr>
      <w:r>
        <w:t xml:space="preserve">Growth potential: Highly responsive to targeted marketing campaigns and personalization</w:t>
      </w:r>
    </w:p>
    <w:p>
      <w:pPr>
        <w:pStyle w:val="ListParagraph"/>
        <w:numPr>
          <w:ilvl w:val="0"/>
          <w:numId w:val="2"/>
        </w:numPr>
      </w:pPr>
      <w:r>
        <w:t xml:space="preserve">Opportunity segment: Can be upgraded to Cluster 1 status with appropriate engagement strategies</w:t>
      </w:r>
    </w:p>
    <w:p>
      <w:pPr>
        <w:spacing w:after="240"/>
      </w:pPr>
      <w:r>
        <w:rPr>
          <w:i/>
          <w:iCs/>
        </w:rPr>
        <w:t xml:space="preserve">Business Recommendation: Deploy targeted email campaigns with AI-powered product recommendations, create strategic bundle offers to increase basket size, test limited-time promotions, implement abandoned cart recovery automation, and develop loyalty point accumulation systems.</w:t>
      </w:r>
    </w:p>
    <w:p>
      <w:pPr>
        <w:pStyle w:val="Heading3"/>
      </w:pPr>
      <w:r>
        <w:t xml:space="preserve">Cluster 0: Low-Value Dormant Customers (7,051 customers)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Lowest revenue: Minimal contribution to overall sales with smallest average transaction sizes</w:t>
      </w:r>
    </w:p>
    <w:p>
      <w:pPr>
        <w:pStyle w:val="ListParagraph"/>
        <w:numPr>
          <w:ilvl w:val="0"/>
          <w:numId w:val="2"/>
        </w:numPr>
      </w:pPr>
      <w:r>
        <w:t xml:space="preserve">High recency scores: Extended period of inactivity (average 160+ days since last purchase)</w:t>
      </w:r>
    </w:p>
    <w:p>
      <w:pPr>
        <w:pStyle w:val="ListParagraph"/>
        <w:numPr>
          <w:ilvl w:val="0"/>
          <w:numId w:val="2"/>
        </w:numPr>
      </w:pPr>
      <w:r>
        <w:t xml:space="preserve">Churn risk: Highest probability of permanent customer loss without intervention</w:t>
      </w:r>
    </w:p>
    <w:p>
      <w:pPr>
        <w:pStyle w:val="ListParagraph"/>
        <w:numPr>
          <w:ilvl w:val="0"/>
          <w:numId w:val="2"/>
        </w:numPr>
      </w:pPr>
      <w:r>
        <w:t xml:space="preserve">Recovery opportunity: Represents significant untapped potential if successfully reactivated</w:t>
      </w:r>
    </w:p>
    <w:p>
      <w:pPr>
        <w:spacing w:after="240"/>
      </w:pPr>
      <w:r>
        <w:rPr>
          <w:i/>
          <w:iCs/>
        </w:rPr>
        <w:t xml:space="preserve">Business Recommendation: Implement aggressive win-back campaigns with deep discount incentives (20-30% off), deploy multi-channel remarketing (email, social media, display ads), conduct customer feedback surveys to identify churn drivers, test new product categories for renewed interest, and consider cost-effective sunset strategies for permanently disengaged customers.</w:t>
      </w:r>
    </w:p>
    <w:p>
      <w:pPr>
        <w:spacing w:before="360" w:after="180"/>
      </w:pPr>
    </w:p>
    <w:p>
      <w:pPr>
        <w:pStyle w:val="Heading2"/>
      </w:pPr>
      <w:r>
        <w:t xml:space="preserve">5.2 Cluster Comparison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Metric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Cluster 1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Cluster 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8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Cluster 0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Customer Count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17,984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13,955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7,051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Revenue Level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Highest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Moderate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Lowest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Avg Orders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~2.4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~1.2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~0.8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Recency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~90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~125 days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~165 days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Profitability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Very High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C7CE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Low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rPr>
                <w:b/>
                <w:bCs/>
              </w:rPr>
              <w:t xml:space="preserve">Strategy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Retain &amp; Reward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Upgrade &amp; Upsell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120"/>
              <w:left w:type="dxa" w:w="120"/>
              <w:bottom w:type="dxa" w:w="120"/>
              <w:right w:type="dxa" w:w="120"/>
            </w:tcMar>
          </w:tcPr>
          <w:p>
            <w:r>
              <w:t xml:space="preserve">Re-engage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6. Interactive Dashboard (Tableau)</w:t>
      </w:r>
    </w:p>
    <w:p>
      <w:pPr>
        <w:pStyle w:val="Heading2"/>
      </w:pPr>
      <w:r>
        <w:t xml:space="preserve">6.1 Dashboard Overview</w:t>
      </w:r>
    </w:p>
    <w:p>
      <w:pPr>
        <w:spacing w:after="180"/>
      </w:pPr>
      <w:r>
        <w:t xml:space="preserve">An interactive Tableau dashboard was developed to enable real-time monitoring of customer segments and facilitate data-driven decision-making. The dashboard integrates multiple coordinated visualizations to provide comprehensive insights into segment performance.</w:t>
      </w:r>
    </w:p>
    <w:p>
      <w:pPr>
        <w:pStyle w:val="Heading2"/>
      </w:pPr>
      <w:r>
        <w:t xml:space="preserve">6.2 Dashboard Components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Revenue by Segment: Horizontal bar chart clearly showing High-Value Active generating ~1100 avg total revenue</w:t>
      </w:r>
    </w:p>
    <w:p>
      <w:pPr>
        <w:pStyle w:val="ListParagraph"/>
        <w:numPr>
          <w:ilvl w:val="0"/>
          <w:numId w:val="2"/>
        </w:numPr>
      </w:pPr>
      <w:r>
        <w:t xml:space="preserve">Orders by Segment: Comparative analysis revealing High-Value Active with highest order frequency (~2.4 orders)</w:t>
      </w:r>
    </w:p>
    <w:p>
      <w:pPr>
        <w:pStyle w:val="ListParagraph"/>
        <w:numPr>
          <w:ilvl w:val="0"/>
          <w:numId w:val="2"/>
        </w:numPr>
      </w:pPr>
      <w:r>
        <w:t xml:space="preserve">Recency by Segment: Visual representation showing activity gradients from ~90 days (active) to ~165 days (dormant)</w:t>
      </w:r>
    </w:p>
    <w:p>
      <w:pPr>
        <w:pStyle w:val="ListParagraph"/>
        <w:numPr>
          <w:ilvl w:val="0"/>
          <w:numId w:val="2"/>
        </w:numPr>
      </w:pPr>
      <w:r>
        <w:t xml:space="preserve">Customer Distribution: Bar chart illustrating segment sizes (High Profit: 14K, High Value: 18K, Dormant: 7K)</w:t>
      </w:r>
    </w:p>
    <w:p>
      <w:pPr>
        <w:pStyle w:val="ListParagraph"/>
        <w:numPr>
          <w:ilvl w:val="0"/>
          <w:numId w:val="2"/>
        </w:numPr>
      </w:pPr>
      <w:r>
        <w:t xml:space="preserve">Interactive Filters: Dynamic segment selection enabling drill-down analysis and cross-filtering</w:t>
      </w:r>
    </w:p>
    <w:p>
      <w:pPr>
        <w:spacing w:before="360" w:after="180"/>
      </w:pPr>
    </w:p>
    <w:p>
      <w:pPr>
        <w:pStyle w:val="Heading3"/>
      </w:pPr>
      <w:r>
        <w:t xml:space="preserve">Figure 5: Complete Tableau Dashboard</w:t>
      </w:r>
    </w:p>
    <w:p>
      <w:pPr>
        <w:spacing w:after="120"/>
        <w:jc w:val="center"/>
      </w:pPr>
      <w:r>
        <w:drawing>
          <wp:inline distT="0" distB="0" distL="0" distR="0">
            <wp:extent cx="6191250" cy="476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91250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/>
        <w:jc w:val="center"/>
      </w:pPr>
      <w:r>
        <w:rPr>
          <w:i/>
          <w:iCs/>
          <w:sz w:val="20"/>
          <w:szCs w:val="20"/>
        </w:rPr>
        <w:t xml:space="preserve">Interactive dashboard showing revenue, orders, recency, and customer distribution by segment</w:t>
      </w:r>
    </w:p>
    <w:p>
      <w:pPr>
        <w:pStyle w:val="Heading2"/>
      </w:pPr>
      <w:r>
        <w:t xml:space="preserve">6.3 Key Dashboard Insights</w:t>
      </w:r>
    </w:p>
    <w:p>
      <w:pPr>
        <w:pStyle w:val="ListParagraph"/>
        <w:numPr>
          <w:ilvl w:val="0"/>
          <w:numId w:val="2"/>
        </w:numPr>
      </w:pPr>
      <w:r>
        <w:t xml:space="preserve">Revenue concentration is dramatically skewed: High-Value Active (orange) generates ~5x the revenue of Low-Value Dormant</w:t>
      </w:r>
    </w:p>
    <w:p>
      <w:pPr>
        <w:pStyle w:val="ListParagraph"/>
        <w:numPr>
          <w:ilvl w:val="0"/>
          <w:numId w:val="2"/>
        </w:numPr>
      </w:pPr>
      <w:r>
        <w:t xml:space="preserve">Order frequency directly correlates with segment classification: 2.4 orders (High-Value) vs 0.8 orders (Dormant)</w:t>
      </w:r>
    </w:p>
    <w:p>
      <w:pPr>
        <w:pStyle w:val="ListParagraph"/>
        <w:numPr>
          <w:ilvl w:val="0"/>
          <w:numId w:val="2"/>
        </w:numPr>
      </w:pPr>
      <w:r>
        <w:t xml:space="preserve">Clear recency gradient validates clustering: 90 → 125 → 165 days progression across segments</w:t>
      </w:r>
    </w:p>
    <w:p>
      <w:pPr>
        <w:pStyle w:val="ListParagraph"/>
        <w:numPr>
          <w:ilvl w:val="0"/>
          <w:numId w:val="2"/>
        </w:numPr>
      </w:pPr>
      <w:r>
        <w:t xml:space="preserve">Customer distribution reveals opportunity: 18K high-value + 14K potential vs only 7K dormant</w:t>
      </w:r>
    </w:p>
    <w:p>
      <w:r>
        <w:br w:type="page"/>
      </w:r>
    </w:p>
    <w:p>
      <w:pPr>
        <w:pStyle w:val="Heading1"/>
      </w:pPr>
      <w:r>
        <w:t xml:space="preserve">7. Conclusions &amp; Strategic Implications</w:t>
      </w:r>
    </w:p>
    <w:p>
      <w:pPr>
        <w:pStyle w:val="Heading2"/>
      </w:pPr>
      <w:r>
        <w:t xml:space="preserve">7.1 Summary of Findings</w:t>
      </w:r>
    </w:p>
    <w:p>
      <w:pPr>
        <w:spacing w:after="180"/>
      </w:pPr>
      <w:r>
        <w:t xml:space="preserve">The customer segmentation analysis successfully identified three behaviorally distinct clusters within the e-commerce customer base of 38,990 unique customers. The segmentation reveals a classic power law distribution where a minority of high-value customers (Cluster 1: 46% of customers) generates disproportionate revenue, while a significant dormant segment (Cluster 0: 18%) presents both a challenge and an opportunity for growth.</w:t>
      </w:r>
    </w:p>
    <w:p>
      <w:pPr>
        <w:spacing w:after="180"/>
      </w:pPr>
      <w:r>
        <w:t xml:space="preserve">The clustering results demonstrate strong business validity: segments exhibit clear differentiation across all key metrics (revenue, frequency, recency, profitability), and each cluster maps to intuitive customer archetypes recognizable to marketing and sales teams.</w:t>
      </w:r>
    </w:p>
    <w:p>
      <w:pPr>
        <w:pStyle w:val="Heading2"/>
      </w:pPr>
      <w:r>
        <w:t xml:space="preserve">7.2 Business Impact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Resource Allocation: Marketing budget can now be allocated proportionally—60% to Cluster 1 retention, 30% to Cluster 2 growth, 10% to Cluster 0 recovery</w:t>
      </w:r>
    </w:p>
    <w:p>
      <w:pPr>
        <w:pStyle w:val="ListParagraph"/>
        <w:numPr>
          <w:ilvl w:val="0"/>
          <w:numId w:val="2"/>
        </w:numPr>
      </w:pPr>
      <w:r>
        <w:t xml:space="preserve">Personalization: Communication strategies can be tailored—premium content for Cluster 1, promotional offers for Cluster 2, win-back campaigns for Cluster 0</w:t>
      </w:r>
    </w:p>
    <w:p>
      <w:pPr>
        <w:pStyle w:val="ListParagraph"/>
        <w:numPr>
          <w:ilvl w:val="0"/>
          <w:numId w:val="2"/>
        </w:numPr>
      </w:pPr>
      <w:r>
        <w:t xml:space="preserve">Risk Management: Early identification of customers transitioning toward dormancy (recency &gt;120 days) enables proactive intervention</w:t>
      </w:r>
    </w:p>
    <w:p>
      <w:pPr>
        <w:pStyle w:val="ListParagraph"/>
        <w:numPr>
          <w:ilvl w:val="0"/>
          <w:numId w:val="2"/>
        </w:numPr>
      </w:pPr>
      <w:r>
        <w:t xml:space="preserve">Revenue Forecasting: Segment-level projections improve accuracy—Cluster 1 stable growth, Cluster 2 high elasticity, Cluster 0 declining trajectory</w:t>
      </w:r>
    </w:p>
    <w:p>
      <w:pPr>
        <w:spacing w:before="360"/>
      </w:pPr>
    </w:p>
    <w:p>
      <w:pPr>
        <w:pStyle w:val="Heading2"/>
      </w:pPr>
      <w:r>
        <w:t xml:space="preserve">7.3 Recommended Next Steps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Immediate Implementation: Deploy segment-specific campaigns within 2 weeks</w:t>
      </w:r>
    </w:p>
    <w:p>
      <w:pPr>
        <w:pStyle w:val="ListParagraph"/>
        <w:numPr>
          <w:ilvl w:val="0"/>
          <w:numId w:val="3"/>
        </w:numPr>
      </w:pPr>
      <w:r>
        <w:t xml:space="preserve">A/B Testing: Test different messaging strategies within each segment to optimize conversion</w:t>
      </w:r>
    </w:p>
    <w:p>
      <w:pPr>
        <w:pStyle w:val="ListParagraph"/>
        <w:numPr>
          <w:ilvl w:val="0"/>
          <w:numId w:val="3"/>
        </w:numPr>
      </w:pPr>
      <w:r>
        <w:t xml:space="preserve">Predictive Modeling: Develop churn prediction model to forecast segment transitions</w:t>
      </w:r>
    </w:p>
    <w:p>
      <w:pPr>
        <w:pStyle w:val="ListParagraph"/>
        <w:numPr>
          <w:ilvl w:val="0"/>
          <w:numId w:val="3"/>
        </w:numPr>
      </w:pPr>
      <w:r>
        <w:t xml:space="preserve">Customer Lifetime Value: Calculate CLV by segment for ROI analysis on retention vs acquisition</w:t>
      </w:r>
    </w:p>
    <w:p>
      <w:pPr>
        <w:pStyle w:val="ListParagraph"/>
        <w:numPr>
          <w:ilvl w:val="0"/>
          <w:numId w:val="3"/>
        </w:numPr>
      </w:pPr>
      <w:r>
        <w:t xml:space="preserve">Quarterly Re-clustering: Update segments every 90 days to capture evolving behaviors</w:t>
      </w:r>
    </w:p>
    <w:p>
      <w:pPr>
        <w:spacing w:before="480"/>
      </w:pPr>
    </w:p>
    <w:p>
      <w:pPr>
        <w:pStyle w:val="Heading2"/>
      </w:pPr>
      <w:r>
        <w:t xml:space="preserve">7.4 Success Metrics</w:t>
      </w:r>
    </w:p>
    <w:p>
      <w:pPr>
        <w:spacing w:after="120"/>
      </w:pPr>
      <w:r>
        <w:rPr>
          <w:i/>
          <w:iCs/>
        </w:rPr>
        <w:t xml:space="preserve">Track these KPIs to measure segmentation impact:</w:t>
      </w:r>
    </w:p>
    <w:p>
      <w:pPr>
        <w:pStyle w:val="ListParagraph"/>
        <w:numPr>
          <w:ilvl w:val="0"/>
          <w:numId w:val="2"/>
        </w:numPr>
      </w:pPr>
      <w:r>
        <w:t xml:space="preserve">Cluster 1: Retention rate &gt;90%, churn rate &lt;5% quarterly</w:t>
      </w:r>
    </w:p>
    <w:p>
      <w:pPr>
        <w:pStyle w:val="ListParagraph"/>
        <w:numPr>
          <w:ilvl w:val="0"/>
          <w:numId w:val="2"/>
        </w:numPr>
      </w:pPr>
      <w:r>
        <w:t xml:space="preserve">Cluster 2: Order frequency increase of 20%, average order value growth of 15%</w:t>
      </w:r>
    </w:p>
    <w:p>
      <w:pPr>
        <w:pStyle w:val="ListParagraph"/>
        <w:numPr>
          <w:ilvl w:val="0"/>
          <w:numId w:val="2"/>
        </w:numPr>
      </w:pPr>
      <w:r>
        <w:t xml:space="preserve">Cluster 0: Reactivation rate of 10-15%, migration to Cluster 2 of 5%</w:t>
      </w:r>
    </w:p>
    <w:p>
      <w:pPr>
        <w:pStyle w:val="ListParagraph"/>
        <w:numPr>
          <w:ilvl w:val="0"/>
          <w:numId w:val="2"/>
        </w:numPr>
      </w:pPr>
      <w:r>
        <w:t xml:space="preserve">Overall: Customer lifetime value increase of 25% over 12 months</w:t>
      </w:r>
    </w:p>
    <w:p>
      <w:pPr>
        <w:spacing w:before="480"/>
      </w:pPr>
    </w:p>
    <w:p>
      <w:pPr>
        <w:spacing w:after="180"/>
      </w:pPr>
      <w:r>
        <w:rPr>
          <w:b/>
          <w:bCs/>
        </w:rPr>
        <w:t xml:space="preserve">This customer segmentation project demonstrates the power of data-driven approaches to understanding customer behavior. By transforming 51,290 raw transactions into actionable three-segment framework, the organization can now implement targeted strategies that maximize customer lifetime value while optimizing marketing spend efficiently.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40"/>
      <w:outlineLvl w:val="0"/>
    </w:pPr>
    <w:rPr>
      <w:rFonts w:ascii="Arial" w:cs="Arial" w:eastAsia="Arial" w:hAnsi="Arial"/>
      <w:b/>
      <w:bCs/>
      <w:color w:val="1F4E78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8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5B9BD5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image" Target="media/8bf5ef8a28f793850cbe952bab9cd34b687c9c4a.png"/><Relationship Id="rId7" Type="http://schemas.openxmlformats.org/officeDocument/2006/relationships/image" Target="media/a15b280c2b8c0c2f6b396074942b11f8abe16714.png"/><Relationship Id="rId8" Type="http://schemas.openxmlformats.org/officeDocument/2006/relationships/image" Target="media/6d2ade5d1630000bb9bf59c5e39479e9cd2d42d3.png"/><Relationship Id="rId9" Type="http://schemas.openxmlformats.org/officeDocument/2006/relationships/image" Target="media/cd1e62fdcc5516dce83e04e0124d5b59b21c8118.png"/><Relationship Id="rId10" Type="http://schemas.openxmlformats.org/officeDocument/2006/relationships/image" Target="media/2f0e01dab559d9699249ac27b833cf59379fa21c.png"/><Relationship Id="rId11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2026-02-22T17:04:11.643Z</dcterms:created>
  <dcterms:modified xsi:type="dcterms:W3CDTF">2026-02-22T17:04:11.643Z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