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EE65" w14:textId="77777777" w:rsidR="00116A7E" w:rsidRDefault="006B64F0">
      <w:pPr>
        <w:spacing w:after="0" w:line="259" w:lineRule="auto"/>
        <w:ind w:left="0" w:firstLine="0"/>
        <w:jc w:val="center"/>
      </w:pPr>
      <w:r>
        <w:rPr>
          <w:rFonts w:ascii="Calibri" w:eastAsia="Calibri" w:hAnsi="Calibri" w:cs="Calibri"/>
          <w:sz w:val="50"/>
        </w:rPr>
        <w:t>Kishan Tripathi</w:t>
      </w:r>
    </w:p>
    <w:p w14:paraId="5DE782A3" w14:textId="77777777" w:rsidR="00116A7E" w:rsidRDefault="006B64F0">
      <w:pPr>
        <w:spacing w:after="23" w:line="259" w:lineRule="auto"/>
        <w:ind w:left="0" w:firstLine="0"/>
        <w:jc w:val="center"/>
      </w:pPr>
      <w:r>
        <w:rPr>
          <w:sz w:val="22"/>
        </w:rPr>
        <w:t>C-91, Xu-2, Greater Noida, Uttar Pradesh</w:t>
      </w:r>
    </w:p>
    <w:p w14:paraId="158BA147" w14:textId="77777777" w:rsidR="00116A7E" w:rsidRDefault="006B64F0">
      <w:pPr>
        <w:spacing w:after="0" w:line="259" w:lineRule="auto"/>
        <w:ind w:left="113" w:right="114" w:hanging="10"/>
        <w:jc w:val="center"/>
      </w:pPr>
      <w:r>
        <w:rPr>
          <w:rFonts w:ascii="Calibri" w:eastAsia="Calibri" w:hAnsi="Calibri" w:cs="Calibri"/>
        </w:rPr>
        <w:t></w:t>
      </w:r>
      <w:r>
        <w:rPr>
          <w:rFonts w:ascii="Calibri" w:eastAsia="Calibri" w:hAnsi="Calibri" w:cs="Calibri"/>
        </w:rPr>
        <w:t xml:space="preserve"> </w:t>
      </w:r>
      <w:r>
        <w:t xml:space="preserve">7897410061 </w:t>
      </w:r>
      <w:r>
        <w:rPr>
          <w:rFonts w:ascii="Calibri" w:eastAsia="Calibri" w:hAnsi="Calibri" w:cs="Calibri"/>
        </w:rPr>
        <w:t xml:space="preserve"># </w:t>
      </w:r>
      <w:r>
        <w:t xml:space="preserve">kishantripathi888@gmail.com </w:t>
      </w:r>
      <w:hyperlink r:id="rId5">
        <w:r>
          <w:rPr>
            <w:rFonts w:ascii="Calibri" w:eastAsia="Calibri" w:hAnsi="Calibri" w:cs="Calibri"/>
            <w:sz w:val="31"/>
            <w:vertAlign w:val="subscript"/>
          </w:rPr>
          <w:t>ï</w:t>
        </w:r>
      </w:hyperlink>
      <w:r>
        <w:rPr>
          <w:rFonts w:ascii="Calibri" w:eastAsia="Calibri" w:hAnsi="Calibri" w:cs="Calibri"/>
          <w:sz w:val="31"/>
          <w:vertAlign w:val="subscript"/>
        </w:rPr>
        <w:t xml:space="preserve"> </w:t>
      </w:r>
      <w:hyperlink r:id="rId6">
        <w:r>
          <w:t>linkedin.com/in/kishan-tripathi-280a49200/</w:t>
        </w:r>
      </w:hyperlink>
      <w:r>
        <w:t xml:space="preserve"> </w:t>
      </w:r>
      <w:hyperlink r:id="rId7">
        <w:r>
          <w:rPr>
            <w:rFonts w:ascii="Calibri" w:eastAsia="Calibri" w:hAnsi="Calibri" w:cs="Calibri"/>
            <w:sz w:val="31"/>
            <w:vertAlign w:val="subscript"/>
          </w:rPr>
          <w:t>§</w:t>
        </w:r>
      </w:hyperlink>
    </w:p>
    <w:p w14:paraId="28B6D026" w14:textId="77777777" w:rsidR="00116A7E" w:rsidRDefault="006B64F0">
      <w:pPr>
        <w:spacing w:after="119" w:line="259" w:lineRule="auto"/>
        <w:ind w:left="0" w:right="0" w:firstLine="0"/>
      </w:pPr>
      <w:r>
        <w:rPr>
          <w:rFonts w:ascii="Calibri" w:eastAsia="Calibri" w:hAnsi="Calibri" w:cs="Calibri"/>
          <w:noProof/>
          <w:sz w:val="22"/>
        </w:rPr>
        <mc:AlternateContent>
          <mc:Choice Requires="wpg">
            <w:drawing>
              <wp:inline distT="0" distB="0" distL="0" distR="0" wp14:anchorId="02AF948D" wp14:editId="24E288F7">
                <wp:extent cx="7031736" cy="415722"/>
                <wp:effectExtent l="0" t="0" r="0" b="0"/>
                <wp:docPr id="2076" name="Group 2076"/>
                <wp:cNvGraphicFramePr/>
                <a:graphic xmlns:a="http://schemas.openxmlformats.org/drawingml/2006/main">
                  <a:graphicData uri="http://schemas.microsoft.com/office/word/2010/wordprocessingGroup">
                    <wpg:wgp>
                      <wpg:cNvGrpSpPr/>
                      <wpg:grpSpPr>
                        <a:xfrm>
                          <a:off x="0" y="0"/>
                          <a:ext cx="7031736" cy="415722"/>
                          <a:chOff x="0" y="0"/>
                          <a:chExt cx="7031736" cy="415722"/>
                        </a:xfrm>
                      </wpg:grpSpPr>
                      <wps:wsp>
                        <wps:cNvPr id="12" name="Shape 12"/>
                        <wps:cNvSpPr/>
                        <wps:spPr>
                          <a:xfrm>
                            <a:off x="1797317" y="0"/>
                            <a:ext cx="1624800" cy="0"/>
                          </a:xfrm>
                          <a:custGeom>
                            <a:avLst/>
                            <a:gdLst/>
                            <a:ahLst/>
                            <a:cxnLst/>
                            <a:rect l="0" t="0" r="0" b="0"/>
                            <a:pathLst>
                              <a:path w="1624800">
                                <a:moveTo>
                                  <a:pt x="0" y="0"/>
                                </a:moveTo>
                                <a:lnTo>
                                  <a:pt x="1624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3701530" y="7023"/>
                            <a:ext cx="2464791" cy="0"/>
                          </a:xfrm>
                          <a:custGeom>
                            <a:avLst/>
                            <a:gdLst/>
                            <a:ahLst/>
                            <a:cxnLst/>
                            <a:rect l="0" t="0" r="0" b="0"/>
                            <a:pathLst>
                              <a:path w="2464791">
                                <a:moveTo>
                                  <a:pt x="0" y="0"/>
                                </a:moveTo>
                                <a:lnTo>
                                  <a:pt x="246479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 name="Rectangle 109"/>
                        <wps:cNvSpPr/>
                        <wps:spPr>
                          <a:xfrm>
                            <a:off x="2779548" y="21703"/>
                            <a:ext cx="1818331" cy="149431"/>
                          </a:xfrm>
                          <a:prstGeom prst="rect">
                            <a:avLst/>
                          </a:prstGeom>
                          <a:ln>
                            <a:noFill/>
                          </a:ln>
                        </wps:spPr>
                        <wps:txbx>
                          <w:txbxContent>
                            <w:p w14:paraId="49291FD6" w14:textId="77777777" w:rsidR="00116A7E" w:rsidRDefault="006B64F0">
                              <w:pPr>
                                <w:spacing w:after="160" w:line="259" w:lineRule="auto"/>
                                <w:ind w:left="0" w:right="0" w:firstLine="0"/>
                              </w:pPr>
                              <w:hyperlink r:id="rId8">
                                <w:r>
                                  <w:t>github.com/KISHAN888</w:t>
                                </w:r>
                              </w:hyperlink>
                            </w:p>
                          </w:txbxContent>
                        </wps:txbx>
                        <wps:bodyPr horzOverflow="overflow" vert="horz" lIns="0" tIns="0" rIns="0" bIns="0" rtlCol="0">
                          <a:noAutofit/>
                        </wps:bodyPr>
                      </wps:wsp>
                      <wps:wsp>
                        <wps:cNvPr id="110" name="Rectangle 110"/>
                        <wps:cNvSpPr/>
                        <wps:spPr>
                          <a:xfrm>
                            <a:off x="4146714" y="21703"/>
                            <a:ext cx="84139" cy="149431"/>
                          </a:xfrm>
                          <a:prstGeom prst="rect">
                            <a:avLst/>
                          </a:prstGeom>
                          <a:ln>
                            <a:noFill/>
                          </a:ln>
                        </wps:spPr>
                        <wps:txbx>
                          <w:txbxContent>
                            <w:p w14:paraId="15B64275" w14:textId="77777777" w:rsidR="00116A7E" w:rsidRDefault="006B64F0">
                              <w:pPr>
                                <w:spacing w:after="160" w:line="259" w:lineRule="auto"/>
                                <w:ind w:left="0" w:right="0" w:firstLine="0"/>
                              </w:pPr>
                              <w:hyperlink r:id="rId9">
                                <w:r>
                                  <w:t>8</w:t>
                                </w:r>
                              </w:hyperlink>
                            </w:p>
                          </w:txbxContent>
                        </wps:txbx>
                        <wps:bodyPr horzOverflow="overflow" vert="horz" lIns="0" tIns="0" rIns="0" bIns="0" rtlCol="0">
                          <a:noAutofit/>
                        </wps:bodyPr>
                      </wps:wsp>
                      <wps:wsp>
                        <wps:cNvPr id="18" name="Shape 18"/>
                        <wps:cNvSpPr/>
                        <wps:spPr>
                          <a:xfrm>
                            <a:off x="2779548" y="158852"/>
                            <a:ext cx="1430439" cy="0"/>
                          </a:xfrm>
                          <a:custGeom>
                            <a:avLst/>
                            <a:gdLst/>
                            <a:ahLst/>
                            <a:cxnLst/>
                            <a:rect l="0" t="0" r="0" b="0"/>
                            <a:pathLst>
                              <a:path w="1430439">
                                <a:moveTo>
                                  <a:pt x="0" y="0"/>
                                </a:moveTo>
                                <a:lnTo>
                                  <a:pt x="143043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 name="Rectangle 19"/>
                        <wps:cNvSpPr/>
                        <wps:spPr>
                          <a:xfrm>
                            <a:off x="0" y="254674"/>
                            <a:ext cx="1004184" cy="179319"/>
                          </a:xfrm>
                          <a:prstGeom prst="rect">
                            <a:avLst/>
                          </a:prstGeom>
                          <a:ln>
                            <a:noFill/>
                          </a:ln>
                        </wps:spPr>
                        <wps:txbx>
                          <w:txbxContent>
                            <w:p w14:paraId="4A61F441" w14:textId="77777777" w:rsidR="00116A7E" w:rsidRDefault="006B64F0">
                              <w:pPr>
                                <w:spacing w:after="160" w:line="259" w:lineRule="auto"/>
                                <w:ind w:left="0" w:right="0" w:firstLine="0"/>
                              </w:pPr>
                              <w:r>
                                <w:rPr>
                                  <w:b/>
                                  <w:sz w:val="24"/>
                                </w:rPr>
                                <w:t>Education</w:t>
                              </w:r>
                            </w:p>
                          </w:txbxContent>
                        </wps:txbx>
                        <wps:bodyPr horzOverflow="overflow" vert="horz" lIns="0" tIns="0" rIns="0" bIns="0" rtlCol="0">
                          <a:noAutofit/>
                        </wps:bodyPr>
                      </wps:wsp>
                      <wps:wsp>
                        <wps:cNvPr id="20" name="Shape 20"/>
                        <wps:cNvSpPr/>
                        <wps:spPr>
                          <a:xfrm>
                            <a:off x="0" y="415722"/>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 style="width:553.68pt;height:32.734pt;mso-position-horizontal-relative:char;mso-position-vertical-relative:line" coordsize="70317,4157">
                <v:shape id="Shape 12" style="position:absolute;width:16248;height:0;left:17973;top:0;" coordsize="1624800,0" path="m0,0l1624800,0">
                  <v:stroke weight="0.398pt" endcap="flat" joinstyle="miter" miterlimit="10" on="true" color="#000000"/>
                  <v:fill on="false" color="#000000" opacity="0"/>
                </v:shape>
                <v:shape id="Shape 15" style="position:absolute;width:24647;height:0;left:37015;top:70;" coordsize="2464791,0" path="m0,0l2464791,0">
                  <v:stroke weight="0.398pt" endcap="flat" joinstyle="miter" miterlimit="10" on="true" color="#000000"/>
                  <v:fill on="false" color="#000000" opacity="0"/>
                </v:shape>
                <v:rect id="Rectangle 109" style="position:absolute;width:18183;height:1494;left:27795;top:217;" filled="f" stroked="f">
                  <v:textbox inset="0,0,0,0">
                    <w:txbxContent>
                      <w:p>
                        <w:pPr>
                          <w:spacing w:before="0" w:after="160" w:line="259" w:lineRule="auto"/>
                          <w:ind w:left="0" w:right="0" w:firstLine="0"/>
                        </w:pPr>
                        <w:hyperlink r:id="hyperlink106">
                          <w:r>
                            <w:rPr/>
                            <w:t xml:space="preserve">github.com/KISHAN888</w:t>
                          </w:r>
                        </w:hyperlink>
                      </w:p>
                    </w:txbxContent>
                  </v:textbox>
                </v:rect>
                <v:rect id="Rectangle 110" style="position:absolute;width:841;height:1494;left:41467;top:217;" filled="f" stroked="f">
                  <v:textbox inset="0,0,0,0">
                    <w:txbxContent>
                      <w:p>
                        <w:pPr>
                          <w:spacing w:before="0" w:after="160" w:line="259" w:lineRule="auto"/>
                          <w:ind w:left="0" w:right="0" w:firstLine="0"/>
                        </w:pPr>
                        <w:hyperlink r:id="hyperlink106">
                          <w:r>
                            <w:rPr/>
                            <w:t xml:space="preserve">8</w:t>
                          </w:r>
                        </w:hyperlink>
                      </w:p>
                    </w:txbxContent>
                  </v:textbox>
                </v:rect>
                <v:shape id="Shape 18" style="position:absolute;width:14304;height:0;left:27795;top:1588;" coordsize="1430439,0" path="m0,0l1430439,0">
                  <v:stroke weight="0.398pt" endcap="flat" joinstyle="miter" miterlimit="10" on="true" color="#000000"/>
                  <v:fill on="false" color="#000000" opacity="0"/>
                </v:shape>
                <v:rect id="Rectangle 19" style="position:absolute;width:10041;height:1793;left:0;top:2546;" filled="f" stroked="f">
                  <v:textbox inset="0,0,0,0">
                    <w:txbxContent>
                      <w:p>
                        <w:pPr>
                          <w:spacing w:before="0" w:after="160" w:line="259" w:lineRule="auto"/>
                          <w:ind w:left="0" w:right="0" w:firstLine="0"/>
                        </w:pPr>
                        <w:r>
                          <w:rPr>
                            <w:rFonts w:cs="Cambria" w:hAnsi="Cambria" w:eastAsia="Cambria" w:ascii="Cambria"/>
                            <w:b w:val="1"/>
                            <w:sz w:val="24"/>
                          </w:rPr>
                          <w:t xml:space="preserve">Education</w:t>
                        </w:r>
                      </w:p>
                    </w:txbxContent>
                  </v:textbox>
                </v:rect>
                <v:shape id="Shape 20" style="position:absolute;width:70317;height:0;left:0;top:4157;" coordsize="7031736,0" path="m0,0l7031736,0">
                  <v:stroke weight="0.398pt" endcap="flat" joinstyle="miter" miterlimit="10" on="true" color="#000000"/>
                  <v:fill on="false" color="#000000" opacity="0"/>
                </v:shape>
              </v:group>
            </w:pict>
          </mc:Fallback>
        </mc:AlternateContent>
      </w:r>
    </w:p>
    <w:tbl>
      <w:tblPr>
        <w:tblStyle w:val="TableGrid"/>
        <w:tblW w:w="11074" w:type="dxa"/>
        <w:tblInd w:w="0" w:type="dxa"/>
        <w:tblCellMar>
          <w:top w:w="0" w:type="dxa"/>
          <w:left w:w="0" w:type="dxa"/>
          <w:bottom w:w="0" w:type="dxa"/>
          <w:right w:w="0" w:type="dxa"/>
        </w:tblCellMar>
        <w:tblLook w:val="04A0" w:firstRow="1" w:lastRow="0" w:firstColumn="1" w:lastColumn="0" w:noHBand="0" w:noVBand="1"/>
      </w:tblPr>
      <w:tblGrid>
        <w:gridCol w:w="10216"/>
        <w:gridCol w:w="869"/>
      </w:tblGrid>
      <w:tr w:rsidR="00116A7E" w14:paraId="730F0DCB" w14:textId="77777777">
        <w:trPr>
          <w:trHeight w:val="239"/>
        </w:trPr>
        <w:tc>
          <w:tcPr>
            <w:tcW w:w="8301" w:type="dxa"/>
            <w:tcBorders>
              <w:top w:val="nil"/>
              <w:left w:val="nil"/>
              <w:bottom w:val="nil"/>
              <w:right w:val="nil"/>
            </w:tcBorders>
          </w:tcPr>
          <w:p w14:paraId="085C13DB" w14:textId="77777777" w:rsidR="00116A7E" w:rsidRDefault="006B64F0">
            <w:pPr>
              <w:spacing w:after="0" w:line="259" w:lineRule="auto"/>
              <w:ind w:left="0" w:right="0" w:firstLine="0"/>
            </w:pPr>
            <w:proofErr w:type="spellStart"/>
            <w:r>
              <w:rPr>
                <w:b/>
                <w:sz w:val="22"/>
              </w:rPr>
              <w:t>Galgotias</w:t>
            </w:r>
            <w:proofErr w:type="spellEnd"/>
            <w:r>
              <w:rPr>
                <w:b/>
                <w:sz w:val="22"/>
              </w:rPr>
              <w:t xml:space="preserve"> College of Engineering and Technology</w:t>
            </w:r>
          </w:p>
        </w:tc>
        <w:tc>
          <w:tcPr>
            <w:tcW w:w="2772" w:type="dxa"/>
            <w:tcBorders>
              <w:top w:val="nil"/>
              <w:left w:val="nil"/>
              <w:bottom w:val="nil"/>
              <w:right w:val="nil"/>
            </w:tcBorders>
          </w:tcPr>
          <w:p w14:paraId="4F726810" w14:textId="77777777" w:rsidR="00116A7E" w:rsidRDefault="006B64F0">
            <w:pPr>
              <w:spacing w:after="0" w:line="259" w:lineRule="auto"/>
              <w:ind w:left="0" w:right="0" w:firstLine="0"/>
              <w:jc w:val="right"/>
            </w:pPr>
            <w:r>
              <w:rPr>
                <w:b/>
              </w:rPr>
              <w:t>2021 – 2025</w:t>
            </w:r>
          </w:p>
        </w:tc>
      </w:tr>
      <w:tr w:rsidR="00116A7E" w14:paraId="04898A7E" w14:textId="77777777">
        <w:trPr>
          <w:trHeight w:val="313"/>
        </w:trPr>
        <w:tc>
          <w:tcPr>
            <w:tcW w:w="8301" w:type="dxa"/>
            <w:tcBorders>
              <w:top w:val="nil"/>
              <w:left w:val="nil"/>
              <w:bottom w:val="nil"/>
              <w:right w:val="nil"/>
            </w:tcBorders>
          </w:tcPr>
          <w:p w14:paraId="239118BD" w14:textId="77777777" w:rsidR="00116A7E" w:rsidRDefault="006B64F0">
            <w:pPr>
              <w:spacing w:after="0" w:line="259" w:lineRule="auto"/>
              <w:ind w:left="0" w:right="0" w:firstLine="0"/>
            </w:pPr>
            <w:r>
              <w:rPr>
                <w:i/>
              </w:rPr>
              <w:t>Bachelor of Technology in Computer Science</w:t>
            </w:r>
          </w:p>
        </w:tc>
        <w:tc>
          <w:tcPr>
            <w:tcW w:w="2772" w:type="dxa"/>
            <w:tcBorders>
              <w:top w:val="nil"/>
              <w:left w:val="nil"/>
              <w:bottom w:val="nil"/>
              <w:right w:val="nil"/>
            </w:tcBorders>
          </w:tcPr>
          <w:p w14:paraId="106EC508" w14:textId="77777777" w:rsidR="00116A7E" w:rsidRDefault="006B64F0">
            <w:pPr>
              <w:spacing w:after="0" w:line="259" w:lineRule="auto"/>
              <w:ind w:left="0" w:right="0" w:firstLine="0"/>
              <w:jc w:val="right"/>
            </w:pPr>
            <w:r>
              <w:rPr>
                <w:i/>
              </w:rPr>
              <w:t>8.09 CGPA</w:t>
            </w:r>
          </w:p>
        </w:tc>
      </w:tr>
      <w:tr w:rsidR="00116A7E" w14:paraId="18EB0439" w14:textId="77777777">
        <w:trPr>
          <w:trHeight w:val="330"/>
        </w:trPr>
        <w:tc>
          <w:tcPr>
            <w:tcW w:w="8301" w:type="dxa"/>
            <w:tcBorders>
              <w:top w:val="nil"/>
              <w:left w:val="nil"/>
              <w:bottom w:val="nil"/>
              <w:right w:val="nil"/>
            </w:tcBorders>
          </w:tcPr>
          <w:p w14:paraId="2B92BB4C" w14:textId="77777777" w:rsidR="00116A7E" w:rsidRDefault="006B64F0">
            <w:pPr>
              <w:spacing w:after="0" w:line="259" w:lineRule="auto"/>
              <w:ind w:left="0" w:right="0" w:firstLine="0"/>
            </w:pPr>
            <w:proofErr w:type="spellStart"/>
            <w:r>
              <w:rPr>
                <w:b/>
                <w:sz w:val="22"/>
              </w:rPr>
              <w:t>Saraswati</w:t>
            </w:r>
            <w:proofErr w:type="spellEnd"/>
            <w:r>
              <w:rPr>
                <w:b/>
                <w:sz w:val="22"/>
              </w:rPr>
              <w:t xml:space="preserve"> Senior Secondary Vidya Mandir</w:t>
            </w:r>
          </w:p>
        </w:tc>
        <w:tc>
          <w:tcPr>
            <w:tcW w:w="2772" w:type="dxa"/>
            <w:tcBorders>
              <w:top w:val="nil"/>
              <w:left w:val="nil"/>
              <w:bottom w:val="nil"/>
              <w:right w:val="nil"/>
            </w:tcBorders>
          </w:tcPr>
          <w:p w14:paraId="37281CF0" w14:textId="77777777" w:rsidR="00116A7E" w:rsidRDefault="006B64F0">
            <w:pPr>
              <w:spacing w:after="0" w:line="259" w:lineRule="auto"/>
              <w:ind w:left="0" w:right="0" w:firstLine="0"/>
              <w:jc w:val="right"/>
            </w:pPr>
            <w:r>
              <w:rPr>
                <w:b/>
              </w:rPr>
              <w:t>2018 – 2020</w:t>
            </w:r>
          </w:p>
        </w:tc>
      </w:tr>
      <w:tr w:rsidR="00116A7E" w14:paraId="05D4B835" w14:textId="77777777">
        <w:trPr>
          <w:trHeight w:val="313"/>
        </w:trPr>
        <w:tc>
          <w:tcPr>
            <w:tcW w:w="8301" w:type="dxa"/>
            <w:tcBorders>
              <w:top w:val="nil"/>
              <w:left w:val="nil"/>
              <w:bottom w:val="nil"/>
              <w:right w:val="nil"/>
            </w:tcBorders>
          </w:tcPr>
          <w:p w14:paraId="0B0DBACE" w14:textId="77777777" w:rsidR="00116A7E" w:rsidRDefault="006B64F0">
            <w:pPr>
              <w:spacing w:after="0" w:line="259" w:lineRule="auto"/>
              <w:ind w:left="0" w:right="0" w:firstLine="0"/>
            </w:pPr>
            <w:r>
              <w:rPr>
                <w:rFonts w:ascii="Calibri" w:eastAsia="Calibri" w:hAnsi="Calibri" w:cs="Calibri"/>
                <w:i/>
              </w:rPr>
              <w:t>Class XII</w:t>
            </w:r>
          </w:p>
        </w:tc>
        <w:tc>
          <w:tcPr>
            <w:tcW w:w="2772" w:type="dxa"/>
            <w:tcBorders>
              <w:top w:val="nil"/>
              <w:left w:val="nil"/>
              <w:bottom w:val="nil"/>
              <w:right w:val="nil"/>
            </w:tcBorders>
          </w:tcPr>
          <w:p w14:paraId="28C417E0" w14:textId="77777777" w:rsidR="00116A7E" w:rsidRDefault="006B64F0">
            <w:pPr>
              <w:spacing w:after="0" w:line="259" w:lineRule="auto"/>
              <w:ind w:left="0" w:right="27" w:firstLine="0"/>
              <w:jc w:val="right"/>
            </w:pPr>
            <w:r>
              <w:rPr>
                <w:i/>
              </w:rPr>
              <w:t>91.0%</w:t>
            </w:r>
          </w:p>
        </w:tc>
      </w:tr>
      <w:tr w:rsidR="00116A7E" w14:paraId="38C67CC2" w14:textId="77777777">
        <w:trPr>
          <w:trHeight w:val="330"/>
        </w:trPr>
        <w:tc>
          <w:tcPr>
            <w:tcW w:w="8301" w:type="dxa"/>
            <w:tcBorders>
              <w:top w:val="nil"/>
              <w:left w:val="nil"/>
              <w:bottom w:val="nil"/>
              <w:right w:val="nil"/>
            </w:tcBorders>
          </w:tcPr>
          <w:p w14:paraId="4CAB75D6" w14:textId="77777777" w:rsidR="00116A7E" w:rsidRDefault="006B64F0">
            <w:pPr>
              <w:spacing w:after="0" w:line="259" w:lineRule="auto"/>
              <w:ind w:left="0" w:right="0" w:firstLine="0"/>
            </w:pPr>
            <w:proofErr w:type="spellStart"/>
            <w:r>
              <w:rPr>
                <w:b/>
                <w:sz w:val="22"/>
              </w:rPr>
              <w:t>Saraswati</w:t>
            </w:r>
            <w:proofErr w:type="spellEnd"/>
            <w:r>
              <w:rPr>
                <w:b/>
                <w:sz w:val="22"/>
              </w:rPr>
              <w:t xml:space="preserve"> Senior Secondary Vidya Mandir</w:t>
            </w:r>
          </w:p>
        </w:tc>
        <w:tc>
          <w:tcPr>
            <w:tcW w:w="2772" w:type="dxa"/>
            <w:tcBorders>
              <w:top w:val="nil"/>
              <w:left w:val="nil"/>
              <w:bottom w:val="nil"/>
              <w:right w:val="nil"/>
            </w:tcBorders>
          </w:tcPr>
          <w:p w14:paraId="68D46F80" w14:textId="77777777" w:rsidR="00116A7E" w:rsidRDefault="006B64F0">
            <w:pPr>
              <w:spacing w:after="0" w:line="259" w:lineRule="auto"/>
              <w:ind w:left="0" w:right="0" w:firstLine="0"/>
              <w:jc w:val="right"/>
            </w:pPr>
            <w:r>
              <w:rPr>
                <w:b/>
              </w:rPr>
              <w:t>2016 – 2018</w:t>
            </w:r>
          </w:p>
        </w:tc>
      </w:tr>
      <w:tr w:rsidR="00116A7E" w14:paraId="665CF8D1" w14:textId="77777777">
        <w:trPr>
          <w:trHeight w:val="820"/>
        </w:trPr>
        <w:tc>
          <w:tcPr>
            <w:tcW w:w="8301" w:type="dxa"/>
            <w:tcBorders>
              <w:top w:val="nil"/>
              <w:left w:val="nil"/>
              <w:bottom w:val="nil"/>
              <w:right w:val="nil"/>
            </w:tcBorders>
          </w:tcPr>
          <w:p w14:paraId="31ACF099" w14:textId="77777777" w:rsidR="00116A7E" w:rsidRDefault="006B64F0">
            <w:pPr>
              <w:spacing w:after="227" w:line="259" w:lineRule="auto"/>
              <w:ind w:left="0" w:right="0" w:firstLine="0"/>
            </w:pPr>
            <w:r>
              <w:rPr>
                <w:rFonts w:ascii="Calibri" w:eastAsia="Calibri" w:hAnsi="Calibri" w:cs="Calibri"/>
                <w:i/>
              </w:rPr>
              <w:t>Class X</w:t>
            </w:r>
          </w:p>
          <w:p w14:paraId="5296FA6B" w14:textId="77777777" w:rsidR="00116A7E" w:rsidRDefault="006B64F0">
            <w:pPr>
              <w:spacing w:after="0" w:line="259" w:lineRule="auto"/>
              <w:ind w:left="0" w:right="0" w:firstLine="0"/>
            </w:pPr>
            <w:r>
              <w:rPr>
                <w:b/>
                <w:sz w:val="24"/>
              </w:rPr>
              <w:t>Experience</w:t>
            </w:r>
          </w:p>
          <w:p w14:paraId="0511B6BD" w14:textId="77777777" w:rsidR="00116A7E" w:rsidRDefault="006B64F0">
            <w:pPr>
              <w:spacing w:after="0" w:line="259" w:lineRule="auto"/>
              <w:ind w:left="0" w:right="-2772" w:firstLine="0"/>
            </w:pPr>
            <w:r>
              <w:rPr>
                <w:rFonts w:ascii="Calibri" w:eastAsia="Calibri" w:hAnsi="Calibri" w:cs="Calibri"/>
                <w:noProof/>
                <w:sz w:val="22"/>
              </w:rPr>
              <mc:AlternateContent>
                <mc:Choice Requires="wpg">
                  <w:drawing>
                    <wp:inline distT="0" distB="0" distL="0" distR="0" wp14:anchorId="21AD37DD" wp14:editId="0D44D262">
                      <wp:extent cx="7031736" cy="5055"/>
                      <wp:effectExtent l="0" t="0" r="0" b="0"/>
                      <wp:docPr id="2539" name="Group 2539"/>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33" name="Shape 33"/>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39" style="width:553.68pt;height:0.398pt;mso-position-horizontal-relative:char;mso-position-vertical-relative:line" coordsize="70317,50">
                      <v:shape id="Shape 33" style="position:absolute;width:70317;height:0;left:0;top:0;" coordsize="7031736,0" path="m0,0l7031736,0">
                        <v:stroke weight="0.398pt" endcap="flat" joinstyle="miter" miterlimit="10" on="true" color="#000000"/>
                        <v:fill on="false" color="#000000" opacity="0"/>
                      </v:shape>
                    </v:group>
                  </w:pict>
                </mc:Fallback>
              </mc:AlternateContent>
            </w:r>
          </w:p>
        </w:tc>
        <w:tc>
          <w:tcPr>
            <w:tcW w:w="2772" w:type="dxa"/>
            <w:tcBorders>
              <w:top w:val="nil"/>
              <w:left w:val="nil"/>
              <w:bottom w:val="nil"/>
              <w:right w:val="nil"/>
            </w:tcBorders>
          </w:tcPr>
          <w:p w14:paraId="139C184D" w14:textId="77777777" w:rsidR="00116A7E" w:rsidRDefault="006B64F0">
            <w:pPr>
              <w:spacing w:after="0" w:line="259" w:lineRule="auto"/>
              <w:ind w:left="0" w:right="27" w:firstLine="0"/>
              <w:jc w:val="right"/>
            </w:pPr>
            <w:r>
              <w:rPr>
                <w:i/>
              </w:rPr>
              <w:t>91.5%</w:t>
            </w:r>
          </w:p>
        </w:tc>
      </w:tr>
      <w:tr w:rsidR="00116A7E" w14:paraId="3BF2F7F9" w14:textId="77777777">
        <w:trPr>
          <w:trHeight w:val="298"/>
        </w:trPr>
        <w:tc>
          <w:tcPr>
            <w:tcW w:w="8301" w:type="dxa"/>
            <w:tcBorders>
              <w:top w:val="nil"/>
              <w:left w:val="nil"/>
              <w:bottom w:val="nil"/>
              <w:right w:val="nil"/>
            </w:tcBorders>
          </w:tcPr>
          <w:p w14:paraId="17C268A2" w14:textId="77777777" w:rsidR="00116A7E" w:rsidRDefault="006B64F0">
            <w:pPr>
              <w:spacing w:after="0" w:line="259" w:lineRule="auto"/>
              <w:ind w:left="0" w:right="0" w:firstLine="0"/>
            </w:pPr>
            <w:r>
              <w:rPr>
                <w:b/>
                <w:sz w:val="22"/>
              </w:rPr>
              <w:t>Wise Analytica</w:t>
            </w:r>
          </w:p>
        </w:tc>
        <w:tc>
          <w:tcPr>
            <w:tcW w:w="2772" w:type="dxa"/>
            <w:tcBorders>
              <w:top w:val="nil"/>
              <w:left w:val="nil"/>
              <w:bottom w:val="nil"/>
              <w:right w:val="nil"/>
            </w:tcBorders>
          </w:tcPr>
          <w:p w14:paraId="1834C840" w14:textId="77777777" w:rsidR="00116A7E" w:rsidRDefault="006B64F0">
            <w:pPr>
              <w:spacing w:after="0" w:line="259" w:lineRule="auto"/>
              <w:ind w:left="0" w:right="0" w:firstLine="0"/>
              <w:jc w:val="both"/>
            </w:pPr>
            <w:r>
              <w:rPr>
                <w:b/>
              </w:rPr>
              <w:t>July 2023 – December 2023</w:t>
            </w:r>
          </w:p>
        </w:tc>
      </w:tr>
      <w:tr w:rsidR="00116A7E" w14:paraId="7DB93780" w14:textId="77777777">
        <w:trPr>
          <w:trHeight w:val="222"/>
        </w:trPr>
        <w:tc>
          <w:tcPr>
            <w:tcW w:w="8301" w:type="dxa"/>
            <w:tcBorders>
              <w:top w:val="nil"/>
              <w:left w:val="nil"/>
              <w:bottom w:val="nil"/>
              <w:right w:val="nil"/>
            </w:tcBorders>
          </w:tcPr>
          <w:p w14:paraId="731FD230" w14:textId="77777777" w:rsidR="00116A7E" w:rsidRDefault="006B64F0">
            <w:pPr>
              <w:spacing w:after="0" w:line="259" w:lineRule="auto"/>
              <w:ind w:left="0" w:right="0" w:firstLine="0"/>
            </w:pPr>
            <w:r>
              <w:rPr>
                <w:rFonts w:ascii="Calibri" w:eastAsia="Calibri" w:hAnsi="Calibri" w:cs="Calibri"/>
                <w:i/>
              </w:rPr>
              <w:t>Consulting Data Analyst</w:t>
            </w:r>
          </w:p>
        </w:tc>
        <w:tc>
          <w:tcPr>
            <w:tcW w:w="2772" w:type="dxa"/>
            <w:tcBorders>
              <w:top w:val="nil"/>
              <w:left w:val="nil"/>
              <w:bottom w:val="nil"/>
              <w:right w:val="nil"/>
            </w:tcBorders>
          </w:tcPr>
          <w:p w14:paraId="26CF6743" w14:textId="77777777" w:rsidR="00116A7E" w:rsidRDefault="006B64F0">
            <w:pPr>
              <w:spacing w:after="0" w:line="259" w:lineRule="auto"/>
              <w:ind w:left="0" w:right="8" w:firstLine="0"/>
              <w:jc w:val="right"/>
            </w:pPr>
            <w:r>
              <w:rPr>
                <w:i/>
              </w:rPr>
              <w:t>London, England (Remote)</w:t>
            </w:r>
          </w:p>
        </w:tc>
      </w:tr>
    </w:tbl>
    <w:p w14:paraId="45931240" w14:textId="77777777" w:rsidR="00116A7E" w:rsidRDefault="006B64F0">
      <w:pPr>
        <w:numPr>
          <w:ilvl w:val="0"/>
          <w:numId w:val="1"/>
        </w:numPr>
        <w:ind w:right="0" w:hanging="185"/>
      </w:pPr>
      <w:r>
        <w:t xml:space="preserve">Utilized twitter </w:t>
      </w:r>
      <w:proofErr w:type="spellStart"/>
      <w:r>
        <w:t>api</w:t>
      </w:r>
      <w:proofErr w:type="spellEnd"/>
      <w:r>
        <w:t xml:space="preserve"> and NER models to scrape relevant tweets and using machine learning algorithms to predict the relevant customers for the organization resulted in 60% </w:t>
      </w:r>
      <w:proofErr w:type="spellStart"/>
      <w:r>
        <w:t>increse</w:t>
      </w:r>
      <w:proofErr w:type="spellEnd"/>
      <w:r>
        <w:t xml:space="preserve"> in lead generation.</w:t>
      </w:r>
    </w:p>
    <w:p w14:paraId="362FF8B1" w14:textId="77777777" w:rsidR="00116A7E" w:rsidRDefault="006B64F0">
      <w:pPr>
        <w:numPr>
          <w:ilvl w:val="0"/>
          <w:numId w:val="1"/>
        </w:numPr>
        <w:ind w:right="0" w:hanging="185"/>
      </w:pPr>
      <w:r>
        <w:t>Utilized Python and R to conduct sentiment analysis, incl</w:t>
      </w:r>
      <w:r>
        <w:t xml:space="preserve">uding data prep, machine learning </w:t>
      </w:r>
      <w:proofErr w:type="spellStart"/>
      <w:r>
        <w:t>modeling</w:t>
      </w:r>
      <w:proofErr w:type="spellEnd"/>
      <w:r>
        <w:t>, and natural language processing.</w:t>
      </w:r>
    </w:p>
    <w:p w14:paraId="6964772A" w14:textId="77777777" w:rsidR="00116A7E" w:rsidRDefault="006B64F0">
      <w:pPr>
        <w:numPr>
          <w:ilvl w:val="0"/>
          <w:numId w:val="1"/>
        </w:numPr>
        <w:spacing w:after="141" w:line="259" w:lineRule="auto"/>
        <w:ind w:right="0" w:hanging="185"/>
      </w:pPr>
      <w:r>
        <w:t>Orchestrated exploratory data analysis and churn prediction on a telecom dataset utilizing machine learning algorithms such as Logistic Regression, Decision Trees, and Neural Netw</w:t>
      </w:r>
      <w:r>
        <w:t>orks, resulting in a 25% increase in customer retention.</w:t>
      </w:r>
    </w:p>
    <w:p w14:paraId="4E3C706E" w14:textId="77777777" w:rsidR="00116A7E" w:rsidRDefault="006B64F0">
      <w:pPr>
        <w:tabs>
          <w:tab w:val="right" w:pos="11085"/>
        </w:tabs>
        <w:spacing w:after="18" w:line="259" w:lineRule="auto"/>
        <w:ind w:left="-15" w:right="-9" w:firstLine="0"/>
      </w:pPr>
      <w:r>
        <w:rPr>
          <w:b/>
          <w:sz w:val="22"/>
        </w:rPr>
        <w:t>Wise Analytica</w:t>
      </w:r>
      <w:r>
        <w:rPr>
          <w:b/>
          <w:sz w:val="22"/>
        </w:rPr>
        <w:tab/>
      </w:r>
      <w:r>
        <w:rPr>
          <w:b/>
        </w:rPr>
        <w:t>May 2023 – June 2023</w:t>
      </w:r>
    </w:p>
    <w:p w14:paraId="7FB2148F" w14:textId="77777777" w:rsidR="00116A7E" w:rsidRDefault="006B64F0">
      <w:pPr>
        <w:tabs>
          <w:tab w:val="right" w:pos="11085"/>
        </w:tabs>
        <w:spacing w:after="19" w:line="259" w:lineRule="auto"/>
        <w:ind w:left="-15" w:right="0" w:firstLine="0"/>
      </w:pPr>
      <w:r>
        <w:rPr>
          <w:rFonts w:ascii="Calibri" w:eastAsia="Calibri" w:hAnsi="Calibri" w:cs="Calibri"/>
          <w:i/>
        </w:rPr>
        <w:t>Data Science Intern</w:t>
      </w:r>
      <w:r>
        <w:rPr>
          <w:rFonts w:ascii="Calibri" w:eastAsia="Calibri" w:hAnsi="Calibri" w:cs="Calibri"/>
          <w:i/>
        </w:rPr>
        <w:tab/>
      </w:r>
      <w:r>
        <w:rPr>
          <w:i/>
        </w:rPr>
        <w:t>London, England (Remote)</w:t>
      </w:r>
    </w:p>
    <w:p w14:paraId="6DCBA1AA" w14:textId="77777777" w:rsidR="00116A7E" w:rsidRDefault="006B64F0">
      <w:pPr>
        <w:numPr>
          <w:ilvl w:val="0"/>
          <w:numId w:val="1"/>
        </w:numPr>
        <w:ind w:right="0" w:hanging="185"/>
      </w:pPr>
      <w:r>
        <w:t>Developed a Natural Language Processing model that achieved an 85% accuracy rate in matching occupation titles to degr</w:t>
      </w:r>
      <w:r>
        <w:t>ee titles using advanced textual matching techniques.</w:t>
      </w:r>
    </w:p>
    <w:p w14:paraId="3805F05E" w14:textId="77777777" w:rsidR="00116A7E" w:rsidRDefault="006B64F0">
      <w:pPr>
        <w:numPr>
          <w:ilvl w:val="0"/>
          <w:numId w:val="1"/>
        </w:numPr>
        <w:ind w:right="0" w:hanging="185"/>
      </w:pPr>
      <w:r>
        <w:t>Contributed to improving weather forecasting in the aviation sector with advanced machine learning models leads to 10% better predictions.</w:t>
      </w:r>
    </w:p>
    <w:tbl>
      <w:tblPr>
        <w:tblStyle w:val="TableGrid"/>
        <w:tblW w:w="11074" w:type="dxa"/>
        <w:tblInd w:w="0" w:type="dxa"/>
        <w:tblCellMar>
          <w:top w:w="0" w:type="dxa"/>
          <w:left w:w="0" w:type="dxa"/>
          <w:bottom w:w="0" w:type="dxa"/>
          <w:right w:w="0" w:type="dxa"/>
        </w:tblCellMar>
        <w:tblLook w:val="04A0" w:firstRow="1" w:lastRow="0" w:firstColumn="1" w:lastColumn="0" w:noHBand="0" w:noVBand="1"/>
      </w:tblPr>
      <w:tblGrid>
        <w:gridCol w:w="8698"/>
        <w:gridCol w:w="2376"/>
      </w:tblGrid>
      <w:tr w:rsidR="00116A7E" w14:paraId="78081673" w14:textId="77777777">
        <w:trPr>
          <w:trHeight w:val="239"/>
        </w:trPr>
        <w:tc>
          <w:tcPr>
            <w:tcW w:w="8697" w:type="dxa"/>
            <w:tcBorders>
              <w:top w:val="nil"/>
              <w:left w:val="nil"/>
              <w:bottom w:val="nil"/>
              <w:right w:val="nil"/>
            </w:tcBorders>
          </w:tcPr>
          <w:p w14:paraId="56E3187E" w14:textId="77777777" w:rsidR="00116A7E" w:rsidRDefault="006B64F0">
            <w:pPr>
              <w:spacing w:after="0" w:line="259" w:lineRule="auto"/>
              <w:ind w:left="0" w:right="0" w:firstLine="0"/>
            </w:pPr>
            <w:r>
              <w:rPr>
                <w:b/>
                <w:sz w:val="22"/>
              </w:rPr>
              <w:t>Marquee Equity</w:t>
            </w:r>
          </w:p>
        </w:tc>
        <w:tc>
          <w:tcPr>
            <w:tcW w:w="2376" w:type="dxa"/>
            <w:tcBorders>
              <w:top w:val="nil"/>
              <w:left w:val="nil"/>
              <w:bottom w:val="nil"/>
              <w:right w:val="nil"/>
            </w:tcBorders>
          </w:tcPr>
          <w:p w14:paraId="612F8B83" w14:textId="77777777" w:rsidR="00116A7E" w:rsidRDefault="006B64F0">
            <w:pPr>
              <w:spacing w:after="0" w:line="259" w:lineRule="auto"/>
              <w:ind w:left="91" w:right="0" w:firstLine="0"/>
              <w:jc w:val="both"/>
            </w:pPr>
            <w:r>
              <w:rPr>
                <w:b/>
              </w:rPr>
              <w:t>August 2023 – Present</w:t>
            </w:r>
          </w:p>
        </w:tc>
      </w:tr>
      <w:tr w:rsidR="00116A7E" w14:paraId="4C223B95" w14:textId="77777777">
        <w:trPr>
          <w:trHeight w:val="222"/>
        </w:trPr>
        <w:tc>
          <w:tcPr>
            <w:tcW w:w="8697" w:type="dxa"/>
            <w:tcBorders>
              <w:top w:val="nil"/>
              <w:left w:val="nil"/>
              <w:bottom w:val="nil"/>
              <w:right w:val="nil"/>
            </w:tcBorders>
          </w:tcPr>
          <w:p w14:paraId="69522F43" w14:textId="77777777" w:rsidR="00116A7E" w:rsidRDefault="006B64F0">
            <w:pPr>
              <w:spacing w:after="0" w:line="259" w:lineRule="auto"/>
              <w:ind w:left="0" w:right="0" w:firstLine="0"/>
            </w:pPr>
            <w:r>
              <w:rPr>
                <w:rFonts w:ascii="Calibri" w:eastAsia="Calibri" w:hAnsi="Calibri" w:cs="Calibri"/>
                <w:i/>
              </w:rPr>
              <w:t>Investment Banking Fellow</w:t>
            </w:r>
          </w:p>
        </w:tc>
        <w:tc>
          <w:tcPr>
            <w:tcW w:w="2376" w:type="dxa"/>
            <w:tcBorders>
              <w:top w:val="nil"/>
              <w:left w:val="nil"/>
              <w:bottom w:val="nil"/>
              <w:right w:val="nil"/>
            </w:tcBorders>
          </w:tcPr>
          <w:p w14:paraId="10EC165A" w14:textId="77777777" w:rsidR="00116A7E" w:rsidRDefault="006B64F0">
            <w:pPr>
              <w:spacing w:after="0" w:line="259" w:lineRule="auto"/>
              <w:ind w:left="0" w:right="0" w:firstLine="0"/>
              <w:jc w:val="both"/>
            </w:pPr>
            <w:r>
              <w:rPr>
                <w:i/>
              </w:rPr>
              <w:t>New Delhi, India (Remote)</w:t>
            </w:r>
          </w:p>
        </w:tc>
      </w:tr>
    </w:tbl>
    <w:p w14:paraId="5854A881" w14:textId="77777777" w:rsidR="00116A7E" w:rsidRDefault="006B64F0">
      <w:pPr>
        <w:numPr>
          <w:ilvl w:val="0"/>
          <w:numId w:val="1"/>
        </w:numPr>
        <w:ind w:right="0" w:hanging="185"/>
      </w:pPr>
      <w:r>
        <w:t>Conducted in-depth analysis of investment and financial reports of over 50 firms, identifying key areas for improvement and potential growth opportunities, leading to a 20% increase in investment returns</w:t>
      </w:r>
      <w:r>
        <w:t>.</w:t>
      </w:r>
    </w:p>
    <w:p w14:paraId="42D153D9" w14:textId="77777777" w:rsidR="00116A7E" w:rsidRDefault="006B64F0">
      <w:pPr>
        <w:numPr>
          <w:ilvl w:val="0"/>
          <w:numId w:val="1"/>
        </w:numPr>
        <w:spacing w:after="146"/>
        <w:ind w:right="0" w:hanging="185"/>
      </w:pPr>
      <w:r>
        <w:t xml:space="preserve">Provided visualizations and analysis of investments in sectors such as fintech and </w:t>
      </w:r>
      <w:proofErr w:type="spellStart"/>
      <w:r>
        <w:t>edtech</w:t>
      </w:r>
      <w:proofErr w:type="spellEnd"/>
      <w:r>
        <w:t>, resulting in a 35% increase in investment in these sectors.</w:t>
      </w:r>
    </w:p>
    <w:p w14:paraId="738A96C0" w14:textId="77777777" w:rsidR="00116A7E" w:rsidRDefault="006B64F0">
      <w:pPr>
        <w:pStyle w:val="Heading1"/>
        <w:ind w:left="-5"/>
      </w:pPr>
      <w:r>
        <w:t>Projects</w:t>
      </w:r>
    </w:p>
    <w:p w14:paraId="26C64BAC" w14:textId="77777777" w:rsidR="00116A7E" w:rsidRDefault="006B64F0">
      <w:pPr>
        <w:spacing w:after="153" w:line="259" w:lineRule="auto"/>
        <w:ind w:left="0" w:right="0" w:firstLine="0"/>
      </w:pPr>
      <w:r>
        <w:rPr>
          <w:rFonts w:ascii="Calibri" w:eastAsia="Calibri" w:hAnsi="Calibri" w:cs="Calibri"/>
          <w:noProof/>
          <w:sz w:val="22"/>
        </w:rPr>
        <mc:AlternateContent>
          <mc:Choice Requires="wpg">
            <w:drawing>
              <wp:inline distT="0" distB="0" distL="0" distR="0" wp14:anchorId="2447BCD0" wp14:editId="6F234EC7">
                <wp:extent cx="7031736" cy="5055"/>
                <wp:effectExtent l="0" t="0" r="0" b="0"/>
                <wp:docPr id="2078" name="Group 2078"/>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68" name="Shape 68"/>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8" style="width:553.68pt;height:0.398pt;mso-position-horizontal-relative:char;mso-position-vertical-relative:line" coordsize="70317,50">
                <v:shape id="Shape 68" style="position:absolute;width:70317;height:0;left:0;top:0;" coordsize="7031736,0" path="m0,0l7031736,0">
                  <v:stroke weight="0.398pt" endcap="flat" joinstyle="miter" miterlimit="10" on="true" color="#000000"/>
                  <v:fill on="false" color="#000000" opacity="0"/>
                </v:shape>
              </v:group>
            </w:pict>
          </mc:Fallback>
        </mc:AlternateContent>
      </w:r>
    </w:p>
    <w:p w14:paraId="2051CC25" w14:textId="77777777" w:rsidR="00116A7E" w:rsidRDefault="006B64F0">
      <w:pPr>
        <w:tabs>
          <w:tab w:val="right" w:pos="11085"/>
        </w:tabs>
        <w:spacing w:after="18" w:line="259" w:lineRule="auto"/>
        <w:ind w:left="-15" w:right="-9" w:firstLine="0"/>
      </w:pPr>
      <w:r>
        <w:rPr>
          <w:b/>
        </w:rPr>
        <w:t xml:space="preserve">Predictive Maintenance: </w:t>
      </w:r>
      <w:proofErr w:type="spellStart"/>
      <w:r>
        <w:rPr>
          <w:b/>
        </w:rPr>
        <w:t>MLOps</w:t>
      </w:r>
      <w:proofErr w:type="spellEnd"/>
      <w:r>
        <w:rPr>
          <w:b/>
        </w:rPr>
        <w:t xml:space="preserve"> (Machine Learning Operations) </w:t>
      </w:r>
      <w:r>
        <w:t xml:space="preserve">| </w:t>
      </w:r>
      <w:r>
        <w:rPr>
          <w:i/>
        </w:rPr>
        <w:t>Python</w:t>
      </w:r>
      <w:r>
        <w:rPr>
          <w:i/>
        </w:rPr>
        <w:tab/>
      </w:r>
      <w:r>
        <w:rPr>
          <w:b/>
        </w:rPr>
        <w:t>April 2024</w:t>
      </w:r>
    </w:p>
    <w:p w14:paraId="7D1165EE" w14:textId="77777777" w:rsidR="00116A7E" w:rsidRDefault="006B64F0">
      <w:pPr>
        <w:numPr>
          <w:ilvl w:val="0"/>
          <w:numId w:val="2"/>
        </w:numPr>
        <w:ind w:right="0" w:hanging="185"/>
      </w:pPr>
      <w:r>
        <w:t>The application utilizes a machine learning model that identifies equipment failures based on process parameters, including air and process temperatures, rotational speed, torq</w:t>
      </w:r>
      <w:r>
        <w:t>ue, and tool wear.</w:t>
      </w:r>
    </w:p>
    <w:p w14:paraId="1F804809" w14:textId="77777777" w:rsidR="00116A7E" w:rsidRDefault="006B64F0">
      <w:pPr>
        <w:numPr>
          <w:ilvl w:val="0"/>
          <w:numId w:val="2"/>
        </w:numPr>
        <w:spacing w:after="184"/>
        <w:ind w:right="0" w:hanging="185"/>
      </w:pPr>
      <w:r>
        <w:t>The backend server manages user authentication, data storage, and model training. The machine learning model will be trained and deployed using Docker containers. The application will be hosted on Digital Ocean droplets.</w:t>
      </w:r>
    </w:p>
    <w:p w14:paraId="17583C64" w14:textId="77777777" w:rsidR="00116A7E" w:rsidRDefault="006B64F0">
      <w:pPr>
        <w:tabs>
          <w:tab w:val="right" w:pos="11085"/>
        </w:tabs>
        <w:spacing w:after="19" w:line="259" w:lineRule="auto"/>
        <w:ind w:left="-15" w:right="0" w:firstLine="0"/>
      </w:pPr>
      <w:proofErr w:type="spellStart"/>
      <w:r>
        <w:rPr>
          <w:b/>
        </w:rPr>
        <w:t>NanoGPT</w:t>
      </w:r>
      <w:proofErr w:type="spellEnd"/>
      <w:r>
        <w:rPr>
          <w:b/>
        </w:rPr>
        <w:t xml:space="preserve"> </w:t>
      </w:r>
      <w:r>
        <w:t xml:space="preserve">| </w:t>
      </w:r>
      <w:r>
        <w:rPr>
          <w:i/>
        </w:rPr>
        <w:t>Python</w:t>
      </w:r>
      <w:r>
        <w:rPr>
          <w:i/>
        </w:rPr>
        <w:t xml:space="preserve">, </w:t>
      </w:r>
      <w:proofErr w:type="spellStart"/>
      <w:r>
        <w:rPr>
          <w:i/>
        </w:rPr>
        <w:t>pytorch</w:t>
      </w:r>
      <w:proofErr w:type="spellEnd"/>
      <w:r>
        <w:rPr>
          <w:i/>
        </w:rPr>
        <w:t xml:space="preserve">, </w:t>
      </w:r>
      <w:proofErr w:type="spellStart"/>
      <w:r>
        <w:rPr>
          <w:i/>
        </w:rPr>
        <w:t>numpy</w:t>
      </w:r>
      <w:proofErr w:type="spellEnd"/>
      <w:r>
        <w:rPr>
          <w:i/>
        </w:rPr>
        <w:t>, transformers</w:t>
      </w:r>
      <w:r>
        <w:rPr>
          <w:i/>
        </w:rPr>
        <w:tab/>
      </w:r>
      <w:r>
        <w:rPr>
          <w:b/>
        </w:rPr>
        <w:t>March 2024</w:t>
      </w:r>
    </w:p>
    <w:p w14:paraId="2F1187DE" w14:textId="77777777" w:rsidR="00116A7E" w:rsidRDefault="006B64F0">
      <w:pPr>
        <w:numPr>
          <w:ilvl w:val="0"/>
          <w:numId w:val="2"/>
        </w:numPr>
        <w:ind w:right="0" w:hanging="185"/>
      </w:pPr>
      <w:proofErr w:type="spellStart"/>
      <w:r>
        <w:lastRenderedPageBreak/>
        <w:t>NanoGPT</w:t>
      </w:r>
      <w:proofErr w:type="spellEnd"/>
      <w:r>
        <w:t xml:space="preserve"> is a lightweight implementation of the GPT (Generative Pre-trained Transformer) model based on the </w:t>
      </w:r>
      <w:proofErr w:type="spellStart"/>
      <w:proofErr w:type="gramStart"/>
      <w:r>
        <w:t>Karpathy’s</w:t>
      </w:r>
      <w:proofErr w:type="spellEnd"/>
      <w:r>
        <w:t xml:space="preserve"> ”</w:t>
      </w:r>
      <w:proofErr w:type="spellStart"/>
      <w:r>
        <w:t>minGPT</w:t>
      </w:r>
      <w:proofErr w:type="spellEnd"/>
      <w:proofErr w:type="gramEnd"/>
      <w:r>
        <w:t>” repository.</w:t>
      </w:r>
    </w:p>
    <w:p w14:paraId="4E962AB0" w14:textId="77777777" w:rsidR="00116A7E" w:rsidRDefault="006B64F0">
      <w:pPr>
        <w:numPr>
          <w:ilvl w:val="0"/>
          <w:numId w:val="2"/>
        </w:numPr>
        <w:ind w:right="0" w:hanging="185"/>
      </w:pPr>
      <w:r>
        <w:t xml:space="preserve">Implemented a Byte Pair Encoder (BPE) for converting text to sequences of integers, following the </w:t>
      </w:r>
      <w:proofErr w:type="spellStart"/>
      <w:r>
        <w:t>OpenAI</w:t>
      </w:r>
      <w:proofErr w:type="spellEnd"/>
      <w:r>
        <w:t xml:space="preserve"> GPT methodology.</w:t>
      </w:r>
    </w:p>
    <w:p w14:paraId="71F07003" w14:textId="77777777" w:rsidR="00116A7E" w:rsidRDefault="006B64F0">
      <w:pPr>
        <w:numPr>
          <w:ilvl w:val="0"/>
          <w:numId w:val="2"/>
        </w:numPr>
        <w:spacing w:after="144"/>
        <w:ind w:right="0" w:hanging="185"/>
      </w:pPr>
      <w:r>
        <w:t xml:space="preserve">Created a simple and efficient training framework for the GPT model, including a </w:t>
      </w:r>
      <w:proofErr w:type="spellStart"/>
      <w:r>
        <w:t>PyTorch</w:t>
      </w:r>
      <w:proofErr w:type="spellEnd"/>
      <w:r>
        <w:t xml:space="preserve"> boilerplate code file for training the model.</w:t>
      </w:r>
    </w:p>
    <w:p w14:paraId="30060745" w14:textId="77777777" w:rsidR="00116A7E" w:rsidRDefault="006B64F0">
      <w:pPr>
        <w:tabs>
          <w:tab w:val="right" w:pos="11085"/>
        </w:tabs>
        <w:spacing w:after="18" w:line="259" w:lineRule="auto"/>
        <w:ind w:left="-15" w:right="-9" w:firstLine="0"/>
      </w:pPr>
      <w:r>
        <w:rPr>
          <w:b/>
        </w:rPr>
        <w:t xml:space="preserve">Echo: An approach towards second brain </w:t>
      </w:r>
      <w:r>
        <w:t xml:space="preserve">| </w:t>
      </w:r>
      <w:r>
        <w:rPr>
          <w:i/>
        </w:rPr>
        <w:t>Python, MongoDB, RAG</w:t>
      </w:r>
      <w:r>
        <w:rPr>
          <w:i/>
        </w:rPr>
        <w:tab/>
      </w:r>
      <w:r>
        <w:rPr>
          <w:b/>
        </w:rPr>
        <w:t>December 2023</w:t>
      </w:r>
    </w:p>
    <w:p w14:paraId="7251B65C" w14:textId="77777777" w:rsidR="00116A7E" w:rsidRDefault="006B64F0">
      <w:pPr>
        <w:numPr>
          <w:ilvl w:val="0"/>
          <w:numId w:val="2"/>
        </w:numPr>
        <w:ind w:right="0" w:hanging="185"/>
      </w:pPr>
      <w:r>
        <w:t xml:space="preserve">This project implements </w:t>
      </w:r>
      <w:proofErr w:type="gramStart"/>
      <w:r>
        <w:t>a ”second</w:t>
      </w:r>
      <w:proofErr w:type="gramEnd"/>
      <w:r>
        <w:t xml:space="preserve"> brain” chatbot that captures conversational histories using speech recognition and language model summarization. It stores summaries and embeddin</w:t>
      </w:r>
      <w:r>
        <w:t>gs in a MongoDB database, enabling semantic search and retrieval of relevant past summaries for contextually appropriate responses.</w:t>
      </w:r>
    </w:p>
    <w:p w14:paraId="43CDCE86" w14:textId="77777777" w:rsidR="00116A7E" w:rsidRDefault="006B64F0">
      <w:pPr>
        <w:numPr>
          <w:ilvl w:val="0"/>
          <w:numId w:val="2"/>
        </w:numPr>
        <w:ind w:right="0" w:hanging="185"/>
      </w:pPr>
      <w:r>
        <w:t xml:space="preserve">The chatbot demonstrates an end-to-end pipeline for </w:t>
      </w:r>
      <w:proofErr w:type="gramStart"/>
      <w:r>
        <w:t>the ”second</w:t>
      </w:r>
      <w:proofErr w:type="gramEnd"/>
      <w:r>
        <w:t xml:space="preserve"> brain” concept, integrating speech transcription, conversati</w:t>
      </w:r>
      <w:r>
        <w:t>on summarization, database storage, and response generation.</w:t>
      </w:r>
    </w:p>
    <w:p w14:paraId="4978C21F" w14:textId="77777777" w:rsidR="00116A7E" w:rsidRDefault="006B64F0">
      <w:pPr>
        <w:pStyle w:val="Heading1"/>
        <w:ind w:left="-5"/>
      </w:pPr>
      <w:r>
        <w:t>Technical Skills</w:t>
      </w:r>
    </w:p>
    <w:p w14:paraId="38BBF821" w14:textId="77777777" w:rsidR="00116A7E" w:rsidRDefault="006B64F0">
      <w:pPr>
        <w:spacing w:after="132" w:line="259" w:lineRule="auto"/>
        <w:ind w:left="0" w:right="0" w:firstLine="0"/>
      </w:pPr>
      <w:r>
        <w:rPr>
          <w:rFonts w:ascii="Calibri" w:eastAsia="Calibri" w:hAnsi="Calibri" w:cs="Calibri"/>
          <w:noProof/>
          <w:sz w:val="22"/>
        </w:rPr>
        <mc:AlternateContent>
          <mc:Choice Requires="wpg">
            <w:drawing>
              <wp:inline distT="0" distB="0" distL="0" distR="0" wp14:anchorId="3892129E" wp14:editId="56E107A5">
                <wp:extent cx="7031736" cy="5055"/>
                <wp:effectExtent l="0" t="0" r="0" b="0"/>
                <wp:docPr id="1867" name="Group 1867"/>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18" name="Shape 118"/>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7" style="width:553.68pt;height:0.398pt;mso-position-horizontal-relative:char;mso-position-vertical-relative:line" coordsize="70317,50">
                <v:shape id="Shape 118" style="position:absolute;width:70317;height:0;left:0;top:0;" coordsize="7031736,0" path="m0,0l7031736,0">
                  <v:stroke weight="0.398pt" endcap="flat" joinstyle="miter" miterlimit="10" on="true" color="#000000"/>
                  <v:fill on="false" color="#000000" opacity="0"/>
                </v:shape>
              </v:group>
            </w:pict>
          </mc:Fallback>
        </mc:AlternateContent>
      </w:r>
    </w:p>
    <w:p w14:paraId="1E2ACDCD" w14:textId="77777777" w:rsidR="00116A7E" w:rsidRDefault="006B64F0">
      <w:pPr>
        <w:ind w:left="216" w:right="0" w:firstLine="0"/>
      </w:pPr>
      <w:r>
        <w:rPr>
          <w:b/>
        </w:rPr>
        <w:t>Languages</w:t>
      </w:r>
      <w:r>
        <w:t>: Python, C/C++, HTML/CSS, SQL, R</w:t>
      </w:r>
    </w:p>
    <w:p w14:paraId="6B25F3B5" w14:textId="77777777" w:rsidR="00116A7E" w:rsidRDefault="006B64F0">
      <w:pPr>
        <w:spacing w:after="197"/>
        <w:ind w:left="216" w:right="0" w:firstLine="0"/>
      </w:pPr>
      <w:r>
        <w:rPr>
          <w:b/>
        </w:rPr>
        <w:t>Technologies/Frameworks</w:t>
      </w:r>
      <w:r>
        <w:t xml:space="preserve">: Machine Learning, NLP, Exploratory Data Analysis, Scikit learn, Pandas, </w:t>
      </w:r>
      <w:proofErr w:type="spellStart"/>
      <w:r>
        <w:t>Numpy</w:t>
      </w:r>
      <w:proofErr w:type="spellEnd"/>
      <w:r>
        <w:t>, Data Analytics, Tableau,</w:t>
      </w:r>
    </w:p>
    <w:p w14:paraId="2A035679" w14:textId="77777777" w:rsidR="00116A7E" w:rsidRDefault="006B64F0">
      <w:pPr>
        <w:pStyle w:val="Heading1"/>
        <w:ind w:left="-5"/>
      </w:pPr>
      <w:r>
        <w:t>Leadership / Extracurricular/ Certifications</w:t>
      </w:r>
    </w:p>
    <w:p w14:paraId="5D193333" w14:textId="77777777" w:rsidR="00116A7E" w:rsidRDefault="006B64F0">
      <w:pPr>
        <w:spacing w:after="127" w:line="259" w:lineRule="auto"/>
        <w:ind w:left="0" w:right="0" w:firstLine="0"/>
      </w:pPr>
      <w:r>
        <w:rPr>
          <w:rFonts w:ascii="Calibri" w:eastAsia="Calibri" w:hAnsi="Calibri" w:cs="Calibri"/>
          <w:noProof/>
          <w:sz w:val="22"/>
        </w:rPr>
        <mc:AlternateContent>
          <mc:Choice Requires="wpg">
            <w:drawing>
              <wp:inline distT="0" distB="0" distL="0" distR="0" wp14:anchorId="11EF3364" wp14:editId="20932CC4">
                <wp:extent cx="7031736" cy="5055"/>
                <wp:effectExtent l="0" t="0" r="0" b="0"/>
                <wp:docPr id="1868" name="Group 1868"/>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25" name="Shape 125"/>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8" style="width:553.68pt;height:0.398pt;mso-position-horizontal-relative:char;mso-position-vertical-relative:line" coordsize="70317,50">
                <v:shape id="Shape 125" style="position:absolute;width:70317;height:0;left:0;top:0;" coordsize="7031736,0" path="m0,0l7031736,0">
                  <v:stroke weight="0.398pt" endcap="flat" joinstyle="miter" miterlimit="10" on="true" color="#000000"/>
                  <v:fill on="false" color="#000000" opacity="0"/>
                </v:shape>
              </v:group>
            </w:pict>
          </mc:Fallback>
        </mc:AlternateContent>
      </w:r>
    </w:p>
    <w:p w14:paraId="2ACE242A" w14:textId="77777777" w:rsidR="00116A7E" w:rsidRDefault="006B64F0">
      <w:pPr>
        <w:tabs>
          <w:tab w:val="right" w:pos="11085"/>
        </w:tabs>
        <w:spacing w:after="18" w:line="259" w:lineRule="auto"/>
        <w:ind w:left="-15" w:right="-9" w:firstLine="0"/>
      </w:pPr>
      <w:r>
        <w:rPr>
          <w:b/>
          <w:sz w:val="22"/>
        </w:rPr>
        <w:t>GFGSC-GCET</w:t>
      </w:r>
      <w:r>
        <w:rPr>
          <w:b/>
          <w:sz w:val="22"/>
        </w:rPr>
        <w:tab/>
      </w:r>
      <w:r>
        <w:rPr>
          <w:b/>
        </w:rPr>
        <w:t>December 2023 – Present</w:t>
      </w:r>
    </w:p>
    <w:p w14:paraId="414E23AB" w14:textId="77777777" w:rsidR="00116A7E" w:rsidRDefault="006B64F0">
      <w:pPr>
        <w:tabs>
          <w:tab w:val="right" w:pos="11085"/>
        </w:tabs>
        <w:spacing w:after="19" w:line="259" w:lineRule="auto"/>
        <w:ind w:left="-15" w:right="0" w:firstLine="0"/>
      </w:pPr>
      <w:r>
        <w:rPr>
          <w:i/>
        </w:rPr>
        <w:t>Marketing Head</w:t>
      </w:r>
      <w:r>
        <w:rPr>
          <w:i/>
        </w:rPr>
        <w:tab/>
        <w:t>GCET</w:t>
      </w:r>
    </w:p>
    <w:p w14:paraId="6DBB2ABD" w14:textId="77777777" w:rsidR="00116A7E" w:rsidRDefault="006B64F0">
      <w:pPr>
        <w:numPr>
          <w:ilvl w:val="0"/>
          <w:numId w:val="3"/>
        </w:numPr>
        <w:ind w:right="0" w:hanging="185"/>
      </w:pPr>
      <w:r>
        <w:t xml:space="preserve">Led marketing initiatives as the Marketing Head </w:t>
      </w:r>
      <w:r>
        <w:t>for GFG student chapter, driving engagement and promoting technical events to a diverse audience</w:t>
      </w:r>
    </w:p>
    <w:tbl>
      <w:tblPr>
        <w:tblStyle w:val="TableGrid"/>
        <w:tblW w:w="11052" w:type="dxa"/>
        <w:tblInd w:w="0" w:type="dxa"/>
        <w:tblCellMar>
          <w:top w:w="0" w:type="dxa"/>
          <w:left w:w="0" w:type="dxa"/>
          <w:bottom w:w="0" w:type="dxa"/>
          <w:right w:w="0" w:type="dxa"/>
        </w:tblCellMar>
        <w:tblLook w:val="04A0" w:firstRow="1" w:lastRow="0" w:firstColumn="1" w:lastColumn="0" w:noHBand="0" w:noVBand="1"/>
      </w:tblPr>
      <w:tblGrid>
        <w:gridCol w:w="8141"/>
        <w:gridCol w:w="2911"/>
      </w:tblGrid>
      <w:tr w:rsidR="00116A7E" w14:paraId="0A1C3F73" w14:textId="77777777">
        <w:trPr>
          <w:trHeight w:val="239"/>
        </w:trPr>
        <w:tc>
          <w:tcPr>
            <w:tcW w:w="8141" w:type="dxa"/>
            <w:tcBorders>
              <w:top w:val="nil"/>
              <w:left w:val="nil"/>
              <w:bottom w:val="nil"/>
              <w:right w:val="nil"/>
            </w:tcBorders>
          </w:tcPr>
          <w:p w14:paraId="406389C6" w14:textId="77777777" w:rsidR="00116A7E" w:rsidRDefault="006B64F0">
            <w:pPr>
              <w:spacing w:after="0" w:line="259" w:lineRule="auto"/>
              <w:ind w:left="0" w:right="0" w:firstLine="0"/>
            </w:pPr>
            <w:r>
              <w:rPr>
                <w:b/>
                <w:sz w:val="22"/>
              </w:rPr>
              <w:t>Vedic Mathematics Club</w:t>
            </w:r>
          </w:p>
        </w:tc>
        <w:tc>
          <w:tcPr>
            <w:tcW w:w="2911" w:type="dxa"/>
            <w:tcBorders>
              <w:top w:val="nil"/>
              <w:left w:val="nil"/>
              <w:bottom w:val="nil"/>
              <w:right w:val="nil"/>
            </w:tcBorders>
          </w:tcPr>
          <w:p w14:paraId="45A9472C" w14:textId="77777777" w:rsidR="00116A7E" w:rsidRDefault="006B64F0">
            <w:pPr>
              <w:spacing w:after="0" w:line="259" w:lineRule="auto"/>
              <w:ind w:left="0" w:right="55" w:firstLine="0"/>
              <w:jc w:val="right"/>
            </w:pPr>
            <w:r>
              <w:rPr>
                <w:b/>
              </w:rPr>
              <w:t xml:space="preserve">April 2018 - </w:t>
            </w:r>
            <w:proofErr w:type="spellStart"/>
            <w:r>
              <w:rPr>
                <w:b/>
              </w:rPr>
              <w:t>Mrach</w:t>
            </w:r>
            <w:proofErr w:type="spellEnd"/>
            <w:r>
              <w:rPr>
                <w:b/>
              </w:rPr>
              <w:t xml:space="preserve"> 2019</w:t>
            </w:r>
          </w:p>
        </w:tc>
      </w:tr>
      <w:tr w:rsidR="00116A7E" w14:paraId="11973AD2" w14:textId="77777777">
        <w:trPr>
          <w:trHeight w:val="222"/>
        </w:trPr>
        <w:tc>
          <w:tcPr>
            <w:tcW w:w="8141" w:type="dxa"/>
            <w:tcBorders>
              <w:top w:val="nil"/>
              <w:left w:val="nil"/>
              <w:bottom w:val="nil"/>
              <w:right w:val="nil"/>
            </w:tcBorders>
          </w:tcPr>
          <w:p w14:paraId="78BAD7CB" w14:textId="77777777" w:rsidR="00116A7E" w:rsidRDefault="006B64F0">
            <w:pPr>
              <w:spacing w:after="0" w:line="259" w:lineRule="auto"/>
              <w:ind w:left="0" w:right="0" w:firstLine="0"/>
            </w:pPr>
            <w:r>
              <w:rPr>
                <w:i/>
              </w:rPr>
              <w:t>Head</w:t>
            </w:r>
          </w:p>
        </w:tc>
        <w:tc>
          <w:tcPr>
            <w:tcW w:w="2911" w:type="dxa"/>
            <w:tcBorders>
              <w:top w:val="nil"/>
              <w:left w:val="nil"/>
              <w:bottom w:val="nil"/>
              <w:right w:val="nil"/>
            </w:tcBorders>
          </w:tcPr>
          <w:p w14:paraId="32F58FB7" w14:textId="77777777" w:rsidR="00116A7E" w:rsidRDefault="006B64F0">
            <w:pPr>
              <w:spacing w:after="0" w:line="259" w:lineRule="auto"/>
              <w:ind w:left="0" w:right="0" w:firstLine="0"/>
              <w:jc w:val="both"/>
            </w:pPr>
            <w:proofErr w:type="spellStart"/>
            <w:r>
              <w:rPr>
                <w:i/>
              </w:rPr>
              <w:t>Saraswati</w:t>
            </w:r>
            <w:proofErr w:type="spellEnd"/>
            <w:r>
              <w:rPr>
                <w:i/>
              </w:rPr>
              <w:t xml:space="preserve"> Sr. Sec. Vidya Mandir</w:t>
            </w:r>
          </w:p>
        </w:tc>
      </w:tr>
    </w:tbl>
    <w:p w14:paraId="71B84DDF" w14:textId="77777777" w:rsidR="00116A7E" w:rsidRDefault="006B64F0">
      <w:pPr>
        <w:numPr>
          <w:ilvl w:val="0"/>
          <w:numId w:val="3"/>
        </w:numPr>
        <w:spacing w:after="126"/>
        <w:ind w:right="0" w:hanging="185"/>
      </w:pPr>
      <w:r>
        <w:t>Represented at State &amp; National level competitions organized by Vidya Bharti</w:t>
      </w:r>
    </w:p>
    <w:p w14:paraId="46905E12" w14:textId="77777777" w:rsidR="00116A7E" w:rsidRDefault="006B64F0">
      <w:pPr>
        <w:pStyle w:val="Heading2"/>
      </w:pPr>
      <w:r>
        <w:t>Certifications</w:t>
      </w:r>
    </w:p>
    <w:p w14:paraId="2B75AE55" w14:textId="77777777" w:rsidR="00116A7E" w:rsidRDefault="006B64F0">
      <w:pPr>
        <w:numPr>
          <w:ilvl w:val="0"/>
          <w:numId w:val="4"/>
        </w:numPr>
        <w:ind w:right="0" w:hanging="185"/>
      </w:pPr>
      <w:r>
        <w:t>Machine Learning Specialization: Stanford Online – Grade 97.8% (Supervised Learning, Advanced Learning Algorithms, Unsupervised Learning)</w:t>
      </w:r>
    </w:p>
    <w:p w14:paraId="5CADCBE4" w14:textId="77777777" w:rsidR="00116A7E" w:rsidRDefault="006B64F0">
      <w:pPr>
        <w:numPr>
          <w:ilvl w:val="0"/>
          <w:numId w:val="4"/>
        </w:numPr>
        <w:ind w:right="0" w:hanging="185"/>
      </w:pPr>
      <w:r>
        <w:t>Google Data Analytics Professional Certification – Grade 87.7% (R, Spreadsheets, SQL, Tableau)</w:t>
      </w:r>
    </w:p>
    <w:p w14:paraId="1273E1F1" w14:textId="77777777" w:rsidR="00116A7E" w:rsidRDefault="006B64F0">
      <w:pPr>
        <w:numPr>
          <w:ilvl w:val="0"/>
          <w:numId w:val="4"/>
        </w:numPr>
        <w:ind w:right="0" w:hanging="185"/>
      </w:pPr>
      <w:r>
        <w:t>British Airways Virtual Internship: Data Science Intern (Web scrapping, Python, ML algorithms)</w:t>
      </w:r>
    </w:p>
    <w:sectPr w:rsidR="00116A7E">
      <w:pgSz w:w="12240" w:h="15840"/>
      <w:pgMar w:top="399" w:right="579" w:bottom="482"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7D16"/>
    <w:multiLevelType w:val="hybridMultilevel"/>
    <w:tmpl w:val="32B6C204"/>
    <w:lvl w:ilvl="0" w:tplc="C6D21F14">
      <w:start w:val="1"/>
      <w:numFmt w:val="bullet"/>
      <w:lvlText w:val="•"/>
      <w:lvlJc w:val="left"/>
      <w:pPr>
        <w:ind w:left="4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AD3AF7B6">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B61CDF14">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EA60ED8">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B4ACC7BA">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E384DB06">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0936D0CC">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AAAC0B3A">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16C00D7E">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577B572D"/>
    <w:multiLevelType w:val="hybridMultilevel"/>
    <w:tmpl w:val="3BEAE368"/>
    <w:lvl w:ilvl="0" w:tplc="B464EBDA">
      <w:start w:val="1"/>
      <w:numFmt w:val="bullet"/>
      <w:lvlText w:val="•"/>
      <w:lvlJc w:val="left"/>
      <w:pPr>
        <w:ind w:left="4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9CC60116">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E2707CDE">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1161986">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7AC2EBC4">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4E6AB4FC">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90C4EE2">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AD368AEC">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1F14A8A6">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5AC030C9"/>
    <w:multiLevelType w:val="hybridMultilevel"/>
    <w:tmpl w:val="B196424E"/>
    <w:lvl w:ilvl="0" w:tplc="1528E2E8">
      <w:start w:val="1"/>
      <w:numFmt w:val="bullet"/>
      <w:lvlText w:val="•"/>
      <w:lvlJc w:val="left"/>
      <w:pPr>
        <w:ind w:left="4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77F2DDD4">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AC8026CE">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26D878EA">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494668B4">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5F584BFE">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71AA656">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C78E4ADA">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F7423F66">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743733E8"/>
    <w:multiLevelType w:val="hybridMultilevel"/>
    <w:tmpl w:val="3788C66E"/>
    <w:lvl w:ilvl="0" w:tplc="042A3084">
      <w:start w:val="1"/>
      <w:numFmt w:val="bullet"/>
      <w:lvlText w:val="•"/>
      <w:lvlJc w:val="left"/>
      <w:pPr>
        <w:ind w:left="4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9C644E5A">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338261FE">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BF883614">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1ED889F6">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29168110">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BABA14E8">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46E5D8C">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40BE0810">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7E"/>
    <w:rsid w:val="00116A7E"/>
    <w:rsid w:val="006B6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5F8F"/>
  <w15:docId w15:val="{72E10232-4576-483A-B4AD-02992B09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7" w:lineRule="auto"/>
      <w:ind w:left="195" w:right="11" w:hanging="195"/>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266"/>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kishan-tripathi-280a49200/" TargetMode="External"/><Relationship Id="rId11" Type="http://schemas.openxmlformats.org/officeDocument/2006/relationships/theme" Target="theme/theme1.xml"/><Relationship Id="rId5" Type="http://schemas.openxmlformats.org/officeDocument/2006/relationships/hyperlink" Target="https://linkedin.com/in//kishan-tripathi-280a492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 Id="hyperlink106"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TRIPATHI</dc:creator>
  <cp:keywords/>
  <cp:lastModifiedBy>SHASHWAT TRIPATHI</cp:lastModifiedBy>
  <cp:revision>2</cp:revision>
  <dcterms:created xsi:type="dcterms:W3CDTF">2024-06-01T19:01:00Z</dcterms:created>
  <dcterms:modified xsi:type="dcterms:W3CDTF">2024-06-01T19:01:00Z</dcterms:modified>
</cp:coreProperties>
</file>