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92E66">
      <w:pPr>
        <w:jc w:val="center"/>
        <w:rPr>
          <w:color w:val="000000" w:themeColor="text1"/>
          <w14:textFill>
            <w14:solidFill>
              <w14:schemeClr w14:val="tx1"/>
            </w14:solidFill>
          </w14:textFill>
        </w:rPr>
      </w:pPr>
      <w:r>
        <w:rPr>
          <w:b/>
          <w:color w:val="000000" w:themeColor="text1"/>
          <w:sz w:val="48"/>
          <w14:textFill>
            <w14:solidFill>
              <w14:schemeClr w14:val="tx1"/>
            </w14:solidFill>
          </w14:textFill>
        </w:rPr>
        <w:t>Observation Notes and Rating Summary</w:t>
      </w:r>
    </w:p>
    <w:p w14:paraId="5BB28E49">
      <w:pPr>
        <w:jc w:val="center"/>
        <w:rPr>
          <w:color w:val="000000" w:themeColor="text1"/>
          <w14:textFill>
            <w14:solidFill>
              <w14:schemeClr w14:val="tx1"/>
            </w14:solidFill>
          </w14:textFill>
        </w:rPr>
      </w:pPr>
      <w:r>
        <w:rPr>
          <w:color w:val="000000" w:themeColor="text1"/>
          <w:sz w:val="28"/>
          <w14:textFill>
            <w14:solidFill>
              <w14:schemeClr w14:val="tx1"/>
            </w14:solidFill>
          </w14:textFill>
        </w:rPr>
        <w:t>ENT208TC Validation Report Evidence Appendix</w:t>
      </w:r>
    </w:p>
    <w:p w14:paraId="462509D3">
      <w:pPr>
        <w:rPr>
          <w:color w:val="000000" w:themeColor="text1"/>
          <w14:textFill>
            <w14:solidFill>
              <w14:schemeClr w14:val="tx1"/>
            </w14:solidFill>
          </w14:textFill>
        </w:rPr>
      </w:pPr>
    </w:p>
    <w:tbl>
      <w:tblPr>
        <w:tblStyle w:val="32"/>
        <w:tblW w:w="0" w:type="auto"/>
        <w:jc w:val="center"/>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Layout w:type="autofit"/>
        <w:tblCellMar>
          <w:top w:w="0" w:type="dxa"/>
          <w:left w:w="108" w:type="dxa"/>
          <w:bottom w:w="0" w:type="dxa"/>
          <w:right w:w="108" w:type="dxa"/>
        </w:tblCellMar>
      </w:tblPr>
      <w:tblGrid>
        <w:gridCol w:w="5184"/>
        <w:gridCol w:w="5184"/>
      </w:tblGrid>
      <w:tr w14:paraId="6DCC80A6">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shd w:val="clear" w:color="auto" w:fill="D9EAF7"/>
            <w:vAlign w:val="center"/>
          </w:tcPr>
          <w:p w14:paraId="69F8C316">
            <w:pPr>
              <w:jc w:val="left"/>
              <w:rPr>
                <w:color w:val="000000" w:themeColor="text1"/>
                <w14:textFill>
                  <w14:solidFill>
                    <w14:schemeClr w14:val="tx1"/>
                  </w14:solidFill>
                </w14:textFill>
              </w:rPr>
            </w:pPr>
            <w:r>
              <w:rPr>
                <w:b/>
                <w:color w:val="000000" w:themeColor="text1"/>
                <w:sz w:val="18"/>
                <w14:textFill>
                  <w14:solidFill>
                    <w14:schemeClr w14:val="tx1"/>
                  </w14:solidFill>
                </w14:textFill>
              </w:rPr>
              <w:t>Project</w:t>
            </w:r>
          </w:p>
        </w:tc>
        <w:tc>
          <w:tcPr>
            <w:tcW w:w="5184" w:type="dxa"/>
            <w:vAlign w:val="center"/>
          </w:tcPr>
          <w:p w14:paraId="3D7B6BDC">
            <w:pPr>
              <w:jc w:val="left"/>
              <w:rPr>
                <w:color w:val="000000" w:themeColor="text1"/>
                <w14:textFill>
                  <w14:solidFill>
                    <w14:schemeClr w14:val="tx1"/>
                  </w14:solidFill>
                </w14:textFill>
              </w:rPr>
            </w:pPr>
            <w:r>
              <w:rPr>
                <w:b w:val="0"/>
                <w:color w:val="000000" w:themeColor="text1"/>
                <w:sz w:val="18"/>
                <w14:textFill>
                  <w14:solidFill>
                    <w14:schemeClr w14:val="tx1"/>
                  </w14:solidFill>
                </w14:textFill>
              </w:rPr>
              <w:t>Desktop Smart Companion Assistant (Hardware + Software)</w:t>
            </w:r>
          </w:p>
        </w:tc>
      </w:tr>
      <w:tr w14:paraId="1191E055">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shd w:val="clear" w:color="auto" w:fill="D9EAF7"/>
            <w:vAlign w:val="center"/>
          </w:tcPr>
          <w:p w14:paraId="76ACC15B">
            <w:pPr>
              <w:jc w:val="left"/>
              <w:rPr>
                <w:color w:val="000000" w:themeColor="text1"/>
                <w14:textFill>
                  <w14:solidFill>
                    <w14:schemeClr w14:val="tx1"/>
                  </w14:solidFill>
                </w14:textFill>
              </w:rPr>
            </w:pPr>
            <w:r>
              <w:rPr>
                <w:b/>
                <w:color w:val="000000" w:themeColor="text1"/>
                <w:sz w:val="18"/>
                <w14:textFill>
                  <w14:solidFill>
                    <w14:schemeClr w14:val="tx1"/>
                  </w14:solidFill>
                </w14:textFill>
              </w:rPr>
              <w:t>Team</w:t>
            </w:r>
          </w:p>
        </w:tc>
        <w:tc>
          <w:tcPr>
            <w:tcW w:w="5184" w:type="dxa"/>
            <w:vAlign w:val="center"/>
          </w:tcPr>
          <w:p w14:paraId="38456BE1">
            <w:pPr>
              <w:jc w:val="left"/>
              <w:rPr>
                <w:color w:val="000000" w:themeColor="text1"/>
                <w14:textFill>
                  <w14:solidFill>
                    <w14:schemeClr w14:val="tx1"/>
                  </w14:solidFill>
                </w14:textFill>
              </w:rPr>
            </w:pPr>
            <w:r>
              <w:rPr>
                <w:b w:val="0"/>
                <w:color w:val="000000" w:themeColor="text1"/>
                <w:sz w:val="18"/>
                <w14:textFill>
                  <w14:solidFill>
                    <w14:schemeClr w14:val="tx1"/>
                  </w14:solidFill>
                </w14:textFill>
              </w:rPr>
              <w:t>X Space | Session 2 - Group 1</w:t>
            </w:r>
          </w:p>
        </w:tc>
      </w:tr>
      <w:tr w14:paraId="4EA9C6F3">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shd w:val="clear" w:color="auto" w:fill="D9EAF7"/>
            <w:vAlign w:val="center"/>
          </w:tcPr>
          <w:p w14:paraId="7C08B0F3">
            <w:pPr>
              <w:jc w:val="left"/>
              <w:rPr>
                <w:color w:val="000000" w:themeColor="text1"/>
                <w14:textFill>
                  <w14:solidFill>
                    <w14:schemeClr w14:val="tx1"/>
                  </w14:solidFill>
                </w14:textFill>
              </w:rPr>
            </w:pPr>
            <w:r>
              <w:rPr>
                <w:b/>
                <w:color w:val="000000" w:themeColor="text1"/>
                <w:sz w:val="18"/>
                <w14:textFill>
                  <w14:solidFill>
                    <w14:schemeClr w14:val="tx1"/>
                  </w14:solidFill>
                </w14:textFill>
              </w:rPr>
              <w:t>Evidence reference</w:t>
            </w:r>
          </w:p>
        </w:tc>
        <w:tc>
          <w:tcPr>
            <w:tcW w:w="5184" w:type="dxa"/>
            <w:vAlign w:val="center"/>
          </w:tcPr>
          <w:p w14:paraId="295FACCF">
            <w:pPr>
              <w:jc w:val="left"/>
              <w:rPr>
                <w:color w:val="000000" w:themeColor="text1"/>
                <w14:textFill>
                  <w14:solidFill>
                    <w14:schemeClr w14:val="tx1"/>
                  </w14:solidFill>
                </w14:textFill>
              </w:rPr>
            </w:pPr>
            <w:r>
              <w:rPr>
                <w:b w:val="0"/>
                <w:color w:val="000000" w:themeColor="text1"/>
                <w:sz w:val="18"/>
                <w14:textFill>
                  <w14:solidFill>
                    <w14:schemeClr w14:val="tx1"/>
                  </w14:solidFill>
                </w14:textFill>
              </w:rPr>
              <w:t>B2</w:t>
            </w:r>
          </w:p>
        </w:tc>
      </w:tr>
      <w:tr w14:paraId="47D35E70">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shd w:val="clear" w:color="auto" w:fill="D9EAF7"/>
            <w:vAlign w:val="center"/>
          </w:tcPr>
          <w:p w14:paraId="3E64BE78">
            <w:pPr>
              <w:jc w:val="left"/>
              <w:rPr>
                <w:color w:val="000000" w:themeColor="text1"/>
                <w14:textFill>
                  <w14:solidFill>
                    <w14:schemeClr w14:val="tx1"/>
                  </w14:solidFill>
                </w14:textFill>
              </w:rPr>
            </w:pPr>
            <w:r>
              <w:rPr>
                <w:b/>
                <w:color w:val="000000" w:themeColor="text1"/>
                <w:sz w:val="18"/>
                <w14:textFill>
                  <w14:solidFill>
                    <w14:schemeClr w14:val="tx1"/>
                  </w14:solidFill>
                </w14:textFill>
              </w:rPr>
              <w:t>Evidence type</w:t>
            </w:r>
          </w:p>
        </w:tc>
        <w:tc>
          <w:tcPr>
            <w:tcW w:w="5184" w:type="dxa"/>
            <w:vAlign w:val="center"/>
          </w:tcPr>
          <w:p w14:paraId="221507AF">
            <w:pPr>
              <w:jc w:val="left"/>
              <w:rPr>
                <w:color w:val="000000" w:themeColor="text1"/>
                <w14:textFill>
                  <w14:solidFill>
                    <w14:schemeClr w14:val="tx1"/>
                  </w14:solidFill>
                </w14:textFill>
              </w:rPr>
            </w:pPr>
            <w:r>
              <w:rPr>
                <w:b w:val="0"/>
                <w:color w:val="000000" w:themeColor="text1"/>
                <w:sz w:val="18"/>
                <w14:textFill>
                  <w14:solidFill>
                    <w14:schemeClr w14:val="tx1"/>
                  </w14:solidFill>
                </w14:textFill>
              </w:rPr>
              <w:t>Observation notes, rating summary, and cross-participant usability findings</w:t>
            </w:r>
          </w:p>
        </w:tc>
      </w:tr>
      <w:tr w14:paraId="6ECB103A">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shd w:val="clear" w:color="auto" w:fill="D9EAF7"/>
            <w:vAlign w:val="center"/>
          </w:tcPr>
          <w:p w14:paraId="10FB36E1">
            <w:pPr>
              <w:jc w:val="left"/>
              <w:rPr>
                <w:color w:val="000000" w:themeColor="text1"/>
                <w14:textFill>
                  <w14:solidFill>
                    <w14:schemeClr w14:val="tx1"/>
                  </w14:solidFill>
                </w14:textFill>
              </w:rPr>
            </w:pPr>
            <w:r>
              <w:rPr>
                <w:b/>
                <w:color w:val="000000" w:themeColor="text1"/>
                <w:sz w:val="18"/>
                <w14:textFill>
                  <w14:solidFill>
                    <w14:schemeClr w14:val="tx1"/>
                  </w14:solidFill>
                </w14:textFill>
              </w:rPr>
              <w:t>Participants covered</w:t>
            </w:r>
          </w:p>
        </w:tc>
        <w:tc>
          <w:tcPr>
            <w:tcW w:w="5184" w:type="dxa"/>
            <w:vAlign w:val="center"/>
          </w:tcPr>
          <w:p w14:paraId="69A9BD7A">
            <w:pPr>
              <w:jc w:val="left"/>
              <w:rPr>
                <w:color w:val="000000" w:themeColor="text1"/>
                <w14:textFill>
                  <w14:solidFill>
                    <w14:schemeClr w14:val="tx1"/>
                  </w14:solidFill>
                </w14:textFill>
              </w:rPr>
            </w:pPr>
            <w:r>
              <w:rPr>
                <w:b w:val="0"/>
                <w:color w:val="000000" w:themeColor="text1"/>
                <w:sz w:val="18"/>
                <w14:textFill>
                  <w14:solidFill>
                    <w14:schemeClr w14:val="tx1"/>
                  </w14:solidFill>
                </w14:textFill>
              </w:rPr>
              <w:t>P1-P5</w:t>
            </w:r>
          </w:p>
        </w:tc>
      </w:tr>
      <w:tr w14:paraId="4B381989">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shd w:val="clear" w:color="auto" w:fill="D9EAF7"/>
            <w:vAlign w:val="center"/>
          </w:tcPr>
          <w:p w14:paraId="5E16D85A">
            <w:pPr>
              <w:jc w:val="left"/>
              <w:rPr>
                <w:color w:val="000000" w:themeColor="text1"/>
                <w14:textFill>
                  <w14:solidFill>
                    <w14:schemeClr w14:val="tx1"/>
                  </w14:solidFill>
                </w14:textFill>
              </w:rPr>
            </w:pPr>
            <w:r>
              <w:rPr>
                <w:b/>
                <w:color w:val="000000" w:themeColor="text1"/>
                <w:sz w:val="18"/>
                <w14:textFill>
                  <w14:solidFill>
                    <w14:schemeClr w14:val="tx1"/>
                  </w14:solidFill>
                </w14:textFill>
              </w:rPr>
              <w:t>Prototype scope</w:t>
            </w:r>
          </w:p>
        </w:tc>
        <w:tc>
          <w:tcPr>
            <w:tcW w:w="5184" w:type="dxa"/>
            <w:vAlign w:val="center"/>
          </w:tcPr>
          <w:p w14:paraId="4843E596">
            <w:pPr>
              <w:jc w:val="left"/>
              <w:rPr>
                <w:color w:val="000000" w:themeColor="text1"/>
                <w14:textFill>
                  <w14:solidFill>
                    <w14:schemeClr w14:val="tx1"/>
                  </w14:solidFill>
                </w14:textFill>
              </w:rPr>
            </w:pPr>
            <w:r>
              <w:rPr>
                <w:b w:val="0"/>
                <w:color w:val="000000" w:themeColor="text1"/>
                <w:sz w:val="18"/>
                <w14:textFill>
                  <w14:solidFill>
                    <w14:schemeClr w14:val="tx1"/>
                  </w14:solidFill>
                </w14:textFill>
              </w:rPr>
              <w:t>V1 usability testing with selected V2 follow-up checks</w:t>
            </w:r>
          </w:p>
        </w:tc>
      </w:tr>
      <w:tr w14:paraId="7BCB67F8">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shd w:val="clear" w:color="auto" w:fill="D9EAF7"/>
            <w:vAlign w:val="center"/>
          </w:tcPr>
          <w:p w14:paraId="6AC3D46E">
            <w:pPr>
              <w:jc w:val="left"/>
              <w:rPr>
                <w:color w:val="000000" w:themeColor="text1"/>
                <w14:textFill>
                  <w14:solidFill>
                    <w14:schemeClr w14:val="tx1"/>
                  </w14:solidFill>
                </w14:textFill>
              </w:rPr>
            </w:pPr>
            <w:r>
              <w:rPr>
                <w:b/>
                <w:color w:val="000000" w:themeColor="text1"/>
                <w:sz w:val="18"/>
                <w14:textFill>
                  <w14:solidFill>
                    <w14:schemeClr w14:val="tx1"/>
                  </w14:solidFill>
                </w14:textFill>
              </w:rPr>
              <w:t>Recommended link description</w:t>
            </w:r>
          </w:p>
        </w:tc>
        <w:tc>
          <w:tcPr>
            <w:tcW w:w="5184" w:type="dxa"/>
            <w:vAlign w:val="center"/>
          </w:tcPr>
          <w:p w14:paraId="060A9644">
            <w:pPr>
              <w:jc w:val="left"/>
              <w:rPr>
                <w:color w:val="000000" w:themeColor="text1"/>
                <w14:textFill>
                  <w14:solidFill>
                    <w14:schemeClr w14:val="tx1"/>
                  </w14:solidFill>
                </w14:textFill>
              </w:rPr>
            </w:pPr>
            <w:r>
              <w:rPr>
                <w:b w:val="0"/>
                <w:color w:val="000000" w:themeColor="text1"/>
                <w:sz w:val="18"/>
                <w14:textFill>
                  <w14:solidFill>
                    <w14:schemeClr w14:val="tx1"/>
                  </w14:solidFill>
                </w14:textFill>
              </w:rPr>
              <w:t>Observation notes and rating summary based on P1-P5 usability testing sessions, including task completion, observed problems, severity ratings, and design implications.</w:t>
            </w:r>
          </w:p>
        </w:tc>
      </w:tr>
      <w:tr w14:paraId="6820373F">
        <w:tblPrEx>
          <w:tblBorders>
            <w:top w:val="single" w:color="5B8DEF" w:sz="8" w:space="0"/>
            <w:left w:val="single" w:color="5B8DEF" w:sz="8" w:space="0"/>
            <w:bottom w:val="single" w:color="5B8DEF" w:sz="8" w:space="0"/>
            <w:right w:val="single" w:color="5B8DEF" w:sz="8" w:space="0"/>
            <w:insideH w:val="single" w:color="5B8DEF" w:sz="8" w:space="0"/>
            <w:insideV w:val="single" w:color="5B8DEF" w:sz="8" w:space="0"/>
          </w:tblBorders>
          <w:tblCellMar>
            <w:top w:w="0" w:type="dxa"/>
            <w:left w:w="108" w:type="dxa"/>
            <w:bottom w:w="0" w:type="dxa"/>
            <w:right w:w="108" w:type="dxa"/>
          </w:tblCellMar>
        </w:tblPrEx>
        <w:trPr>
          <w:jc w:val="center"/>
        </w:trPr>
        <w:tc>
          <w:tcPr>
            <w:tcW w:w="10368" w:type="dxa"/>
            <w:gridSpan w:val="2"/>
            <w:shd w:val="clear" w:color="auto" w:fill="F0F7FF"/>
          </w:tcPr>
          <w:p w14:paraId="0E128348">
            <w:pPr>
              <w:rPr>
                <w:color w:val="000000" w:themeColor="text1"/>
                <w14:textFill>
                  <w14:solidFill>
                    <w14:schemeClr w14:val="tx1"/>
                  </w14:solidFill>
                </w14:textFill>
              </w:rPr>
            </w:pPr>
            <w:r>
              <w:rPr>
                <w:b/>
                <w:color w:val="000000" w:themeColor="text1"/>
                <w:sz w:val="20"/>
                <w14:textFill>
                  <w14:solidFill>
                    <w14:schemeClr w14:val="tx1"/>
                  </w14:solidFill>
                </w14:textFill>
              </w:rPr>
              <w:t>How this file should be used in the evidence table</w:t>
            </w:r>
          </w:p>
          <w:p w14:paraId="0ACD78A1">
            <w:pPr>
              <w:rPr>
                <w:color w:val="000000" w:themeColor="text1"/>
                <w14:textFill>
                  <w14:solidFill>
                    <w14:schemeClr w14:val="tx1"/>
                  </w14:solidFill>
                </w14:textFill>
              </w:rPr>
            </w:pPr>
            <w:r>
              <w:rPr>
                <w:color w:val="000000" w:themeColor="text1"/>
                <w:sz w:val="18"/>
                <w14:textFill>
                  <w14:solidFill>
                    <w14:schemeClr w14:val="tx1"/>
                  </w14:solidFill>
                </w14:textFill>
              </w:rPr>
              <w:t>Paste the share link to this DOCX in the B2 row. Keep A1-A5 as separate detailed session records and C1 as the formal WJX survey report link. B2 is the cross-session observation/rating summary, not a raw survey export.</w:t>
            </w:r>
          </w:p>
        </w:tc>
      </w:tr>
    </w:tbl>
    <w:p w14:paraId="5D5AE537">
      <w:pPr>
        <w:rPr>
          <w:color w:val="000000" w:themeColor="text1"/>
          <w14:textFill>
            <w14:solidFill>
              <w14:schemeClr w14:val="tx1"/>
            </w14:solidFill>
          </w14:textFill>
        </w:rPr>
      </w:pPr>
    </w:p>
    <w:p w14:paraId="0306FB05">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217920" cy="28321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217920" cy="2832608"/>
                    </a:xfrm>
                    <a:prstGeom prst="rect">
                      <a:avLst/>
                    </a:prstGeom>
                  </pic:spPr>
                </pic:pic>
              </a:graphicData>
            </a:graphic>
          </wp:inline>
        </w:drawing>
      </w:r>
    </w:p>
    <w:p w14:paraId="30B97745">
      <w:pPr>
        <w:jc w:val="center"/>
        <w:rPr>
          <w:color w:val="000000" w:themeColor="text1"/>
          <w14:textFill>
            <w14:solidFill>
              <w14:schemeClr w14:val="tx1"/>
            </w14:solidFill>
          </w14:textFill>
        </w:rPr>
      </w:pPr>
      <w:r>
        <w:rPr>
          <w:i/>
          <w:color w:val="000000" w:themeColor="text1"/>
          <w:sz w:val="16"/>
          <w14:textFill>
            <w14:solidFill>
              <w14:schemeClr w14:val="tx1"/>
            </w14:solidFill>
          </w14:textFill>
        </w:rPr>
        <w:t>Figure 1. Evidence structure connecting individual session records, B2 summary, validation findings, and V2 design changes.</w:t>
      </w:r>
    </w:p>
    <w:p w14:paraId="08B6D2FE">
      <w:pPr>
        <w:pStyle w:val="3"/>
        <w:keepNext/>
        <w:rPr>
          <w:color w:val="000000" w:themeColor="text1"/>
          <w14:textFill>
            <w14:solidFill>
              <w14:schemeClr w14:val="tx1"/>
            </w14:solidFill>
          </w14:textFill>
        </w:rPr>
      </w:pPr>
    </w:p>
    <w:p w14:paraId="25A4B244">
      <w:pPr>
        <w:pStyle w:val="3"/>
        <w:keepNext/>
        <w:rPr>
          <w:color w:val="000000" w:themeColor="text1"/>
          <w14:textFill>
            <w14:solidFill>
              <w14:schemeClr w14:val="tx1"/>
            </w14:solidFill>
          </w14:textFill>
        </w:rPr>
      </w:pPr>
      <w:r>
        <w:rPr>
          <w:color w:val="000000" w:themeColor="text1"/>
          <w14:textFill>
            <w14:solidFill>
              <w14:schemeClr w14:val="tx1"/>
            </w14:solidFill>
          </w14:textFill>
        </w:rPr>
        <w:t>1. Evidence Purpose</w:t>
      </w:r>
    </w:p>
    <w:p w14:paraId="6661360E">
      <w:pPr>
        <w:rPr>
          <w:color w:val="000000" w:themeColor="text1"/>
          <w14:textFill>
            <w14:solidFill>
              <w14:schemeClr w14:val="tx1"/>
            </w14:solidFill>
          </w14:textFill>
        </w:rPr>
      </w:pPr>
      <w:r>
        <w:rPr>
          <w:b/>
          <w:color w:val="000000" w:themeColor="text1"/>
          <w14:textFill>
            <w14:solidFill>
              <w14:schemeClr w14:val="tx1"/>
            </w14:solidFill>
          </w14:textFill>
        </w:rPr>
        <w:t xml:space="preserve">This B2 evidence file summarises observation notes and rating evidence across five user-testing sessions. </w:t>
      </w:r>
      <w:r>
        <w:rPr>
          <w:color w:val="000000" w:themeColor="text1"/>
          <w14:textFill>
            <w14:solidFill>
              <w14:schemeClr w14:val="tx1"/>
            </w14:solidFill>
          </w14:textFill>
        </w:rPr>
        <w:t>It is designed to support the validation report by showing patterns across participants rather than relying only on single quotes. The evidence focuses on task completion, visible feedback, repeated-command behaviour, interruption control, and privacy confidence.</w:t>
      </w:r>
    </w:p>
    <w:p w14:paraId="0EAD4B24">
      <w:pPr>
        <w:rPr>
          <w:color w:val="000000" w:themeColor="text1"/>
          <w14:textFill>
            <w14:solidFill>
              <w14:schemeClr w14:val="tx1"/>
            </w14:solidFill>
          </w14:textFill>
        </w:rPr>
      </w:pPr>
      <w:r>
        <w:rPr>
          <w:b/>
          <w:color w:val="000000" w:themeColor="text1"/>
          <w14:textFill>
            <w14:solidFill>
              <w14:schemeClr w14:val="tx1"/>
            </w14:solidFill>
          </w14:textFill>
        </w:rPr>
        <w:t>Core evaluation areas:</w:t>
      </w:r>
    </w:p>
    <w:p w14:paraId="78CCED44">
      <w:pPr>
        <w:pStyle w:val="16"/>
        <w:rPr>
          <w:color w:val="000000" w:themeColor="text1"/>
          <w14:textFill>
            <w14:solidFill>
              <w14:schemeClr w14:val="tx1"/>
            </w14:solidFill>
          </w14:textFill>
        </w:rPr>
      </w:pPr>
      <w:r>
        <w:rPr>
          <w:color w:val="000000" w:themeColor="text1"/>
          <w14:textFill>
            <w14:solidFill>
              <w14:schemeClr w14:val="tx1"/>
            </w14:solidFill>
          </w14:textFill>
        </w:rPr>
        <w:t>Productivity support: setting a 25-minute Pomodoro timer.</w:t>
      </w:r>
    </w:p>
    <w:p w14:paraId="5EA2B451">
      <w:pPr>
        <w:pStyle w:val="16"/>
        <w:rPr>
          <w:color w:val="000000" w:themeColor="text1"/>
          <w14:textFill>
            <w14:solidFill>
              <w14:schemeClr w14:val="tx1"/>
            </w14:solidFill>
          </w14:textFill>
        </w:rPr>
      </w:pPr>
      <w:r>
        <w:rPr>
          <w:color w:val="000000" w:themeColor="text1"/>
          <w14:textFill>
            <w14:solidFill>
              <w14:schemeClr w14:val="tx1"/>
            </w14:solidFill>
          </w14:textFill>
        </w:rPr>
        <w:t>Interruption control: stopping a long audio/news response.</w:t>
      </w:r>
    </w:p>
    <w:p w14:paraId="1963FAEA">
      <w:pPr>
        <w:pStyle w:val="16"/>
        <w:rPr>
          <w:color w:val="000000" w:themeColor="text1"/>
          <w14:textFill>
            <w14:solidFill>
              <w14:schemeClr w14:val="tx1"/>
            </w14:solidFill>
          </w14:textFill>
        </w:rPr>
      </w:pPr>
      <w:r>
        <w:rPr>
          <w:color w:val="000000" w:themeColor="text1"/>
          <w14:textFill>
            <w14:solidFill>
              <w14:schemeClr w14:val="tx1"/>
            </w14:solidFill>
          </w14:textFill>
        </w:rPr>
        <w:t>Privacy control: disabling or confirming microphone-off status.</w:t>
      </w:r>
    </w:p>
    <w:p w14:paraId="301902E3">
      <w:pPr>
        <w:pStyle w:val="16"/>
        <w:rPr>
          <w:color w:val="000000" w:themeColor="text1"/>
          <w14:textFill>
            <w14:solidFill>
              <w14:schemeClr w14:val="tx1"/>
            </w14:solidFill>
          </w14:textFill>
        </w:rPr>
      </w:pPr>
      <w:r>
        <w:rPr>
          <w:color w:val="000000" w:themeColor="text1"/>
          <w14:textFill>
            <w14:solidFill>
              <w14:schemeClr w14:val="tx1"/>
            </w14:solidFill>
          </w14:textFill>
        </w:rPr>
        <w:t>Perceived usability: whether users understood the system state without extra explanation.</w:t>
      </w:r>
    </w:p>
    <w:p w14:paraId="547E4D2D">
      <w:pPr>
        <w:pStyle w:val="3"/>
        <w:keepNext/>
        <w:rPr>
          <w:color w:val="000000" w:themeColor="text1"/>
          <w14:textFill>
            <w14:solidFill>
              <w14:schemeClr w14:val="tx1"/>
            </w14:solidFill>
          </w14:textFill>
        </w:rPr>
      </w:pPr>
      <w:r>
        <w:rPr>
          <w:color w:val="000000" w:themeColor="text1"/>
          <w14:textFill>
            <w14:solidFill>
              <w14:schemeClr w14:val="tx1"/>
            </w14:solidFill>
          </w14:textFill>
        </w:rPr>
        <w:t>2. Testing Method Summary</w:t>
      </w:r>
    </w:p>
    <w:tbl>
      <w:tblPr>
        <w:tblStyle w:val="32"/>
        <w:tblW w:w="0" w:type="auto"/>
        <w:jc w:val="center"/>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Layout w:type="autofit"/>
        <w:tblCellMar>
          <w:top w:w="0" w:type="dxa"/>
          <w:left w:w="108" w:type="dxa"/>
          <w:bottom w:w="0" w:type="dxa"/>
          <w:right w:w="108" w:type="dxa"/>
        </w:tblCellMar>
      </w:tblPr>
      <w:tblGrid>
        <w:gridCol w:w="5184"/>
        <w:gridCol w:w="5184"/>
      </w:tblGrid>
      <w:tr w14:paraId="25CCAE6C">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shd w:val="clear" w:color="auto" w:fill="1F4E79"/>
            <w:vAlign w:val="center"/>
          </w:tcPr>
          <w:p w14:paraId="41C81713">
            <w:pPr>
              <w:jc w:val="left"/>
              <w:rPr>
                <w:color w:val="000000" w:themeColor="text1"/>
                <w14:textFill>
                  <w14:solidFill>
                    <w14:schemeClr w14:val="tx1"/>
                  </w14:solidFill>
                </w14:textFill>
              </w:rPr>
            </w:pPr>
            <w:r>
              <w:rPr>
                <w:b/>
                <w:color w:val="000000" w:themeColor="text1"/>
                <w:sz w:val="18"/>
                <w14:textFill>
                  <w14:solidFill>
                    <w14:schemeClr w14:val="tx1"/>
                  </w14:solidFill>
                </w14:textFill>
              </w:rPr>
              <w:t>Item</w:t>
            </w:r>
          </w:p>
        </w:tc>
        <w:tc>
          <w:tcPr>
            <w:tcW w:w="5184" w:type="dxa"/>
            <w:shd w:val="clear" w:color="auto" w:fill="1F4E79"/>
            <w:vAlign w:val="center"/>
          </w:tcPr>
          <w:p w14:paraId="5A1CB427">
            <w:pPr>
              <w:jc w:val="left"/>
              <w:rPr>
                <w:color w:val="000000" w:themeColor="text1"/>
                <w14:textFill>
                  <w14:solidFill>
                    <w14:schemeClr w14:val="tx1"/>
                  </w14:solidFill>
                </w14:textFill>
              </w:rPr>
            </w:pPr>
            <w:r>
              <w:rPr>
                <w:b/>
                <w:color w:val="000000" w:themeColor="text1"/>
                <w:sz w:val="18"/>
                <w14:textFill>
                  <w14:solidFill>
                    <w14:schemeClr w14:val="tx1"/>
                  </w14:solidFill>
                </w14:textFill>
              </w:rPr>
              <w:t>Description</w:t>
            </w:r>
          </w:p>
        </w:tc>
      </w:tr>
      <w:tr w14:paraId="460AF435">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vAlign w:val="center"/>
          </w:tcPr>
          <w:p w14:paraId="5AACE9F3">
            <w:pPr>
              <w:jc w:val="left"/>
              <w:rPr>
                <w:color w:val="000000" w:themeColor="text1"/>
                <w14:textFill>
                  <w14:solidFill>
                    <w14:schemeClr w14:val="tx1"/>
                  </w14:solidFill>
                </w14:textFill>
              </w:rPr>
            </w:pPr>
            <w:r>
              <w:rPr>
                <w:b/>
                <w:color w:val="000000" w:themeColor="text1"/>
                <w:sz w:val="17"/>
                <w14:textFill>
                  <w14:solidFill>
                    <w14:schemeClr w14:val="tx1"/>
                  </w14:solidFill>
                </w14:textFill>
              </w:rPr>
              <w:t>Session format</w:t>
            </w:r>
          </w:p>
        </w:tc>
        <w:tc>
          <w:tcPr>
            <w:tcW w:w="5184" w:type="dxa"/>
            <w:vAlign w:val="center"/>
          </w:tcPr>
          <w:p w14:paraId="134FC92B">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In-person usability testing</w:t>
            </w:r>
          </w:p>
        </w:tc>
      </w:tr>
      <w:tr w14:paraId="78B32919">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vAlign w:val="center"/>
          </w:tcPr>
          <w:p w14:paraId="0F746B9A">
            <w:pPr>
              <w:jc w:val="left"/>
              <w:rPr>
                <w:color w:val="000000" w:themeColor="text1"/>
                <w14:textFill>
                  <w14:solidFill>
                    <w14:schemeClr w14:val="tx1"/>
                  </w14:solidFill>
                </w14:textFill>
              </w:rPr>
            </w:pPr>
            <w:r>
              <w:rPr>
                <w:b/>
                <w:color w:val="000000" w:themeColor="text1"/>
                <w:sz w:val="17"/>
                <w14:textFill>
                  <w14:solidFill>
                    <w14:schemeClr w14:val="tx1"/>
                  </w14:solidFill>
                </w14:textFill>
              </w:rPr>
              <w:t>Session length</w:t>
            </w:r>
          </w:p>
        </w:tc>
        <w:tc>
          <w:tcPr>
            <w:tcW w:w="5184" w:type="dxa"/>
            <w:vAlign w:val="center"/>
          </w:tcPr>
          <w:p w14:paraId="228E1FB8">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Approximately 20 minutes per participant</w:t>
            </w:r>
          </w:p>
        </w:tc>
      </w:tr>
      <w:tr w14:paraId="35BDA51D">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vAlign w:val="center"/>
          </w:tcPr>
          <w:p w14:paraId="22F8F131">
            <w:pPr>
              <w:jc w:val="left"/>
              <w:rPr>
                <w:color w:val="000000" w:themeColor="text1"/>
                <w14:textFill>
                  <w14:solidFill>
                    <w14:schemeClr w14:val="tx1"/>
                  </w14:solidFill>
                </w14:textFill>
              </w:rPr>
            </w:pPr>
            <w:r>
              <w:rPr>
                <w:b/>
                <w:color w:val="000000" w:themeColor="text1"/>
                <w:sz w:val="17"/>
                <w14:textFill>
                  <w14:solidFill>
                    <w14:schemeClr w14:val="tx1"/>
                  </w14:solidFill>
                </w14:textFill>
              </w:rPr>
              <w:t>Participants</w:t>
            </w:r>
          </w:p>
        </w:tc>
        <w:tc>
          <w:tcPr>
            <w:tcW w:w="5184" w:type="dxa"/>
            <w:vAlign w:val="center"/>
          </w:tcPr>
          <w:p w14:paraId="06C43249">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P1-P5, recruited from different user backgrounds</w:t>
            </w:r>
          </w:p>
        </w:tc>
      </w:tr>
      <w:tr w14:paraId="7B95AD70">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vAlign w:val="center"/>
          </w:tcPr>
          <w:p w14:paraId="075F1C92">
            <w:pPr>
              <w:jc w:val="left"/>
              <w:rPr>
                <w:color w:val="000000" w:themeColor="text1"/>
                <w14:textFill>
                  <w14:solidFill>
                    <w14:schemeClr w14:val="tx1"/>
                  </w14:solidFill>
                </w14:textFill>
              </w:rPr>
            </w:pPr>
            <w:r>
              <w:rPr>
                <w:b/>
                <w:color w:val="000000" w:themeColor="text1"/>
                <w:sz w:val="17"/>
                <w14:textFill>
                  <w14:solidFill>
                    <w14:schemeClr w14:val="tx1"/>
                  </w14:solidFill>
                </w14:textFill>
              </w:rPr>
              <w:t>Prototype tested</w:t>
            </w:r>
          </w:p>
        </w:tc>
        <w:tc>
          <w:tcPr>
            <w:tcW w:w="5184" w:type="dxa"/>
            <w:vAlign w:val="center"/>
          </w:tcPr>
          <w:p w14:paraId="2AD94D38">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V1 prototype; selected V2 follow-up checks for major design changes</w:t>
            </w:r>
          </w:p>
        </w:tc>
      </w:tr>
      <w:tr w14:paraId="17481D11">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vAlign w:val="center"/>
          </w:tcPr>
          <w:p w14:paraId="62959DC3">
            <w:pPr>
              <w:jc w:val="left"/>
              <w:rPr>
                <w:color w:val="000000" w:themeColor="text1"/>
                <w14:textFill>
                  <w14:solidFill>
                    <w14:schemeClr w14:val="tx1"/>
                  </w14:solidFill>
                </w14:textFill>
              </w:rPr>
            </w:pPr>
            <w:r>
              <w:rPr>
                <w:b/>
                <w:color w:val="000000" w:themeColor="text1"/>
                <w:sz w:val="17"/>
                <w14:textFill>
                  <w14:solidFill>
                    <w14:schemeClr w14:val="tx1"/>
                  </w14:solidFill>
                </w14:textFill>
              </w:rPr>
              <w:t>Data collected</w:t>
            </w:r>
          </w:p>
        </w:tc>
        <w:tc>
          <w:tcPr>
            <w:tcW w:w="5184" w:type="dxa"/>
            <w:vAlign w:val="center"/>
          </w:tcPr>
          <w:p w14:paraId="284E3EE8">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Observation notes, participant behaviour, direct quotes, task outcome, and researcher-coded severity rating</w:t>
            </w:r>
          </w:p>
        </w:tc>
      </w:tr>
      <w:tr w14:paraId="01AC45B5">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vAlign w:val="center"/>
          </w:tcPr>
          <w:p w14:paraId="209F9BC4">
            <w:pPr>
              <w:jc w:val="left"/>
              <w:rPr>
                <w:color w:val="000000" w:themeColor="text1"/>
                <w14:textFill>
                  <w14:solidFill>
                    <w14:schemeClr w14:val="tx1"/>
                  </w14:solidFill>
                </w14:textFill>
              </w:rPr>
            </w:pPr>
            <w:r>
              <w:rPr>
                <w:b/>
                <w:color w:val="000000" w:themeColor="text1"/>
                <w:sz w:val="17"/>
                <w14:textFill>
                  <w14:solidFill>
                    <w14:schemeClr w14:val="tx1"/>
                  </w14:solidFill>
                </w14:textFill>
              </w:rPr>
              <w:t>Main task areas</w:t>
            </w:r>
          </w:p>
        </w:tc>
        <w:tc>
          <w:tcPr>
            <w:tcW w:w="5184" w:type="dxa"/>
            <w:vAlign w:val="center"/>
          </w:tcPr>
          <w:p w14:paraId="0B85C5B9">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Pomodoro timer, interruption control, privacy control</w:t>
            </w:r>
          </w:p>
        </w:tc>
      </w:tr>
      <w:tr w14:paraId="0582FFAE">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5184" w:type="dxa"/>
            <w:vAlign w:val="center"/>
          </w:tcPr>
          <w:p w14:paraId="0AF8F3CC">
            <w:pPr>
              <w:jc w:val="left"/>
              <w:rPr>
                <w:color w:val="000000" w:themeColor="text1"/>
                <w14:textFill>
                  <w14:solidFill>
                    <w14:schemeClr w14:val="tx1"/>
                  </w14:solidFill>
                </w14:textFill>
              </w:rPr>
            </w:pPr>
            <w:r>
              <w:rPr>
                <w:b/>
                <w:color w:val="000000" w:themeColor="text1"/>
                <w:sz w:val="17"/>
                <w14:textFill>
                  <w14:solidFill>
                    <w14:schemeClr w14:val="tx1"/>
                  </w14:solidFill>
                </w14:textFill>
              </w:rPr>
              <w:t>Evaluation focus</w:t>
            </w:r>
          </w:p>
        </w:tc>
        <w:tc>
          <w:tcPr>
            <w:tcW w:w="5184" w:type="dxa"/>
            <w:vAlign w:val="center"/>
          </w:tcPr>
          <w:p w14:paraId="3C16294C">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Task completion, user confidence, feedback clarity, perceived control, and privacy trust</w:t>
            </w:r>
          </w:p>
        </w:tc>
      </w:tr>
    </w:tbl>
    <w:p w14:paraId="784BAA04">
      <w:pPr>
        <w:pStyle w:val="3"/>
        <w:keepNext/>
        <w:rPr>
          <w:color w:val="000000" w:themeColor="text1"/>
          <w14:textFill>
            <w14:solidFill>
              <w14:schemeClr w14:val="tx1"/>
            </w14:solidFill>
          </w14:textFill>
        </w:rPr>
      </w:pPr>
      <w:r>
        <w:rPr>
          <w:color w:val="000000" w:themeColor="text1"/>
          <w14:textFill>
            <w14:solidFill>
              <w14:schemeClr w14:val="tx1"/>
            </w14:solidFill>
          </w14:textFill>
        </w:rPr>
        <w:t>3. Rating Scale Used</w:t>
      </w:r>
    </w:p>
    <w:tbl>
      <w:tblPr>
        <w:tblStyle w:val="32"/>
        <w:tblW w:w="0" w:type="auto"/>
        <w:jc w:val="center"/>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Layout w:type="autofit"/>
        <w:tblCellMar>
          <w:top w:w="0" w:type="dxa"/>
          <w:left w:w="108" w:type="dxa"/>
          <w:bottom w:w="0" w:type="dxa"/>
          <w:right w:w="108" w:type="dxa"/>
        </w:tblCellMar>
      </w:tblPr>
      <w:tblGrid>
        <w:gridCol w:w="3456"/>
        <w:gridCol w:w="3456"/>
        <w:gridCol w:w="3456"/>
      </w:tblGrid>
      <w:tr w14:paraId="10F8E328">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3456" w:type="dxa"/>
            <w:shd w:val="clear" w:color="auto" w:fill="1F4E79"/>
            <w:vAlign w:val="center"/>
          </w:tcPr>
          <w:p w14:paraId="081ACF0E">
            <w:pPr>
              <w:jc w:val="left"/>
              <w:rPr>
                <w:color w:val="000000" w:themeColor="text1"/>
                <w14:textFill>
                  <w14:solidFill>
                    <w14:schemeClr w14:val="tx1"/>
                  </w14:solidFill>
                </w14:textFill>
              </w:rPr>
            </w:pPr>
            <w:r>
              <w:rPr>
                <w:b/>
                <w:color w:val="000000" w:themeColor="text1"/>
                <w:sz w:val="18"/>
                <w14:textFill>
                  <w14:solidFill>
                    <w14:schemeClr w14:val="tx1"/>
                  </w14:solidFill>
                </w14:textFill>
              </w:rPr>
              <w:t>Rating</w:t>
            </w:r>
          </w:p>
        </w:tc>
        <w:tc>
          <w:tcPr>
            <w:tcW w:w="3456" w:type="dxa"/>
            <w:shd w:val="clear" w:color="auto" w:fill="1F4E79"/>
            <w:vAlign w:val="center"/>
          </w:tcPr>
          <w:p w14:paraId="2374229E">
            <w:pPr>
              <w:jc w:val="left"/>
              <w:rPr>
                <w:color w:val="000000" w:themeColor="text1"/>
                <w14:textFill>
                  <w14:solidFill>
                    <w14:schemeClr w14:val="tx1"/>
                  </w14:solidFill>
                </w14:textFill>
              </w:rPr>
            </w:pPr>
            <w:r>
              <w:rPr>
                <w:b/>
                <w:color w:val="000000" w:themeColor="text1"/>
                <w:sz w:val="18"/>
                <w14:textFill>
                  <w14:solidFill>
                    <w14:schemeClr w14:val="tx1"/>
                  </w14:solidFill>
                </w14:textFill>
              </w:rPr>
              <w:t>Meaning</w:t>
            </w:r>
          </w:p>
        </w:tc>
        <w:tc>
          <w:tcPr>
            <w:tcW w:w="3456" w:type="dxa"/>
            <w:shd w:val="clear" w:color="auto" w:fill="1F4E79"/>
            <w:vAlign w:val="center"/>
          </w:tcPr>
          <w:p w14:paraId="6BA9032B">
            <w:pPr>
              <w:jc w:val="left"/>
              <w:rPr>
                <w:color w:val="000000" w:themeColor="text1"/>
                <w14:textFill>
                  <w14:solidFill>
                    <w14:schemeClr w14:val="tx1"/>
                  </w14:solidFill>
                </w14:textFill>
              </w:rPr>
            </w:pPr>
            <w:r>
              <w:rPr>
                <w:b/>
                <w:color w:val="000000" w:themeColor="text1"/>
                <w:sz w:val="18"/>
                <w14:textFill>
                  <w14:solidFill>
                    <w14:schemeClr w14:val="tx1"/>
                  </w14:solidFill>
                </w14:textFill>
              </w:rPr>
              <w:t>Evidence interpretation</w:t>
            </w:r>
          </w:p>
        </w:tc>
      </w:tr>
      <w:tr w14:paraId="10016592">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3456" w:type="dxa"/>
            <w:vAlign w:val="center"/>
          </w:tcPr>
          <w:p w14:paraId="77F3D5C4">
            <w:pPr>
              <w:jc w:val="left"/>
              <w:rPr>
                <w:color w:val="000000" w:themeColor="text1"/>
                <w14:textFill>
                  <w14:solidFill>
                    <w14:schemeClr w14:val="tx1"/>
                  </w14:solidFill>
                </w14:textFill>
              </w:rPr>
            </w:pPr>
            <w:r>
              <w:rPr>
                <w:b/>
                <w:color w:val="000000" w:themeColor="text1"/>
                <w:sz w:val="17"/>
                <w14:textFill>
                  <w14:solidFill>
                    <w14:schemeClr w14:val="tx1"/>
                  </w14:solidFill>
                </w14:textFill>
              </w:rPr>
              <w:t>Low</w:t>
            </w:r>
          </w:p>
        </w:tc>
        <w:tc>
          <w:tcPr>
            <w:tcW w:w="3456" w:type="dxa"/>
            <w:vAlign w:val="center"/>
          </w:tcPr>
          <w:p w14:paraId="2E78138F">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Minor issue; user noticed it but task was still completed smoothly.</w:t>
            </w:r>
          </w:p>
        </w:tc>
        <w:tc>
          <w:tcPr>
            <w:tcW w:w="3456" w:type="dxa"/>
            <w:vAlign w:val="center"/>
          </w:tcPr>
          <w:p w14:paraId="0600275B">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Useful for polishing, not central to validation findings.</w:t>
            </w:r>
          </w:p>
        </w:tc>
      </w:tr>
      <w:tr w14:paraId="3D7E8449">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3456" w:type="dxa"/>
            <w:vAlign w:val="center"/>
          </w:tcPr>
          <w:p w14:paraId="0657008E">
            <w:pPr>
              <w:jc w:val="left"/>
              <w:rPr>
                <w:color w:val="000000" w:themeColor="text1"/>
                <w14:textFill>
                  <w14:solidFill>
                    <w14:schemeClr w14:val="tx1"/>
                  </w14:solidFill>
                </w14:textFill>
              </w:rPr>
            </w:pPr>
            <w:r>
              <w:rPr>
                <w:b/>
                <w:color w:val="000000" w:themeColor="text1"/>
                <w:sz w:val="17"/>
                <w14:textFill>
                  <w14:solidFill>
                    <w14:schemeClr w14:val="tx1"/>
                  </w14:solidFill>
                </w14:textFill>
              </w:rPr>
              <w:t>Medium</w:t>
            </w:r>
          </w:p>
        </w:tc>
        <w:tc>
          <w:tcPr>
            <w:tcW w:w="3456" w:type="dxa"/>
            <w:vAlign w:val="center"/>
          </w:tcPr>
          <w:p w14:paraId="43B41B41">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Noticeable issue; user hesitated, felt uncertain, or needed extra effort.</w:t>
            </w:r>
          </w:p>
        </w:tc>
        <w:tc>
          <w:tcPr>
            <w:tcW w:w="3456" w:type="dxa"/>
            <w:vAlign w:val="center"/>
          </w:tcPr>
          <w:p w14:paraId="72315FBD">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Indicates friction that may affect adoption.</w:t>
            </w:r>
          </w:p>
        </w:tc>
      </w:tr>
      <w:tr w14:paraId="7DC5B8A0">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3456" w:type="dxa"/>
            <w:vAlign w:val="center"/>
          </w:tcPr>
          <w:p w14:paraId="1E1AD0D9">
            <w:pPr>
              <w:jc w:val="left"/>
              <w:rPr>
                <w:color w:val="000000" w:themeColor="text1"/>
                <w14:textFill>
                  <w14:solidFill>
                    <w14:schemeClr w14:val="tx1"/>
                  </w14:solidFill>
                </w14:textFill>
              </w:rPr>
            </w:pPr>
            <w:r>
              <w:rPr>
                <w:b/>
                <w:color w:val="000000" w:themeColor="text1"/>
                <w:sz w:val="17"/>
                <w14:textFill>
                  <w14:solidFill>
                    <w14:schemeClr w14:val="tx1"/>
                  </w14:solidFill>
                </w14:textFill>
              </w:rPr>
              <w:t>High</w:t>
            </w:r>
          </w:p>
        </w:tc>
        <w:tc>
          <w:tcPr>
            <w:tcW w:w="3456" w:type="dxa"/>
            <w:vAlign w:val="center"/>
          </w:tcPr>
          <w:p w14:paraId="47241ED6">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Serious issue; user confidence was reduced or task flow was disrupted.</w:t>
            </w:r>
          </w:p>
        </w:tc>
        <w:tc>
          <w:tcPr>
            <w:tcW w:w="3456" w:type="dxa"/>
            <w:vAlign w:val="center"/>
          </w:tcPr>
          <w:p w14:paraId="25626C0B">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Requires clear V2 design response.</w:t>
            </w:r>
          </w:p>
        </w:tc>
      </w:tr>
      <w:tr w14:paraId="49607D11">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3456" w:type="dxa"/>
            <w:vAlign w:val="center"/>
          </w:tcPr>
          <w:p w14:paraId="24EA2839">
            <w:pPr>
              <w:jc w:val="left"/>
              <w:rPr>
                <w:color w:val="000000" w:themeColor="text1"/>
                <w14:textFill>
                  <w14:solidFill>
                    <w14:schemeClr w14:val="tx1"/>
                  </w14:solidFill>
                </w14:textFill>
              </w:rPr>
            </w:pPr>
            <w:r>
              <w:rPr>
                <w:b/>
                <w:color w:val="000000" w:themeColor="text1"/>
                <w:sz w:val="17"/>
                <w14:textFill>
                  <w14:solidFill>
                    <w14:schemeClr w14:val="tx1"/>
                  </w14:solidFill>
                </w14:textFill>
              </w:rPr>
              <w:t>Critical</w:t>
            </w:r>
          </w:p>
        </w:tc>
        <w:tc>
          <w:tcPr>
            <w:tcW w:w="3456" w:type="dxa"/>
            <w:vAlign w:val="center"/>
          </w:tcPr>
          <w:p w14:paraId="591F6B07">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Task could not be completed reliably, or the user lost control of the interaction.</w:t>
            </w:r>
          </w:p>
        </w:tc>
        <w:tc>
          <w:tcPr>
            <w:tcW w:w="3456" w:type="dxa"/>
            <w:vAlign w:val="center"/>
          </w:tcPr>
          <w:p w14:paraId="06F6A842">
            <w:pPr>
              <w:jc w:val="left"/>
              <w:rPr>
                <w:color w:val="000000" w:themeColor="text1"/>
                <w14:textFill>
                  <w14:solidFill>
                    <w14:schemeClr w14:val="tx1"/>
                  </w14:solidFill>
                </w14:textFill>
              </w:rPr>
            </w:pPr>
            <w:r>
              <w:rPr>
                <w:b w:val="0"/>
                <w:color w:val="000000" w:themeColor="text1"/>
                <w:sz w:val="17"/>
                <w14:textFill>
                  <w14:solidFill>
                    <w14:schemeClr w14:val="tx1"/>
                  </w14:solidFill>
                </w14:textFill>
              </w:rPr>
              <w:t>Must be addressed before final demonstration or deployment.</w:t>
            </w:r>
          </w:p>
        </w:tc>
      </w:tr>
      <w:tr w14:paraId="2B0B0FAC">
        <w:tblPrEx>
          <w:tblBorders>
            <w:top w:val="single" w:color="E5A94A" w:sz="8" w:space="0"/>
            <w:left w:val="single" w:color="E5A94A" w:sz="8" w:space="0"/>
            <w:bottom w:val="single" w:color="E5A94A" w:sz="8" w:space="0"/>
            <w:right w:val="single" w:color="E5A94A" w:sz="8" w:space="0"/>
            <w:insideH w:val="single" w:color="E5A94A" w:sz="8" w:space="0"/>
            <w:insideV w:val="single" w:color="E5A94A" w:sz="8" w:space="0"/>
          </w:tblBorders>
          <w:tblCellMar>
            <w:top w:w="0" w:type="dxa"/>
            <w:left w:w="108" w:type="dxa"/>
            <w:bottom w:w="0" w:type="dxa"/>
            <w:right w:w="108" w:type="dxa"/>
          </w:tblCellMar>
        </w:tblPrEx>
        <w:trPr>
          <w:jc w:val="center"/>
        </w:trPr>
        <w:tc>
          <w:tcPr>
            <w:tcW w:w="10368" w:type="dxa"/>
            <w:gridSpan w:val="3"/>
            <w:shd w:val="clear" w:color="auto" w:fill="FFF7E8"/>
          </w:tcPr>
          <w:p w14:paraId="32EEB0D0">
            <w:pPr>
              <w:rPr>
                <w:color w:val="000000" w:themeColor="text1"/>
                <w14:textFill>
                  <w14:solidFill>
                    <w14:schemeClr w14:val="tx1"/>
                  </w14:solidFill>
                </w14:textFill>
              </w:rPr>
            </w:pPr>
          </w:p>
        </w:tc>
      </w:tr>
    </w:tbl>
    <w:p w14:paraId="61EA4366">
      <w:pPr>
        <w:rPr>
          <w:color w:val="000000" w:themeColor="text1"/>
          <w14:textFill>
            <w14:solidFill>
              <w14:schemeClr w14:val="tx1"/>
            </w14:solidFill>
          </w14:textFill>
        </w:rPr>
      </w:pPr>
    </w:p>
    <w:p w14:paraId="07900CB3">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217920" cy="3039745"/>
            <wp:effectExtent l="0" t="0" r="508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217920" cy="3039872"/>
                    </a:xfrm>
                    <a:prstGeom prst="rect">
                      <a:avLst/>
                    </a:prstGeom>
                  </pic:spPr>
                </pic:pic>
              </a:graphicData>
            </a:graphic>
          </wp:inline>
        </w:drawing>
      </w:r>
    </w:p>
    <w:p w14:paraId="4F5A5F23">
      <w:pPr>
        <w:jc w:val="center"/>
        <w:rPr>
          <w:color w:val="000000" w:themeColor="text1"/>
          <w14:textFill>
            <w14:solidFill>
              <w14:schemeClr w14:val="tx1"/>
            </w14:solidFill>
          </w14:textFill>
        </w:rPr>
      </w:pPr>
      <w:r>
        <w:rPr>
          <w:i/>
          <w:color w:val="000000" w:themeColor="text1"/>
          <w:sz w:val="16"/>
          <w14:textFill>
            <w14:solidFill>
              <w14:schemeClr w14:val="tx1"/>
            </w14:solidFill>
          </w14:textFill>
        </w:rPr>
        <w:t>Figure 2. Participant observation cards summarising the main task, severity, issue, and V2 implication for each session.</w:t>
      </w:r>
    </w:p>
    <w:p w14:paraId="3B5F0A24">
      <w:pPr>
        <w:rPr>
          <w:rFonts w:asciiTheme="majorHAnsi" w:hAnsiTheme="majorHAnsi" w:eastAsiaTheme="majorEastAsia" w:cstheme="majorBidi"/>
          <w:b/>
          <w:bCs/>
          <w:color w:val="000000" w:themeColor="text1"/>
          <w:sz w:val="28"/>
          <w:szCs w:val="28"/>
          <w:lang w:val="en-US" w:eastAsia="en-US" w:bidi="ar-SA"/>
          <w14:textFill>
            <w14:solidFill>
              <w14:schemeClr w14:val="tx1"/>
            </w14:solidFill>
          </w14:textFill>
        </w:rPr>
      </w:pPr>
      <w:r>
        <w:rPr>
          <w:rFonts w:asciiTheme="majorHAnsi" w:hAnsiTheme="majorHAnsi" w:eastAsiaTheme="majorEastAsia" w:cstheme="majorBidi"/>
          <w:b/>
          <w:bCs/>
          <w:color w:val="000000" w:themeColor="text1"/>
          <w:sz w:val="28"/>
          <w:szCs w:val="28"/>
          <w:lang w:val="en-US" w:eastAsia="en-US" w:bidi="ar-SA"/>
          <w14:textFill>
            <w14:solidFill>
              <w14:schemeClr w14:val="tx1"/>
            </w14:solidFill>
          </w14:textFill>
        </w:rPr>
        <w:t>4. Participant Observation Summary</w:t>
      </w:r>
    </w:p>
    <w:tbl>
      <w:tblPr>
        <w:tblStyle w:val="32"/>
        <w:tblW w:w="0" w:type="auto"/>
        <w:jc w:val="center"/>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Layout w:type="autofit"/>
        <w:tblCellMar>
          <w:top w:w="0" w:type="dxa"/>
          <w:left w:w="108" w:type="dxa"/>
          <w:bottom w:w="0" w:type="dxa"/>
          <w:right w:w="108" w:type="dxa"/>
        </w:tblCellMar>
      </w:tblPr>
      <w:tblGrid>
        <w:gridCol w:w="1728"/>
        <w:gridCol w:w="1728"/>
        <w:gridCol w:w="1728"/>
        <w:gridCol w:w="1728"/>
        <w:gridCol w:w="1728"/>
        <w:gridCol w:w="1728"/>
      </w:tblGrid>
      <w:tr w14:paraId="1523506C">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1728" w:type="dxa"/>
            <w:shd w:val="clear" w:color="auto" w:fill="1F4E79"/>
            <w:vAlign w:val="center"/>
          </w:tcPr>
          <w:p w14:paraId="12117231">
            <w:pPr>
              <w:jc w:val="left"/>
              <w:rPr>
                <w:color w:val="000000" w:themeColor="text1"/>
                <w14:textFill>
                  <w14:solidFill>
                    <w14:schemeClr w14:val="tx1"/>
                  </w14:solidFill>
                </w14:textFill>
              </w:rPr>
            </w:pPr>
            <w:r>
              <w:rPr>
                <w:b/>
                <w:color w:val="000000" w:themeColor="text1"/>
                <w:sz w:val="15"/>
                <w14:textFill>
                  <w14:solidFill>
                    <w14:schemeClr w14:val="tx1"/>
                  </w14:solidFill>
                </w14:textFill>
              </w:rPr>
              <w:t>Participant</w:t>
            </w:r>
          </w:p>
        </w:tc>
        <w:tc>
          <w:tcPr>
            <w:tcW w:w="1728" w:type="dxa"/>
            <w:shd w:val="clear" w:color="auto" w:fill="1F4E79"/>
            <w:vAlign w:val="center"/>
          </w:tcPr>
          <w:p w14:paraId="7F94B9AF">
            <w:pPr>
              <w:jc w:val="left"/>
              <w:rPr>
                <w:color w:val="000000" w:themeColor="text1"/>
                <w14:textFill>
                  <w14:solidFill>
                    <w14:schemeClr w14:val="tx1"/>
                  </w14:solidFill>
                </w14:textFill>
              </w:rPr>
            </w:pPr>
            <w:r>
              <w:rPr>
                <w:b/>
                <w:color w:val="000000" w:themeColor="text1"/>
                <w:sz w:val="15"/>
                <w14:textFill>
                  <w14:solidFill>
                    <w14:schemeClr w14:val="tx1"/>
                  </w14:solidFill>
                </w14:textFill>
              </w:rPr>
              <w:t>Main task observed</w:t>
            </w:r>
          </w:p>
        </w:tc>
        <w:tc>
          <w:tcPr>
            <w:tcW w:w="1728" w:type="dxa"/>
            <w:shd w:val="clear" w:color="auto" w:fill="1F4E79"/>
            <w:vAlign w:val="center"/>
          </w:tcPr>
          <w:p w14:paraId="7DC148AC">
            <w:pPr>
              <w:jc w:val="left"/>
              <w:rPr>
                <w:color w:val="000000" w:themeColor="text1"/>
                <w14:textFill>
                  <w14:solidFill>
                    <w14:schemeClr w14:val="tx1"/>
                  </w14:solidFill>
                </w14:textFill>
              </w:rPr>
            </w:pPr>
            <w:r>
              <w:rPr>
                <w:b/>
                <w:color w:val="000000" w:themeColor="text1"/>
                <w:sz w:val="15"/>
                <w14:textFill>
                  <w14:solidFill>
                    <w14:schemeClr w14:val="tx1"/>
                  </w14:solidFill>
                </w14:textFill>
              </w:rPr>
              <w:t>Key observation</w:t>
            </w:r>
          </w:p>
        </w:tc>
        <w:tc>
          <w:tcPr>
            <w:tcW w:w="1728" w:type="dxa"/>
            <w:shd w:val="clear" w:color="auto" w:fill="1F4E79"/>
            <w:vAlign w:val="center"/>
          </w:tcPr>
          <w:p w14:paraId="5534D1B5">
            <w:pPr>
              <w:jc w:val="left"/>
              <w:rPr>
                <w:color w:val="000000" w:themeColor="text1"/>
                <w14:textFill>
                  <w14:solidFill>
                    <w14:schemeClr w14:val="tx1"/>
                  </w14:solidFill>
                </w14:textFill>
              </w:rPr>
            </w:pPr>
            <w:r>
              <w:rPr>
                <w:b/>
                <w:color w:val="000000" w:themeColor="text1"/>
                <w:sz w:val="15"/>
                <w14:textFill>
                  <w14:solidFill>
                    <w14:schemeClr w14:val="tx1"/>
                  </w14:solidFill>
                </w14:textFill>
              </w:rPr>
              <w:t>Severity</w:t>
            </w:r>
          </w:p>
        </w:tc>
        <w:tc>
          <w:tcPr>
            <w:tcW w:w="1728" w:type="dxa"/>
            <w:shd w:val="clear" w:color="auto" w:fill="1F4E79"/>
            <w:vAlign w:val="center"/>
          </w:tcPr>
          <w:p w14:paraId="0386D7DF">
            <w:pPr>
              <w:jc w:val="left"/>
              <w:rPr>
                <w:color w:val="000000" w:themeColor="text1"/>
                <w14:textFill>
                  <w14:solidFill>
                    <w14:schemeClr w14:val="tx1"/>
                  </w14:solidFill>
                </w14:textFill>
              </w:rPr>
            </w:pPr>
            <w:r>
              <w:rPr>
                <w:b/>
                <w:color w:val="000000" w:themeColor="text1"/>
                <w:sz w:val="15"/>
                <w14:textFill>
                  <w14:solidFill>
                    <w14:schemeClr w14:val="tx1"/>
                  </w14:solidFill>
                </w14:textFill>
              </w:rPr>
              <w:t>V2 design implication</w:t>
            </w:r>
          </w:p>
        </w:tc>
        <w:tc>
          <w:tcPr>
            <w:tcW w:w="1728" w:type="dxa"/>
            <w:shd w:val="clear" w:color="auto" w:fill="1F4E79"/>
            <w:vAlign w:val="center"/>
          </w:tcPr>
          <w:p w14:paraId="092944D3">
            <w:pPr>
              <w:jc w:val="left"/>
              <w:rPr>
                <w:color w:val="000000" w:themeColor="text1"/>
                <w14:textFill>
                  <w14:solidFill>
                    <w14:schemeClr w14:val="tx1"/>
                  </w14:solidFill>
                </w14:textFill>
              </w:rPr>
            </w:pPr>
            <w:r>
              <w:rPr>
                <w:b/>
                <w:color w:val="000000" w:themeColor="text1"/>
                <w:sz w:val="15"/>
                <w14:textFill>
                  <w14:solidFill>
                    <w14:schemeClr w14:val="tx1"/>
                  </w14:solidFill>
                </w14:textFill>
              </w:rPr>
              <w:t>Evidence ref.</w:t>
            </w:r>
          </w:p>
        </w:tc>
      </w:tr>
      <w:tr w14:paraId="3B1E34B1">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1728" w:type="dxa"/>
            <w:vAlign w:val="center"/>
          </w:tcPr>
          <w:p w14:paraId="725ECD3C">
            <w:pPr>
              <w:jc w:val="left"/>
              <w:rPr>
                <w:color w:val="000000" w:themeColor="text1"/>
                <w14:textFill>
                  <w14:solidFill>
                    <w14:schemeClr w14:val="tx1"/>
                  </w14:solidFill>
                </w14:textFill>
              </w:rPr>
            </w:pPr>
            <w:r>
              <w:rPr>
                <w:b/>
                <w:color w:val="000000" w:themeColor="text1"/>
                <w:sz w:val="14"/>
                <w14:textFill>
                  <w14:solidFill>
                    <w14:schemeClr w14:val="tx1"/>
                  </w14:solidFill>
                </w14:textFill>
              </w:rPr>
              <w:t>P1</w:t>
            </w:r>
          </w:p>
        </w:tc>
        <w:tc>
          <w:tcPr>
            <w:tcW w:w="1728" w:type="dxa"/>
            <w:vAlign w:val="center"/>
          </w:tcPr>
          <w:p w14:paraId="265AD428">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Pomodoro timer</w:t>
            </w:r>
          </w:p>
        </w:tc>
        <w:tc>
          <w:tcPr>
            <w:tcW w:w="1728" w:type="dxa"/>
            <w:vAlign w:val="center"/>
          </w:tcPr>
          <w:p w14:paraId="55653BD0">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Repeated the same voice command because the screen gave no immediate processing feedback. The timer was not completed cleanly on the first attempt.</w:t>
            </w:r>
          </w:p>
        </w:tc>
        <w:tc>
          <w:tcPr>
            <w:tcW w:w="1728" w:type="dxa"/>
            <w:shd w:val="clear" w:color="auto" w:fill="FFF3CD"/>
            <w:vAlign w:val="center"/>
          </w:tcPr>
          <w:p w14:paraId="3C048704">
            <w:pPr>
              <w:jc w:val="left"/>
              <w:rPr>
                <w:color w:val="000000" w:themeColor="text1"/>
                <w14:textFill>
                  <w14:solidFill>
                    <w14:schemeClr w14:val="tx1"/>
                  </w14:solidFill>
                </w14:textFill>
              </w:rPr>
            </w:pPr>
            <w:r>
              <w:rPr>
                <w:b/>
                <w:color w:val="000000" w:themeColor="text1"/>
                <w:sz w:val="14"/>
                <w14:textFill>
                  <w14:solidFill>
                    <w14:schemeClr w14:val="tx1"/>
                  </w14:solidFill>
                </w14:textFill>
              </w:rPr>
              <w:t>High</w:t>
            </w:r>
          </w:p>
        </w:tc>
        <w:tc>
          <w:tcPr>
            <w:tcW w:w="1728" w:type="dxa"/>
            <w:vAlign w:val="center"/>
          </w:tcPr>
          <w:p w14:paraId="470B5E21">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Add visible processing feedback and duplicate-command prevention.</w:t>
            </w:r>
          </w:p>
        </w:tc>
        <w:tc>
          <w:tcPr>
            <w:tcW w:w="1728" w:type="dxa"/>
            <w:vAlign w:val="center"/>
          </w:tcPr>
          <w:p w14:paraId="7D01D418">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A1</w:t>
            </w:r>
          </w:p>
        </w:tc>
      </w:tr>
      <w:tr w14:paraId="53F66788">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1728" w:type="dxa"/>
            <w:vAlign w:val="center"/>
          </w:tcPr>
          <w:p w14:paraId="230ECBFF">
            <w:pPr>
              <w:jc w:val="left"/>
              <w:rPr>
                <w:color w:val="000000" w:themeColor="text1"/>
                <w14:textFill>
                  <w14:solidFill>
                    <w14:schemeClr w14:val="tx1"/>
                  </w14:solidFill>
                </w14:textFill>
              </w:rPr>
            </w:pPr>
            <w:r>
              <w:rPr>
                <w:b/>
                <w:color w:val="000000" w:themeColor="text1"/>
                <w:sz w:val="14"/>
                <w14:textFill>
                  <w14:solidFill>
                    <w14:schemeClr w14:val="tx1"/>
                  </w14:solidFill>
                </w14:textFill>
              </w:rPr>
              <w:t>P2</w:t>
            </w:r>
          </w:p>
        </w:tc>
        <w:tc>
          <w:tcPr>
            <w:tcW w:w="1728" w:type="dxa"/>
            <w:vAlign w:val="center"/>
          </w:tcPr>
          <w:p w14:paraId="03B4A90D">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Pomodoro timer / visual feedback</w:t>
            </w:r>
          </w:p>
        </w:tc>
        <w:tc>
          <w:tcPr>
            <w:tcW w:w="1728" w:type="dxa"/>
            <w:vAlign w:val="center"/>
          </w:tcPr>
          <w:p w14:paraId="01DCBE4F">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Paused after giving the command and looked for visible confirmation. The frozen screen created uncertainty about whether the command had been received.</w:t>
            </w:r>
          </w:p>
        </w:tc>
        <w:tc>
          <w:tcPr>
            <w:tcW w:w="1728" w:type="dxa"/>
            <w:shd w:val="clear" w:color="auto" w:fill="FFF3CD"/>
            <w:vAlign w:val="center"/>
          </w:tcPr>
          <w:p w14:paraId="3B5E6593">
            <w:pPr>
              <w:jc w:val="left"/>
              <w:rPr>
                <w:color w:val="000000" w:themeColor="text1"/>
                <w14:textFill>
                  <w14:solidFill>
                    <w14:schemeClr w14:val="tx1"/>
                  </w14:solidFill>
                </w14:textFill>
              </w:rPr>
            </w:pPr>
            <w:r>
              <w:rPr>
                <w:b/>
                <w:color w:val="000000" w:themeColor="text1"/>
                <w:sz w:val="14"/>
                <w14:textFill>
                  <w14:solidFill>
                    <w14:schemeClr w14:val="tx1"/>
                  </w14:solidFill>
                </w14:textFill>
              </w:rPr>
              <w:t>High</w:t>
            </w:r>
          </w:p>
        </w:tc>
        <w:tc>
          <w:tcPr>
            <w:tcW w:w="1728" w:type="dxa"/>
            <w:vAlign w:val="center"/>
          </w:tcPr>
          <w:p w14:paraId="289BC015">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Add clearer listening/processing state feedback, such as a “Thinking...” animation.</w:t>
            </w:r>
          </w:p>
        </w:tc>
        <w:tc>
          <w:tcPr>
            <w:tcW w:w="1728" w:type="dxa"/>
            <w:vAlign w:val="center"/>
          </w:tcPr>
          <w:p w14:paraId="71E5D308">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A2</w:t>
            </w:r>
          </w:p>
        </w:tc>
      </w:tr>
      <w:tr w14:paraId="71C4249E">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1728" w:type="dxa"/>
            <w:vAlign w:val="center"/>
          </w:tcPr>
          <w:p w14:paraId="4B57E33C">
            <w:pPr>
              <w:jc w:val="left"/>
              <w:rPr>
                <w:color w:val="000000" w:themeColor="text1"/>
                <w14:textFill>
                  <w14:solidFill>
                    <w14:schemeClr w14:val="tx1"/>
                  </w14:solidFill>
                </w14:textFill>
              </w:rPr>
            </w:pPr>
            <w:r>
              <w:rPr>
                <w:b/>
                <w:color w:val="000000" w:themeColor="text1"/>
                <w:sz w:val="14"/>
                <w14:textFill>
                  <w14:solidFill>
                    <w14:schemeClr w14:val="tx1"/>
                  </w14:solidFill>
                </w14:textFill>
              </w:rPr>
              <w:t>P3</w:t>
            </w:r>
          </w:p>
        </w:tc>
        <w:tc>
          <w:tcPr>
            <w:tcW w:w="1728" w:type="dxa"/>
            <w:vAlign w:val="center"/>
          </w:tcPr>
          <w:p w14:paraId="16B84EC8">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Privacy control</w:t>
            </w:r>
          </w:p>
        </w:tc>
        <w:tc>
          <w:tcPr>
            <w:tcW w:w="1728" w:type="dxa"/>
            <w:vAlign w:val="center"/>
          </w:tcPr>
          <w:p w14:paraId="16B9D7E9">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Received a voice confirmation that the microphone was off, but still physically covered the device with a book.</w:t>
            </w:r>
          </w:p>
        </w:tc>
        <w:tc>
          <w:tcPr>
            <w:tcW w:w="1728" w:type="dxa"/>
            <w:shd w:val="clear" w:color="auto" w:fill="FFF3CD"/>
            <w:vAlign w:val="center"/>
          </w:tcPr>
          <w:p w14:paraId="45A13A2D">
            <w:pPr>
              <w:jc w:val="left"/>
              <w:rPr>
                <w:color w:val="000000" w:themeColor="text1"/>
                <w14:textFill>
                  <w14:solidFill>
                    <w14:schemeClr w14:val="tx1"/>
                  </w14:solidFill>
                </w14:textFill>
              </w:rPr>
            </w:pPr>
            <w:r>
              <w:rPr>
                <w:b/>
                <w:color w:val="000000" w:themeColor="text1"/>
                <w:sz w:val="14"/>
                <w14:textFill>
                  <w14:solidFill>
                    <w14:schemeClr w14:val="tx1"/>
                  </w14:solidFill>
                </w14:textFill>
              </w:rPr>
              <w:t>High</w:t>
            </w:r>
          </w:p>
        </w:tc>
        <w:tc>
          <w:tcPr>
            <w:tcW w:w="1728" w:type="dxa"/>
            <w:vAlign w:val="center"/>
          </w:tcPr>
          <w:p w14:paraId="2BD767A9">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Add physical privacy switch and visible privacy-state icon.</w:t>
            </w:r>
          </w:p>
        </w:tc>
        <w:tc>
          <w:tcPr>
            <w:tcW w:w="1728" w:type="dxa"/>
            <w:vAlign w:val="center"/>
          </w:tcPr>
          <w:p w14:paraId="49D1105A">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A3</w:t>
            </w:r>
          </w:p>
        </w:tc>
      </w:tr>
      <w:tr w14:paraId="02191146">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1728" w:type="dxa"/>
            <w:vAlign w:val="center"/>
          </w:tcPr>
          <w:p w14:paraId="3CBB74AF">
            <w:pPr>
              <w:jc w:val="left"/>
              <w:rPr>
                <w:color w:val="000000" w:themeColor="text1"/>
                <w14:textFill>
                  <w14:solidFill>
                    <w14:schemeClr w14:val="tx1"/>
                  </w14:solidFill>
                </w14:textFill>
              </w:rPr>
            </w:pPr>
            <w:r>
              <w:rPr>
                <w:b/>
                <w:color w:val="000000" w:themeColor="text1"/>
                <w:sz w:val="14"/>
                <w14:textFill>
                  <w14:solidFill>
                    <w14:schemeClr w14:val="tx1"/>
                  </w14:solidFill>
                </w14:textFill>
              </w:rPr>
              <w:t>P4</w:t>
            </w:r>
          </w:p>
        </w:tc>
        <w:tc>
          <w:tcPr>
            <w:tcW w:w="1728" w:type="dxa"/>
            <w:vAlign w:val="center"/>
          </w:tcPr>
          <w:p w14:paraId="6053A1B8">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Stop long news report</w:t>
            </w:r>
          </w:p>
        </w:tc>
        <w:tc>
          <w:tcPr>
            <w:tcW w:w="1728" w:type="dxa"/>
            <w:vAlign w:val="center"/>
          </w:tcPr>
          <w:p w14:paraId="18CB9B49">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Attempted to stop the device by voice while the news output was loud. The device did not reliably capture the stop command, so the participant used a manual workaround.</w:t>
            </w:r>
          </w:p>
        </w:tc>
        <w:tc>
          <w:tcPr>
            <w:tcW w:w="1728" w:type="dxa"/>
            <w:shd w:val="clear" w:color="auto" w:fill="F8D7DA"/>
            <w:vAlign w:val="center"/>
          </w:tcPr>
          <w:p w14:paraId="69691B6E">
            <w:pPr>
              <w:jc w:val="left"/>
              <w:rPr>
                <w:color w:val="000000" w:themeColor="text1"/>
                <w14:textFill>
                  <w14:solidFill>
                    <w14:schemeClr w14:val="tx1"/>
                  </w14:solidFill>
                </w14:textFill>
              </w:rPr>
            </w:pPr>
            <w:r>
              <w:rPr>
                <w:b/>
                <w:color w:val="000000" w:themeColor="text1"/>
                <w:sz w:val="14"/>
                <w14:textFill>
                  <w14:solidFill>
                    <w14:schemeClr w14:val="tx1"/>
                  </w14:solidFill>
                </w14:textFill>
              </w:rPr>
              <w:t>Critical</w:t>
            </w:r>
          </w:p>
        </w:tc>
        <w:tc>
          <w:tcPr>
            <w:tcW w:w="1728" w:type="dxa"/>
            <w:vAlign w:val="center"/>
          </w:tcPr>
          <w:p w14:paraId="2908243F">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Add guaranteed physical fallback control, such as Pet-to-Mute.</w:t>
            </w:r>
          </w:p>
        </w:tc>
        <w:tc>
          <w:tcPr>
            <w:tcW w:w="1728" w:type="dxa"/>
            <w:vAlign w:val="center"/>
          </w:tcPr>
          <w:p w14:paraId="473ABAA0">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A4</w:t>
            </w:r>
          </w:p>
        </w:tc>
      </w:tr>
      <w:tr w14:paraId="40AA7EAE">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1728" w:type="dxa"/>
            <w:vAlign w:val="center"/>
          </w:tcPr>
          <w:p w14:paraId="2AA46338">
            <w:pPr>
              <w:jc w:val="left"/>
              <w:rPr>
                <w:color w:val="000000" w:themeColor="text1"/>
                <w14:textFill>
                  <w14:solidFill>
                    <w14:schemeClr w14:val="tx1"/>
                  </w14:solidFill>
                </w14:textFill>
              </w:rPr>
            </w:pPr>
            <w:r>
              <w:rPr>
                <w:b/>
                <w:color w:val="000000" w:themeColor="text1"/>
                <w:sz w:val="14"/>
                <w14:textFill>
                  <w14:solidFill>
                    <w14:schemeClr w14:val="tx1"/>
                  </w14:solidFill>
                </w14:textFill>
              </w:rPr>
              <w:t>P5</w:t>
            </w:r>
          </w:p>
        </w:tc>
        <w:tc>
          <w:tcPr>
            <w:tcW w:w="1728" w:type="dxa"/>
            <w:vAlign w:val="center"/>
          </w:tcPr>
          <w:p w14:paraId="0EA84FF8">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Productivity and interruption control</w:t>
            </w:r>
          </w:p>
        </w:tc>
        <w:tc>
          <w:tcPr>
            <w:tcW w:w="1728" w:type="dxa"/>
            <w:vAlign w:val="center"/>
          </w:tcPr>
          <w:p w14:paraId="09582B75">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Expected quick feedback and considered visible processing feedback important for avoiding repeated commands. Also needed reliable interruption control in high-pressure work contexts.</w:t>
            </w:r>
          </w:p>
        </w:tc>
        <w:tc>
          <w:tcPr>
            <w:tcW w:w="1728" w:type="dxa"/>
            <w:shd w:val="clear" w:color="auto" w:fill="DDEBFF"/>
            <w:vAlign w:val="center"/>
          </w:tcPr>
          <w:p w14:paraId="45A67AFB">
            <w:pPr>
              <w:jc w:val="left"/>
              <w:rPr>
                <w:color w:val="000000" w:themeColor="text1"/>
                <w14:textFill>
                  <w14:solidFill>
                    <w14:schemeClr w14:val="tx1"/>
                  </w14:solidFill>
                </w14:textFill>
              </w:rPr>
            </w:pPr>
            <w:r>
              <w:rPr>
                <w:b/>
                <w:color w:val="000000" w:themeColor="text1"/>
                <w:sz w:val="14"/>
                <w14:textFill>
                  <w14:solidFill>
                    <w14:schemeClr w14:val="tx1"/>
                  </w14:solidFill>
                </w14:textFill>
              </w:rPr>
              <w:t>Medium-High</w:t>
            </w:r>
          </w:p>
        </w:tc>
        <w:tc>
          <w:tcPr>
            <w:tcW w:w="1728" w:type="dxa"/>
            <w:vAlign w:val="center"/>
          </w:tcPr>
          <w:p w14:paraId="24737420">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Make interaction states obvious: listening, thinking, speaking, muted, microphone-off.</w:t>
            </w:r>
          </w:p>
        </w:tc>
        <w:tc>
          <w:tcPr>
            <w:tcW w:w="1728" w:type="dxa"/>
            <w:vAlign w:val="center"/>
          </w:tcPr>
          <w:p w14:paraId="5131C838">
            <w:pPr>
              <w:jc w:val="left"/>
              <w:rPr>
                <w:color w:val="000000" w:themeColor="text1"/>
                <w14:textFill>
                  <w14:solidFill>
                    <w14:schemeClr w14:val="tx1"/>
                  </w14:solidFill>
                </w14:textFill>
              </w:rPr>
            </w:pPr>
            <w:r>
              <w:rPr>
                <w:b w:val="0"/>
                <w:color w:val="000000" w:themeColor="text1"/>
                <w:sz w:val="14"/>
                <w14:textFill>
                  <w14:solidFill>
                    <w14:schemeClr w14:val="tx1"/>
                  </w14:solidFill>
                </w14:textFill>
              </w:rPr>
              <w:t>A5</w:t>
            </w:r>
          </w:p>
        </w:tc>
      </w:tr>
    </w:tbl>
    <w:p w14:paraId="44144781">
      <w:pPr>
        <w:rPr>
          <w:color w:val="000000" w:themeColor="text1"/>
          <w14:textFill>
            <w14:solidFill>
              <w14:schemeClr w14:val="tx1"/>
            </w14:solidFill>
          </w14:textFill>
        </w:rPr>
      </w:pPr>
    </w:p>
    <w:p w14:paraId="022A61F4">
      <w:pPr>
        <w:rPr>
          <w:rFonts w:asciiTheme="majorHAnsi" w:hAnsiTheme="majorHAnsi" w:eastAsiaTheme="majorEastAsia" w:cstheme="majorBidi"/>
          <w:b/>
          <w:bCs/>
          <w:color w:val="000000" w:themeColor="text1"/>
          <w:sz w:val="28"/>
          <w:szCs w:val="28"/>
          <w:lang w:val="en-US" w:eastAsia="en-US" w:bidi="ar-SA"/>
          <w14:textFill>
            <w14:solidFill>
              <w14:schemeClr w14:val="tx1"/>
            </w14:solidFill>
          </w14:textFill>
        </w:rPr>
      </w:pPr>
      <w:r>
        <w:rPr>
          <w:rFonts w:asciiTheme="majorHAnsi" w:hAnsiTheme="majorHAnsi" w:eastAsiaTheme="majorEastAsia" w:cstheme="majorBidi"/>
          <w:b/>
          <w:bCs/>
          <w:color w:val="000000" w:themeColor="text1"/>
          <w:sz w:val="28"/>
          <w:szCs w:val="28"/>
          <w:lang w:val="en-US" w:eastAsia="en-US" w:bidi="ar-SA"/>
          <w14:textFill>
            <w14:solidFill>
              <w14:schemeClr w14:val="tx1"/>
            </w14:solidFill>
          </w14:textFill>
        </w:rPr>
        <w:t>5. Key Direct Quotes Used for Coding</w:t>
      </w:r>
    </w:p>
    <w:tbl>
      <w:tblPr>
        <w:tblStyle w:val="32"/>
        <w:tblW w:w="0" w:type="auto"/>
        <w:jc w:val="center"/>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Layout w:type="autofit"/>
        <w:tblCellMar>
          <w:top w:w="0" w:type="dxa"/>
          <w:left w:w="108" w:type="dxa"/>
          <w:bottom w:w="0" w:type="dxa"/>
          <w:right w:w="108" w:type="dxa"/>
        </w:tblCellMar>
      </w:tblPr>
      <w:tblGrid>
        <w:gridCol w:w="2592"/>
        <w:gridCol w:w="2592"/>
        <w:gridCol w:w="2592"/>
        <w:gridCol w:w="2592"/>
      </w:tblGrid>
      <w:tr w14:paraId="07D46D07">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shd w:val="clear" w:color="auto" w:fill="1F4E79"/>
            <w:vAlign w:val="center"/>
          </w:tcPr>
          <w:p w14:paraId="692F839B">
            <w:pPr>
              <w:jc w:val="left"/>
              <w:rPr>
                <w:color w:val="000000" w:themeColor="text1"/>
                <w14:textFill>
                  <w14:solidFill>
                    <w14:schemeClr w14:val="tx1"/>
                  </w14:solidFill>
                </w14:textFill>
              </w:rPr>
            </w:pPr>
            <w:r>
              <w:rPr>
                <w:b/>
                <w:color w:val="000000" w:themeColor="text1"/>
                <w:sz w:val="16"/>
                <w14:textFill>
                  <w14:solidFill>
                    <w14:schemeClr w14:val="tx1"/>
                  </w14:solidFill>
                </w14:textFill>
              </w:rPr>
              <w:t>Participant</w:t>
            </w:r>
          </w:p>
        </w:tc>
        <w:tc>
          <w:tcPr>
            <w:tcW w:w="2592" w:type="dxa"/>
            <w:shd w:val="clear" w:color="auto" w:fill="1F4E79"/>
            <w:vAlign w:val="center"/>
          </w:tcPr>
          <w:p w14:paraId="58357917">
            <w:pPr>
              <w:jc w:val="left"/>
              <w:rPr>
                <w:color w:val="000000" w:themeColor="text1"/>
                <w14:textFill>
                  <w14:solidFill>
                    <w14:schemeClr w14:val="tx1"/>
                  </w14:solidFill>
                </w14:textFill>
              </w:rPr>
            </w:pPr>
            <w:r>
              <w:rPr>
                <w:b/>
                <w:color w:val="000000" w:themeColor="text1"/>
                <w:sz w:val="16"/>
                <w14:textFill>
                  <w14:solidFill>
                    <w14:schemeClr w14:val="tx1"/>
                  </w14:solidFill>
                </w14:textFill>
              </w:rPr>
              <w:t>Quote / follow-up comment</w:t>
            </w:r>
          </w:p>
        </w:tc>
        <w:tc>
          <w:tcPr>
            <w:tcW w:w="2592" w:type="dxa"/>
            <w:shd w:val="clear" w:color="auto" w:fill="1F4E79"/>
            <w:vAlign w:val="center"/>
          </w:tcPr>
          <w:p w14:paraId="12664E70">
            <w:pPr>
              <w:jc w:val="left"/>
              <w:rPr>
                <w:color w:val="000000" w:themeColor="text1"/>
                <w14:textFill>
                  <w14:solidFill>
                    <w14:schemeClr w14:val="tx1"/>
                  </w14:solidFill>
                </w14:textFill>
              </w:rPr>
            </w:pPr>
            <w:r>
              <w:rPr>
                <w:b/>
                <w:color w:val="000000" w:themeColor="text1"/>
                <w:sz w:val="16"/>
                <w14:textFill>
                  <w14:solidFill>
                    <w14:schemeClr w14:val="tx1"/>
                  </w14:solidFill>
                </w14:textFill>
              </w:rPr>
              <w:t>Coded issue</w:t>
            </w:r>
          </w:p>
        </w:tc>
        <w:tc>
          <w:tcPr>
            <w:tcW w:w="2592" w:type="dxa"/>
            <w:shd w:val="clear" w:color="auto" w:fill="1F4E79"/>
            <w:vAlign w:val="center"/>
          </w:tcPr>
          <w:p w14:paraId="514B28C4">
            <w:pPr>
              <w:jc w:val="left"/>
              <w:rPr>
                <w:color w:val="000000" w:themeColor="text1"/>
                <w14:textFill>
                  <w14:solidFill>
                    <w14:schemeClr w14:val="tx1"/>
                  </w14:solidFill>
                </w14:textFill>
              </w:rPr>
            </w:pPr>
            <w:r>
              <w:rPr>
                <w:b/>
                <w:color w:val="000000" w:themeColor="text1"/>
                <w:sz w:val="16"/>
                <w14:textFill>
                  <w14:solidFill>
                    <w14:schemeClr w14:val="tx1"/>
                  </w14:solidFill>
                </w14:textFill>
              </w:rPr>
              <w:t>How it supports validation</w:t>
            </w:r>
          </w:p>
        </w:tc>
      </w:tr>
      <w:tr w14:paraId="066A7B55">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vAlign w:val="center"/>
          </w:tcPr>
          <w:p w14:paraId="0662A5E9">
            <w:pPr>
              <w:jc w:val="left"/>
              <w:rPr>
                <w:color w:val="000000" w:themeColor="text1"/>
                <w14:textFill>
                  <w14:solidFill>
                    <w14:schemeClr w14:val="tx1"/>
                  </w14:solidFill>
                </w14:textFill>
              </w:rPr>
            </w:pPr>
            <w:r>
              <w:rPr>
                <w:b/>
                <w:color w:val="000000" w:themeColor="text1"/>
                <w:sz w:val="16"/>
                <w14:textFill>
                  <w14:solidFill>
                    <w14:schemeClr w14:val="tx1"/>
                  </w14:solidFill>
                </w14:textFill>
              </w:rPr>
              <w:t>P1</w:t>
            </w:r>
          </w:p>
        </w:tc>
        <w:tc>
          <w:tcPr>
            <w:tcW w:w="2592" w:type="dxa"/>
            <w:vAlign w:val="center"/>
          </w:tcPr>
          <w:p w14:paraId="75C7C830">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“It didn’t react, so I thought it missed my command. I ended up shouting it three times, and it set three separate timers.”</w:t>
            </w:r>
          </w:p>
        </w:tc>
        <w:tc>
          <w:tcPr>
            <w:tcW w:w="2592" w:type="dxa"/>
            <w:vAlign w:val="center"/>
          </w:tcPr>
          <w:p w14:paraId="51DC9F11">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Latency anxiety and duplicate command risk</w:t>
            </w:r>
          </w:p>
        </w:tc>
        <w:tc>
          <w:tcPr>
            <w:tcW w:w="2592" w:type="dxa"/>
            <w:vAlign w:val="center"/>
          </w:tcPr>
          <w:p w14:paraId="065E1B62">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Add visible processing feedback and duplicate-command prevention.</w:t>
            </w:r>
          </w:p>
        </w:tc>
      </w:tr>
      <w:tr w14:paraId="6478F5A6">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vAlign w:val="center"/>
          </w:tcPr>
          <w:p w14:paraId="3D0CC05B">
            <w:pPr>
              <w:jc w:val="left"/>
              <w:rPr>
                <w:color w:val="000000" w:themeColor="text1"/>
                <w14:textFill>
                  <w14:solidFill>
                    <w14:schemeClr w14:val="tx1"/>
                  </w14:solidFill>
                </w14:textFill>
              </w:rPr>
            </w:pPr>
            <w:r>
              <w:rPr>
                <w:b/>
                <w:color w:val="000000" w:themeColor="text1"/>
                <w:sz w:val="16"/>
                <w14:textFill>
                  <w14:solidFill>
                    <w14:schemeClr w14:val="tx1"/>
                  </w14:solidFill>
                </w14:textFill>
              </w:rPr>
              <w:t>P2</w:t>
            </w:r>
          </w:p>
        </w:tc>
        <w:tc>
          <w:tcPr>
            <w:tcW w:w="2592" w:type="dxa"/>
            <w:vAlign w:val="center"/>
          </w:tcPr>
          <w:p w14:paraId="7B8CE362">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“When it doesn’t reply, I feel like a fool just staring at a frozen screen.”</w:t>
            </w:r>
          </w:p>
        </w:tc>
        <w:tc>
          <w:tcPr>
            <w:tcW w:w="2592" w:type="dxa"/>
            <w:vAlign w:val="center"/>
          </w:tcPr>
          <w:p w14:paraId="3D9CBAC2">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Frozen-screen uncertainty and social discomfort</w:t>
            </w:r>
          </w:p>
        </w:tc>
        <w:tc>
          <w:tcPr>
            <w:tcW w:w="2592" w:type="dxa"/>
            <w:vAlign w:val="center"/>
          </w:tcPr>
          <w:p w14:paraId="046FF64E">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Add clearer listening/processing state feedback, such as a “Thinking...” animation.</w:t>
            </w:r>
          </w:p>
        </w:tc>
      </w:tr>
      <w:tr w14:paraId="59012339">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vAlign w:val="center"/>
          </w:tcPr>
          <w:p w14:paraId="2ABDDBB9">
            <w:pPr>
              <w:jc w:val="left"/>
              <w:rPr>
                <w:color w:val="000000" w:themeColor="text1"/>
                <w14:textFill>
                  <w14:solidFill>
                    <w14:schemeClr w14:val="tx1"/>
                  </w14:solidFill>
                </w14:textFill>
              </w:rPr>
            </w:pPr>
            <w:r>
              <w:rPr>
                <w:b/>
                <w:color w:val="000000" w:themeColor="text1"/>
                <w:sz w:val="16"/>
                <w14:textFill>
                  <w14:solidFill>
                    <w14:schemeClr w14:val="tx1"/>
                  </w14:solidFill>
                </w14:textFill>
              </w:rPr>
              <w:t>P3</w:t>
            </w:r>
          </w:p>
        </w:tc>
        <w:tc>
          <w:tcPr>
            <w:tcW w:w="2592" w:type="dxa"/>
            <w:vAlign w:val="center"/>
          </w:tcPr>
          <w:p w14:paraId="7338D686">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“Just hearing it say ‘Closed’ isn’t enough. It’s connected to the internet; I still feel like it’s eavesdropping.”</w:t>
            </w:r>
          </w:p>
        </w:tc>
        <w:tc>
          <w:tcPr>
            <w:tcW w:w="2592" w:type="dxa"/>
            <w:vAlign w:val="center"/>
          </w:tcPr>
          <w:p w14:paraId="1977493B">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Software-only privacy confirmation did not create trust</w:t>
            </w:r>
          </w:p>
        </w:tc>
        <w:tc>
          <w:tcPr>
            <w:tcW w:w="2592" w:type="dxa"/>
            <w:vAlign w:val="center"/>
          </w:tcPr>
          <w:p w14:paraId="6FCD8087">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Add physical privacy switch and visible privacy-state icon.</w:t>
            </w:r>
          </w:p>
        </w:tc>
      </w:tr>
      <w:tr w14:paraId="7EA410BD">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vAlign w:val="center"/>
          </w:tcPr>
          <w:p w14:paraId="0450669C">
            <w:pPr>
              <w:jc w:val="left"/>
              <w:rPr>
                <w:color w:val="000000" w:themeColor="text1"/>
                <w14:textFill>
                  <w14:solidFill>
                    <w14:schemeClr w14:val="tx1"/>
                  </w14:solidFill>
                </w14:textFill>
              </w:rPr>
            </w:pPr>
            <w:r>
              <w:rPr>
                <w:b/>
                <w:color w:val="000000" w:themeColor="text1"/>
                <w:sz w:val="16"/>
                <w14:textFill>
                  <w14:solidFill>
                    <w14:schemeClr w14:val="tx1"/>
                  </w14:solidFill>
                </w14:textFill>
              </w:rPr>
              <w:t>P4</w:t>
            </w:r>
          </w:p>
        </w:tc>
        <w:tc>
          <w:tcPr>
            <w:tcW w:w="2592" w:type="dxa"/>
            <w:vAlign w:val="center"/>
          </w:tcPr>
          <w:p w14:paraId="3FC78B72">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“It speaks so loudly that it can’t hear me telling it to shut up. Being unable to force an interruption feels anti-human.”</w:t>
            </w:r>
          </w:p>
        </w:tc>
        <w:tc>
          <w:tcPr>
            <w:tcW w:w="2592" w:type="dxa"/>
            <w:vAlign w:val="center"/>
          </w:tcPr>
          <w:p w14:paraId="72ABFB59">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Voice-only interruption failed under loud output</w:t>
            </w:r>
          </w:p>
        </w:tc>
        <w:tc>
          <w:tcPr>
            <w:tcW w:w="2592" w:type="dxa"/>
            <w:vAlign w:val="center"/>
          </w:tcPr>
          <w:p w14:paraId="1A0F248E">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Add guaranteed physical fallback control, such as Pet-to-Mute.</w:t>
            </w:r>
          </w:p>
        </w:tc>
      </w:tr>
      <w:tr w14:paraId="6C087024">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vAlign w:val="center"/>
          </w:tcPr>
          <w:p w14:paraId="6E2A02F7">
            <w:pPr>
              <w:jc w:val="left"/>
              <w:rPr>
                <w:color w:val="000000" w:themeColor="text1"/>
                <w14:textFill>
                  <w14:solidFill>
                    <w14:schemeClr w14:val="tx1"/>
                  </w14:solidFill>
                </w14:textFill>
              </w:rPr>
            </w:pPr>
            <w:r>
              <w:rPr>
                <w:b/>
                <w:color w:val="000000" w:themeColor="text1"/>
                <w:sz w:val="16"/>
                <w14:textFill>
                  <w14:solidFill>
                    <w14:schemeClr w14:val="tx1"/>
                  </w14:solidFill>
                </w14:textFill>
              </w:rPr>
              <w:t>P5</w:t>
            </w:r>
          </w:p>
        </w:tc>
        <w:tc>
          <w:tcPr>
            <w:tcW w:w="2592" w:type="dxa"/>
            <w:vAlign w:val="center"/>
          </w:tcPr>
          <w:p w14:paraId="77B62AC3">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“Now that I see it’s thinking, I don’t feel the need to repeat myself.”</w:t>
            </w:r>
          </w:p>
        </w:tc>
        <w:tc>
          <w:tcPr>
            <w:tcW w:w="2592" w:type="dxa"/>
            <w:vAlign w:val="center"/>
          </w:tcPr>
          <w:p w14:paraId="66F78B1B">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Efficiency-focused users need predictable state feedback</w:t>
            </w:r>
          </w:p>
        </w:tc>
        <w:tc>
          <w:tcPr>
            <w:tcW w:w="2592" w:type="dxa"/>
            <w:vAlign w:val="center"/>
          </w:tcPr>
          <w:p w14:paraId="1798A1E2">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Make interaction states obvious: listening, thinking, speaking, muted, microphone-off.</w:t>
            </w:r>
          </w:p>
        </w:tc>
      </w:tr>
    </w:tbl>
    <w:p w14:paraId="02521DF0">
      <w:pPr>
        <w:pStyle w:val="3"/>
        <w:keepNext/>
        <w:rPr>
          <w:color w:val="000000" w:themeColor="text1"/>
          <w14:textFill>
            <w14:solidFill>
              <w14:schemeClr w14:val="tx1"/>
            </w14:solidFill>
          </w14:textFill>
        </w:rPr>
      </w:pPr>
      <w:r>
        <w:rPr>
          <w:color w:val="000000" w:themeColor="text1"/>
          <w14:textFill>
            <w14:solidFill>
              <w14:schemeClr w14:val="tx1"/>
            </w14:solidFill>
          </w14:textFill>
        </w:rPr>
        <w:t>6. Visual Rating Summary</w:t>
      </w:r>
    </w:p>
    <w:p w14:paraId="2787EEC1">
      <w:pPr>
        <w:rPr>
          <w:color w:val="000000" w:themeColor="text1"/>
          <w14:textFill>
            <w14:solidFill>
              <w14:schemeClr w14:val="tx1"/>
            </w14:solidFill>
          </w14:textFill>
        </w:rPr>
      </w:pPr>
      <w:r>
        <w:rPr>
          <w:color w:val="000000" w:themeColor="text1"/>
          <w:sz w:val="19"/>
          <w14:textFill>
            <w14:solidFill>
              <w14:schemeClr w14:val="tx1"/>
            </w14:solidFill>
          </w14:textFill>
        </w:rPr>
        <w:t>The figures below convert the observation notes into a compact evidence map. They help the marker see that the validation findings are not isolated comments, but repeated usability patterns across the sessions.</w:t>
      </w:r>
    </w:p>
    <w:p w14:paraId="1A6F9BE7">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03520" cy="30607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3061017"/>
                    </a:xfrm>
                    <a:prstGeom prst="rect">
                      <a:avLst/>
                    </a:prstGeom>
                  </pic:spPr>
                </pic:pic>
              </a:graphicData>
            </a:graphic>
          </wp:inline>
        </w:drawing>
      </w:r>
    </w:p>
    <w:p w14:paraId="4E534B5F">
      <w:pPr>
        <w:jc w:val="center"/>
        <w:rPr>
          <w:color w:val="000000" w:themeColor="text1"/>
          <w14:textFill>
            <w14:solidFill>
              <w14:schemeClr w14:val="tx1"/>
            </w14:solidFill>
          </w14:textFill>
        </w:rPr>
      </w:pPr>
      <w:r>
        <w:rPr>
          <w:i/>
          <w:color w:val="000000" w:themeColor="text1"/>
          <w:sz w:val="16"/>
          <w14:textFill>
            <w14:solidFill>
              <w14:schemeClr w14:val="tx1"/>
            </w14:solidFill>
          </w14:textFill>
        </w:rPr>
        <w:t>Figure 3. Distribution of coded severity levels across P1-P5.</w:t>
      </w:r>
    </w:p>
    <w:p w14:paraId="6E0A57F8">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852160" cy="42392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52160" cy="4239397"/>
                    </a:xfrm>
                    <a:prstGeom prst="rect">
                      <a:avLst/>
                    </a:prstGeom>
                  </pic:spPr>
                </pic:pic>
              </a:graphicData>
            </a:graphic>
          </wp:inline>
        </w:drawing>
      </w:r>
    </w:p>
    <w:p w14:paraId="591B60F8">
      <w:pPr>
        <w:jc w:val="center"/>
        <w:rPr>
          <w:color w:val="000000" w:themeColor="text1"/>
          <w14:textFill>
            <w14:solidFill>
              <w14:schemeClr w14:val="tx1"/>
            </w14:solidFill>
          </w14:textFill>
        </w:rPr>
      </w:pPr>
      <w:r>
        <w:rPr>
          <w:i/>
          <w:color w:val="000000" w:themeColor="text1"/>
          <w:sz w:val="16"/>
          <w14:textFill>
            <w14:solidFill>
              <w14:schemeClr w14:val="tx1"/>
            </w14:solidFill>
          </w14:textFill>
        </w:rPr>
        <w:t>Figure 4. Observation matrix showing where usability issues appeared across participants. M = Medium, H = High, C = Critical.</w:t>
      </w:r>
    </w:p>
    <w:p w14:paraId="5D8C6B31">
      <w:pPr>
        <w:rPr>
          <w:color w:val="000000" w:themeColor="text1"/>
          <w14:textFill>
            <w14:solidFill>
              <w14:schemeClr w14:val="tx1"/>
            </w14:solidFill>
          </w14:textFill>
        </w:rPr>
      </w:pPr>
    </w:p>
    <w:p w14:paraId="6BAD7AF2">
      <w:pPr>
        <w:rPr>
          <w:rFonts w:asciiTheme="majorHAnsi" w:hAnsiTheme="majorHAnsi" w:eastAsiaTheme="majorEastAsia" w:cstheme="majorBidi"/>
          <w:b/>
          <w:bCs/>
          <w:color w:val="000000" w:themeColor="text1"/>
          <w:sz w:val="28"/>
          <w:szCs w:val="28"/>
          <w:lang w:val="en-US" w:eastAsia="en-US" w:bidi="ar-SA"/>
          <w14:textFill>
            <w14:solidFill>
              <w14:schemeClr w14:val="tx1"/>
            </w14:solidFill>
          </w14:textFill>
        </w:rPr>
      </w:pPr>
      <w:r>
        <w:rPr>
          <w:rFonts w:asciiTheme="majorHAnsi" w:hAnsiTheme="majorHAnsi" w:eastAsiaTheme="majorEastAsia" w:cstheme="majorBidi"/>
          <w:b/>
          <w:bCs/>
          <w:color w:val="000000" w:themeColor="text1"/>
          <w:sz w:val="28"/>
          <w:szCs w:val="28"/>
          <w:lang w:val="en-US" w:eastAsia="en-US" w:bidi="ar-SA"/>
          <w14:textFill>
            <w14:solidFill>
              <w14:schemeClr w14:val="tx1"/>
            </w14:solidFill>
          </w14:textFill>
        </w:rPr>
        <w:t>7. Cross-Participant Findings</w:t>
      </w:r>
    </w:p>
    <w:tbl>
      <w:tblPr>
        <w:tblStyle w:val="32"/>
        <w:tblW w:w="0" w:type="auto"/>
        <w:jc w:val="center"/>
        <w:tblBorders>
          <w:top w:val="single" w:color="AFC7E8" w:sz="8" w:space="0"/>
          <w:left w:val="single" w:color="AFC7E8" w:sz="8" w:space="0"/>
          <w:bottom w:val="single" w:color="AFC7E8" w:sz="8" w:space="0"/>
          <w:right w:val="single" w:color="AFC7E8" w:sz="8" w:space="0"/>
          <w:insideH w:val="single" w:color="AFC7E8" w:sz="8" w:space="0"/>
          <w:insideV w:val="single" w:color="AFC7E8" w:sz="8" w:space="0"/>
        </w:tblBorders>
        <w:tblLayout w:type="autofit"/>
        <w:tblCellMar>
          <w:top w:w="0" w:type="dxa"/>
          <w:left w:w="108" w:type="dxa"/>
          <w:bottom w:w="0" w:type="dxa"/>
          <w:right w:w="108" w:type="dxa"/>
        </w:tblCellMar>
      </w:tblPr>
      <w:tblGrid>
        <w:gridCol w:w="10368"/>
      </w:tblGrid>
      <w:tr w14:paraId="08375541">
        <w:tblPrEx>
          <w:tblBorders>
            <w:top w:val="single" w:color="AFC7E8" w:sz="8" w:space="0"/>
            <w:left w:val="single" w:color="AFC7E8" w:sz="8" w:space="0"/>
            <w:bottom w:val="single" w:color="AFC7E8" w:sz="8" w:space="0"/>
            <w:right w:val="single" w:color="AFC7E8" w:sz="8" w:space="0"/>
            <w:insideH w:val="single" w:color="AFC7E8" w:sz="8" w:space="0"/>
            <w:insideV w:val="single" w:color="AFC7E8" w:sz="8" w:space="0"/>
          </w:tblBorders>
          <w:tblCellMar>
            <w:top w:w="0" w:type="dxa"/>
            <w:left w:w="108" w:type="dxa"/>
            <w:bottom w:w="0" w:type="dxa"/>
            <w:right w:w="108" w:type="dxa"/>
          </w:tblCellMar>
        </w:tblPrEx>
        <w:trPr>
          <w:jc w:val="center"/>
        </w:trPr>
        <w:tc>
          <w:tcPr>
            <w:tcW w:w="10368" w:type="dxa"/>
            <w:shd w:val="clear" w:color="auto" w:fill="F6FAFF"/>
          </w:tcPr>
          <w:p w14:paraId="13CF4446">
            <w:pPr>
              <w:rPr>
                <w:color w:val="000000" w:themeColor="text1"/>
                <w14:textFill>
                  <w14:solidFill>
                    <w14:schemeClr w14:val="tx1"/>
                  </w14:solidFill>
                </w14:textFill>
              </w:rPr>
            </w:pPr>
            <w:r>
              <w:rPr>
                <w:b/>
                <w:color w:val="000000" w:themeColor="text1"/>
                <w:sz w:val="20"/>
                <w14:textFill>
                  <w14:solidFill>
                    <w14:schemeClr w14:val="tx1"/>
                  </w14:solidFill>
                </w14:textFill>
              </w:rPr>
              <w:t>Finding 1: Users need visible processing feedback</w:t>
            </w:r>
          </w:p>
          <w:p w14:paraId="2E8183EF">
            <w:pPr>
              <w:rPr>
                <w:color w:val="000000" w:themeColor="text1"/>
                <w14:textFill>
                  <w14:solidFill>
                    <w14:schemeClr w14:val="tx1"/>
                  </w14:solidFill>
                </w14:textFill>
              </w:rPr>
            </w:pPr>
            <w:r>
              <w:rPr>
                <w:color w:val="000000" w:themeColor="text1"/>
                <w:sz w:val="18"/>
                <w14:textFill>
                  <w14:solidFill>
                    <w14:schemeClr w14:val="tx1"/>
                  </w14:solidFill>
                </w14:textFill>
              </w:rPr>
              <w:t>Evidence pattern: P1, P2, and P5 all showed that a silent or frozen interface creates uncertainty. P1 repeated the Pomodoro command, P2 felt socially uncomfortable staring at a frozen screen, and P5 reported that seeing the system think reduced the need to repeat commands.</w:t>
            </w:r>
            <w:r>
              <w:rPr>
                <w:color w:val="000000" w:themeColor="text1"/>
                <w:sz w:val="18"/>
                <w14:textFill>
                  <w14:solidFill>
                    <w14:schemeClr w14:val="tx1"/>
                  </w14:solidFill>
                </w14:textFill>
              </w:rPr>
              <w:br w:type="textWrapping"/>
            </w:r>
            <w:r>
              <w:rPr>
                <w:color w:val="000000" w:themeColor="text1"/>
                <w:sz w:val="18"/>
                <w14:textFill>
                  <w14:solidFill>
                    <w14:schemeClr w14:val="tx1"/>
                  </w14:solidFill>
                </w14:textFill>
              </w:rPr>
              <w:br w:type="textWrapping"/>
            </w:r>
            <w:r>
              <w:rPr>
                <w:color w:val="000000" w:themeColor="text1"/>
                <w:sz w:val="18"/>
                <w14:textFill>
                  <w14:solidFill>
                    <w14:schemeClr w14:val="tx1"/>
                  </w14:solidFill>
                </w14:textFill>
              </w:rPr>
              <w:t>Design implication: V2 should display a clear “Thinking...” animation or equivalent state indicator while API or speech processing is happening.</w:t>
            </w:r>
          </w:p>
        </w:tc>
      </w:tr>
    </w:tbl>
    <w:p w14:paraId="156CA3F7">
      <w:pPr>
        <w:rPr>
          <w:color w:val="000000" w:themeColor="text1"/>
          <w14:textFill>
            <w14:solidFill>
              <w14:schemeClr w14:val="tx1"/>
            </w14:solidFill>
          </w14:textFill>
        </w:rPr>
      </w:pPr>
    </w:p>
    <w:tbl>
      <w:tblPr>
        <w:tblStyle w:val="32"/>
        <w:tblW w:w="0" w:type="auto"/>
        <w:jc w:val="center"/>
        <w:tblBorders>
          <w:top w:val="single" w:color="AFC7E8" w:sz="8" w:space="0"/>
          <w:left w:val="single" w:color="AFC7E8" w:sz="8" w:space="0"/>
          <w:bottom w:val="single" w:color="AFC7E8" w:sz="8" w:space="0"/>
          <w:right w:val="single" w:color="AFC7E8" w:sz="8" w:space="0"/>
          <w:insideH w:val="single" w:color="AFC7E8" w:sz="8" w:space="0"/>
          <w:insideV w:val="single" w:color="AFC7E8" w:sz="8" w:space="0"/>
        </w:tblBorders>
        <w:tblLayout w:type="autofit"/>
        <w:tblCellMar>
          <w:top w:w="0" w:type="dxa"/>
          <w:left w:w="108" w:type="dxa"/>
          <w:bottom w:w="0" w:type="dxa"/>
          <w:right w:w="108" w:type="dxa"/>
        </w:tblCellMar>
      </w:tblPr>
      <w:tblGrid>
        <w:gridCol w:w="10368"/>
      </w:tblGrid>
      <w:tr w14:paraId="1D0294BC">
        <w:tblPrEx>
          <w:tblBorders>
            <w:top w:val="single" w:color="AFC7E8" w:sz="8" w:space="0"/>
            <w:left w:val="single" w:color="AFC7E8" w:sz="8" w:space="0"/>
            <w:bottom w:val="single" w:color="AFC7E8" w:sz="8" w:space="0"/>
            <w:right w:val="single" w:color="AFC7E8" w:sz="8" w:space="0"/>
            <w:insideH w:val="single" w:color="AFC7E8" w:sz="8" w:space="0"/>
            <w:insideV w:val="single" w:color="AFC7E8" w:sz="8" w:space="0"/>
          </w:tblBorders>
          <w:tblCellMar>
            <w:top w:w="0" w:type="dxa"/>
            <w:left w:w="108" w:type="dxa"/>
            <w:bottom w:w="0" w:type="dxa"/>
            <w:right w:w="108" w:type="dxa"/>
          </w:tblCellMar>
        </w:tblPrEx>
        <w:trPr>
          <w:jc w:val="center"/>
        </w:trPr>
        <w:tc>
          <w:tcPr>
            <w:tcW w:w="10368" w:type="dxa"/>
            <w:shd w:val="clear" w:color="auto" w:fill="F6FAFF"/>
          </w:tcPr>
          <w:p w14:paraId="7B988F5A">
            <w:pPr>
              <w:rPr>
                <w:color w:val="000000" w:themeColor="text1"/>
                <w14:textFill>
                  <w14:solidFill>
                    <w14:schemeClr w14:val="tx1"/>
                  </w14:solidFill>
                </w14:textFill>
              </w:rPr>
            </w:pPr>
            <w:r>
              <w:rPr>
                <w:b/>
                <w:color w:val="000000" w:themeColor="text1"/>
                <w:sz w:val="20"/>
                <w14:textFill>
                  <w14:solidFill>
                    <w14:schemeClr w14:val="tx1"/>
                  </w14:solidFill>
                </w14:textFill>
              </w:rPr>
              <w:t>Finding 2: Voice-only control is not reliable enough for interruption</w:t>
            </w:r>
          </w:p>
          <w:p w14:paraId="2AEE8315">
            <w:pPr>
              <w:rPr>
                <w:color w:val="000000" w:themeColor="text1"/>
                <w14:textFill>
                  <w14:solidFill>
                    <w14:schemeClr w14:val="tx1"/>
                  </w14:solidFill>
                </w14:textFill>
              </w:rPr>
            </w:pPr>
            <w:r>
              <w:rPr>
                <w:color w:val="000000" w:themeColor="text1"/>
                <w:sz w:val="18"/>
                <w14:textFill>
                  <w14:solidFill>
                    <w14:schemeClr w14:val="tx1"/>
                  </w14:solidFill>
                </w14:textFill>
              </w:rPr>
              <w:t>Evidence pattern: P4’s session showed a critical failure case: when the assistant’s own speaker output was loud, the device could not reliably capture the stop command. P5 also valued immediate and dependable control in high-pressure work contexts.</w:t>
            </w:r>
            <w:r>
              <w:rPr>
                <w:color w:val="000000" w:themeColor="text1"/>
                <w:sz w:val="18"/>
                <w14:textFill>
                  <w14:solidFill>
                    <w14:schemeClr w14:val="tx1"/>
                  </w14:solidFill>
                </w14:textFill>
              </w:rPr>
              <w:br w:type="textWrapping"/>
            </w:r>
            <w:r>
              <w:rPr>
                <w:color w:val="000000" w:themeColor="text1"/>
                <w:sz w:val="18"/>
                <w14:textFill>
                  <w14:solidFill>
                    <w14:schemeClr w14:val="tx1"/>
                  </w14:solidFill>
                </w14:textFill>
              </w:rPr>
              <w:br w:type="textWrapping"/>
            </w:r>
            <w:r>
              <w:rPr>
                <w:color w:val="000000" w:themeColor="text1"/>
                <w:sz w:val="18"/>
                <w14:textFill>
                  <w14:solidFill>
                    <w14:schemeClr w14:val="tx1"/>
                  </w14:solidFill>
                </w14:textFill>
              </w:rPr>
              <w:t>Design implication: V2 should include a physical fallback, such as Pet-to-Mute, so users can immediately regain control without relying on speech recognition.</w:t>
            </w:r>
          </w:p>
        </w:tc>
      </w:tr>
    </w:tbl>
    <w:p w14:paraId="4ABF6FA5">
      <w:pPr>
        <w:rPr>
          <w:color w:val="000000" w:themeColor="text1"/>
          <w14:textFill>
            <w14:solidFill>
              <w14:schemeClr w14:val="tx1"/>
            </w14:solidFill>
          </w14:textFill>
        </w:rPr>
      </w:pPr>
    </w:p>
    <w:tbl>
      <w:tblPr>
        <w:tblStyle w:val="32"/>
        <w:tblW w:w="0" w:type="auto"/>
        <w:jc w:val="center"/>
        <w:tblBorders>
          <w:top w:val="single" w:color="AFC7E8" w:sz="8" w:space="0"/>
          <w:left w:val="single" w:color="AFC7E8" w:sz="8" w:space="0"/>
          <w:bottom w:val="single" w:color="AFC7E8" w:sz="8" w:space="0"/>
          <w:right w:val="single" w:color="AFC7E8" w:sz="8" w:space="0"/>
          <w:insideH w:val="single" w:color="AFC7E8" w:sz="8" w:space="0"/>
          <w:insideV w:val="single" w:color="AFC7E8" w:sz="8" w:space="0"/>
        </w:tblBorders>
        <w:tblLayout w:type="autofit"/>
        <w:tblCellMar>
          <w:top w:w="0" w:type="dxa"/>
          <w:left w:w="108" w:type="dxa"/>
          <w:bottom w:w="0" w:type="dxa"/>
          <w:right w:w="108" w:type="dxa"/>
        </w:tblCellMar>
      </w:tblPr>
      <w:tblGrid>
        <w:gridCol w:w="10368"/>
      </w:tblGrid>
      <w:tr w14:paraId="51FD37E8">
        <w:tblPrEx>
          <w:tblBorders>
            <w:top w:val="single" w:color="AFC7E8" w:sz="8" w:space="0"/>
            <w:left w:val="single" w:color="AFC7E8" w:sz="8" w:space="0"/>
            <w:bottom w:val="single" w:color="AFC7E8" w:sz="8" w:space="0"/>
            <w:right w:val="single" w:color="AFC7E8" w:sz="8" w:space="0"/>
            <w:insideH w:val="single" w:color="AFC7E8" w:sz="8" w:space="0"/>
            <w:insideV w:val="single" w:color="AFC7E8" w:sz="8" w:space="0"/>
          </w:tblBorders>
          <w:tblCellMar>
            <w:top w:w="0" w:type="dxa"/>
            <w:left w:w="108" w:type="dxa"/>
            <w:bottom w:w="0" w:type="dxa"/>
            <w:right w:w="108" w:type="dxa"/>
          </w:tblCellMar>
        </w:tblPrEx>
        <w:trPr>
          <w:jc w:val="center"/>
        </w:trPr>
        <w:tc>
          <w:tcPr>
            <w:tcW w:w="10368" w:type="dxa"/>
            <w:shd w:val="clear" w:color="auto" w:fill="F6FAFF"/>
          </w:tcPr>
          <w:p w14:paraId="73206732">
            <w:pPr>
              <w:rPr>
                <w:color w:val="000000" w:themeColor="text1"/>
                <w14:textFill>
                  <w14:solidFill>
                    <w14:schemeClr w14:val="tx1"/>
                  </w14:solidFill>
                </w14:textFill>
              </w:rPr>
            </w:pPr>
            <w:r>
              <w:rPr>
                <w:b/>
                <w:color w:val="000000" w:themeColor="text1"/>
                <w:sz w:val="20"/>
                <w14:textFill>
                  <w14:solidFill>
                    <w14:schemeClr w14:val="tx1"/>
                  </w14:solidFill>
                </w14:textFill>
              </w:rPr>
              <w:t>Finding 3: Privacy confidence requires visible and physical cues</w:t>
            </w:r>
          </w:p>
          <w:p w14:paraId="0CB094A4">
            <w:pPr>
              <w:rPr>
                <w:color w:val="000000" w:themeColor="text1"/>
                <w14:textFill>
                  <w14:solidFill>
                    <w14:schemeClr w14:val="tx1"/>
                  </w14:solidFill>
                </w14:textFill>
              </w:rPr>
            </w:pPr>
            <w:r>
              <w:rPr>
                <w:color w:val="000000" w:themeColor="text1"/>
                <w:sz w:val="18"/>
                <w14:textFill>
                  <w14:solidFill>
                    <w14:schemeClr w14:val="tx1"/>
                  </w14:solidFill>
                </w14:textFill>
              </w:rPr>
              <w:t>Evidence pattern: P3 did not trust a software-only microphone-off confirmation and physically covered the device. The behaviour shows that privacy trust is psychological as well as technical.</w:t>
            </w:r>
            <w:r>
              <w:rPr>
                <w:color w:val="000000" w:themeColor="text1"/>
                <w:sz w:val="18"/>
                <w14:textFill>
                  <w14:solidFill>
                    <w14:schemeClr w14:val="tx1"/>
                  </w14:solidFill>
                </w14:textFill>
              </w:rPr>
              <w:br w:type="textWrapping"/>
            </w:r>
            <w:r>
              <w:rPr>
                <w:color w:val="000000" w:themeColor="text1"/>
                <w:sz w:val="18"/>
                <w14:textFill>
                  <w14:solidFill>
                    <w14:schemeClr w14:val="tx1"/>
                  </w14:solidFill>
                </w14:textFill>
              </w:rPr>
              <w:br w:type="textWrapping"/>
            </w:r>
            <w:r>
              <w:rPr>
                <w:color w:val="000000" w:themeColor="text1"/>
                <w:sz w:val="18"/>
                <w14:textFill>
                  <w14:solidFill>
                    <w14:schemeClr w14:val="tx1"/>
                  </w14:solidFill>
                </w14:textFill>
              </w:rPr>
              <w:t>Design implication: V2 should include a physical privacy switch and a visible “Earmuffs” icon to make the microphone state credible and easy to understand.</w:t>
            </w:r>
          </w:p>
        </w:tc>
      </w:tr>
    </w:tbl>
    <w:p w14:paraId="1E02DA09">
      <w:pPr>
        <w:rPr>
          <w:color w:val="000000" w:themeColor="text1"/>
          <w14:textFill>
            <w14:solidFill>
              <w14:schemeClr w14:val="tx1"/>
            </w14:solidFill>
          </w14:textFill>
        </w:rPr>
      </w:pPr>
    </w:p>
    <w:tbl>
      <w:tblPr>
        <w:tblStyle w:val="32"/>
        <w:tblW w:w="0" w:type="auto"/>
        <w:jc w:val="center"/>
        <w:tblBorders>
          <w:top w:val="single" w:color="AFC7E8" w:sz="8" w:space="0"/>
          <w:left w:val="single" w:color="AFC7E8" w:sz="8" w:space="0"/>
          <w:bottom w:val="single" w:color="AFC7E8" w:sz="8" w:space="0"/>
          <w:right w:val="single" w:color="AFC7E8" w:sz="8" w:space="0"/>
          <w:insideH w:val="single" w:color="AFC7E8" w:sz="8" w:space="0"/>
          <w:insideV w:val="single" w:color="AFC7E8" w:sz="8" w:space="0"/>
        </w:tblBorders>
        <w:tblLayout w:type="autofit"/>
        <w:tblCellMar>
          <w:top w:w="0" w:type="dxa"/>
          <w:left w:w="108" w:type="dxa"/>
          <w:bottom w:w="0" w:type="dxa"/>
          <w:right w:w="108" w:type="dxa"/>
        </w:tblCellMar>
      </w:tblPr>
      <w:tblGrid>
        <w:gridCol w:w="10368"/>
      </w:tblGrid>
      <w:tr w14:paraId="34B92C2F">
        <w:tblPrEx>
          <w:tblBorders>
            <w:top w:val="single" w:color="AFC7E8" w:sz="8" w:space="0"/>
            <w:left w:val="single" w:color="AFC7E8" w:sz="8" w:space="0"/>
            <w:bottom w:val="single" w:color="AFC7E8" w:sz="8" w:space="0"/>
            <w:right w:val="single" w:color="AFC7E8" w:sz="8" w:space="0"/>
            <w:insideH w:val="single" w:color="AFC7E8" w:sz="8" w:space="0"/>
            <w:insideV w:val="single" w:color="AFC7E8" w:sz="8" w:space="0"/>
          </w:tblBorders>
          <w:tblCellMar>
            <w:top w:w="0" w:type="dxa"/>
            <w:left w:w="108" w:type="dxa"/>
            <w:bottom w:w="0" w:type="dxa"/>
            <w:right w:w="108" w:type="dxa"/>
          </w:tblCellMar>
        </w:tblPrEx>
        <w:trPr>
          <w:jc w:val="center"/>
        </w:trPr>
        <w:tc>
          <w:tcPr>
            <w:tcW w:w="10368" w:type="dxa"/>
            <w:shd w:val="clear" w:color="auto" w:fill="F6FAFF"/>
          </w:tcPr>
          <w:p w14:paraId="047E1B57">
            <w:pPr>
              <w:rPr>
                <w:color w:val="000000" w:themeColor="text1"/>
                <w14:textFill>
                  <w14:solidFill>
                    <w14:schemeClr w14:val="tx1"/>
                  </w14:solidFill>
                </w14:textFill>
              </w:rPr>
            </w:pPr>
            <w:r>
              <w:rPr>
                <w:b/>
                <w:color w:val="000000" w:themeColor="text1"/>
                <w:sz w:val="20"/>
                <w14:textFill>
                  <w14:solidFill>
                    <w14:schemeClr w14:val="tx1"/>
                  </w14:solidFill>
                </w14:textFill>
              </w:rPr>
              <w:t>Finding 4: Efficiency-focused users need predictable interaction states</w:t>
            </w:r>
          </w:p>
          <w:p w14:paraId="0629D1CC">
            <w:pPr>
              <w:rPr>
                <w:color w:val="000000" w:themeColor="text1"/>
                <w14:textFill>
                  <w14:solidFill>
                    <w14:schemeClr w14:val="tx1"/>
                  </w14:solidFill>
                </w14:textFill>
              </w:rPr>
            </w:pPr>
            <w:r>
              <w:rPr>
                <w:color w:val="000000" w:themeColor="text1"/>
                <w:sz w:val="18"/>
                <w14:textFill>
                  <w14:solidFill>
                    <w14:schemeClr w14:val="tx1"/>
                  </w14:solidFill>
                </w14:textFill>
              </w:rPr>
              <w:t>Evidence pattern: P1 and P5 valued fast, minimal, predictable interaction. When the system state was unclear, users either repeated commands or became less confident in the product.</w:t>
            </w:r>
            <w:r>
              <w:rPr>
                <w:color w:val="000000" w:themeColor="text1"/>
                <w:sz w:val="18"/>
                <w14:textFill>
                  <w14:solidFill>
                    <w14:schemeClr w14:val="tx1"/>
                  </w14:solidFill>
                </w14:textFill>
              </w:rPr>
              <w:br w:type="textWrapping"/>
            </w:r>
            <w:r>
              <w:rPr>
                <w:color w:val="000000" w:themeColor="text1"/>
                <w:sz w:val="18"/>
                <w14:textFill>
                  <w14:solidFill>
                    <w14:schemeClr w14:val="tx1"/>
                  </w14:solidFill>
                </w14:textFill>
              </w:rPr>
              <w:br w:type="textWrapping"/>
            </w:r>
            <w:r>
              <w:rPr>
                <w:color w:val="000000" w:themeColor="text1"/>
                <w:sz w:val="18"/>
                <w14:textFill>
                  <w14:solidFill>
                    <w14:schemeClr w14:val="tx1"/>
                  </w14:solidFill>
                </w14:textFill>
              </w:rPr>
              <w:t>Design implication: V2 should make all core states visible: listening, thinking, speaking, muted, and microphone-off.</w:t>
            </w:r>
          </w:p>
        </w:tc>
      </w:tr>
    </w:tbl>
    <w:p w14:paraId="45C80B5A">
      <w:pPr>
        <w:rPr>
          <w:color w:val="000000" w:themeColor="text1"/>
          <w14:textFill>
            <w14:solidFill>
              <w14:schemeClr w14:val="tx1"/>
            </w14:solidFill>
          </w14:textFill>
        </w:rPr>
      </w:pPr>
    </w:p>
    <w:p w14:paraId="22ACA4BF">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6217920" cy="3385185"/>
            <wp:effectExtent l="0" t="0" r="508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217920" cy="3385312"/>
                    </a:xfrm>
                    <a:prstGeom prst="rect">
                      <a:avLst/>
                    </a:prstGeom>
                  </pic:spPr>
                </pic:pic>
              </a:graphicData>
            </a:graphic>
          </wp:inline>
        </w:drawing>
      </w:r>
    </w:p>
    <w:p w14:paraId="055B5416">
      <w:pPr>
        <w:jc w:val="center"/>
        <w:rPr>
          <w:color w:val="000000" w:themeColor="text1"/>
          <w14:textFill>
            <w14:solidFill>
              <w14:schemeClr w14:val="tx1"/>
            </w14:solidFill>
          </w14:textFill>
        </w:rPr>
      </w:pPr>
      <w:r>
        <w:rPr>
          <w:i/>
          <w:color w:val="000000" w:themeColor="text1"/>
          <w:sz w:val="16"/>
          <w14:textFill>
            <w14:solidFill>
              <w14:schemeClr w14:val="tx1"/>
            </w14:solidFill>
          </w14:textFill>
        </w:rPr>
        <w:t>Figure 5. Visual mapping from V1 usability problems to V2 design responses.</w:t>
      </w:r>
    </w:p>
    <w:p w14:paraId="6884C213">
      <w:pPr>
        <w:pStyle w:val="3"/>
        <w:keepNext/>
        <w:rPr>
          <w:color w:val="000000" w:themeColor="text1"/>
          <w14:textFill>
            <w14:solidFill>
              <w14:schemeClr w14:val="tx1"/>
            </w14:solidFill>
          </w14:textFill>
        </w:rPr>
      </w:pPr>
      <w:r>
        <w:rPr>
          <w:color w:val="000000" w:themeColor="text1"/>
          <w14:textFill>
            <w14:solidFill>
              <w14:schemeClr w14:val="tx1"/>
            </w14:solidFill>
          </w14:textFill>
        </w:rPr>
        <w:t>8. V1 Problem to V2 Change Matrix</w:t>
      </w:r>
    </w:p>
    <w:tbl>
      <w:tblPr>
        <w:tblStyle w:val="32"/>
        <w:tblW w:w="0" w:type="auto"/>
        <w:jc w:val="center"/>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Layout w:type="autofit"/>
        <w:tblCellMar>
          <w:top w:w="0" w:type="dxa"/>
          <w:left w:w="108" w:type="dxa"/>
          <w:bottom w:w="0" w:type="dxa"/>
          <w:right w:w="108" w:type="dxa"/>
        </w:tblCellMar>
      </w:tblPr>
      <w:tblGrid>
        <w:gridCol w:w="2592"/>
        <w:gridCol w:w="2592"/>
        <w:gridCol w:w="2592"/>
        <w:gridCol w:w="2592"/>
      </w:tblGrid>
      <w:tr w14:paraId="304F3F53">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shd w:val="clear" w:color="auto" w:fill="1F4E79"/>
            <w:vAlign w:val="center"/>
          </w:tcPr>
          <w:p w14:paraId="64347AB3">
            <w:pPr>
              <w:jc w:val="left"/>
              <w:rPr>
                <w:color w:val="000000" w:themeColor="text1"/>
                <w14:textFill>
                  <w14:solidFill>
                    <w14:schemeClr w14:val="tx1"/>
                  </w14:solidFill>
                </w14:textFill>
              </w:rPr>
            </w:pPr>
            <w:r>
              <w:rPr>
                <w:b/>
                <w:color w:val="000000" w:themeColor="text1"/>
                <w:sz w:val="16"/>
                <w14:textFill>
                  <w14:solidFill>
                    <w14:schemeClr w14:val="tx1"/>
                  </w14:solidFill>
                </w14:textFill>
              </w:rPr>
              <w:t>V1 problem</w:t>
            </w:r>
          </w:p>
        </w:tc>
        <w:tc>
          <w:tcPr>
            <w:tcW w:w="2592" w:type="dxa"/>
            <w:shd w:val="clear" w:color="auto" w:fill="1F4E79"/>
            <w:vAlign w:val="center"/>
          </w:tcPr>
          <w:p w14:paraId="41193145">
            <w:pPr>
              <w:jc w:val="left"/>
              <w:rPr>
                <w:color w:val="000000" w:themeColor="text1"/>
                <w14:textFill>
                  <w14:solidFill>
                    <w14:schemeClr w14:val="tx1"/>
                  </w14:solidFill>
                </w14:textFill>
              </w:rPr>
            </w:pPr>
            <w:r>
              <w:rPr>
                <w:b/>
                <w:color w:val="000000" w:themeColor="text1"/>
                <w:sz w:val="16"/>
                <w14:textFill>
                  <w14:solidFill>
                    <w14:schemeClr w14:val="tx1"/>
                  </w14:solidFill>
                </w14:textFill>
              </w:rPr>
              <w:t>Evidence source</w:t>
            </w:r>
          </w:p>
        </w:tc>
        <w:tc>
          <w:tcPr>
            <w:tcW w:w="2592" w:type="dxa"/>
            <w:shd w:val="clear" w:color="auto" w:fill="1F4E79"/>
            <w:vAlign w:val="center"/>
          </w:tcPr>
          <w:p w14:paraId="6EA7572B">
            <w:pPr>
              <w:jc w:val="left"/>
              <w:rPr>
                <w:color w:val="000000" w:themeColor="text1"/>
                <w14:textFill>
                  <w14:solidFill>
                    <w14:schemeClr w14:val="tx1"/>
                  </w14:solidFill>
                </w14:textFill>
              </w:rPr>
            </w:pPr>
            <w:r>
              <w:rPr>
                <w:b/>
                <w:color w:val="000000" w:themeColor="text1"/>
                <w:sz w:val="16"/>
                <w14:textFill>
                  <w14:solidFill>
                    <w14:schemeClr w14:val="tx1"/>
                  </w14:solidFill>
                </w14:textFill>
              </w:rPr>
              <w:t>V2 design change</w:t>
            </w:r>
          </w:p>
        </w:tc>
        <w:tc>
          <w:tcPr>
            <w:tcW w:w="2592" w:type="dxa"/>
            <w:shd w:val="clear" w:color="auto" w:fill="1F4E79"/>
            <w:vAlign w:val="center"/>
          </w:tcPr>
          <w:p w14:paraId="75A20C9D">
            <w:pPr>
              <w:jc w:val="left"/>
              <w:rPr>
                <w:color w:val="000000" w:themeColor="text1"/>
                <w14:textFill>
                  <w14:solidFill>
                    <w14:schemeClr w14:val="tx1"/>
                  </w14:solidFill>
                </w14:textFill>
              </w:rPr>
            </w:pPr>
            <w:r>
              <w:rPr>
                <w:b/>
                <w:color w:val="000000" w:themeColor="text1"/>
                <w:sz w:val="16"/>
                <w14:textFill>
                  <w14:solidFill>
                    <w14:schemeClr w14:val="tx1"/>
                  </w14:solidFill>
                </w14:textFill>
              </w:rPr>
              <w:t>Expected improvement</w:t>
            </w:r>
          </w:p>
        </w:tc>
      </w:tr>
      <w:tr w14:paraId="6B4ADDD3">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vAlign w:val="center"/>
          </w:tcPr>
          <w:p w14:paraId="752DF57E">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Users thought the system was frozen or had missed the command.</w:t>
            </w:r>
          </w:p>
        </w:tc>
        <w:tc>
          <w:tcPr>
            <w:tcW w:w="2592" w:type="dxa"/>
            <w:vAlign w:val="center"/>
          </w:tcPr>
          <w:p w14:paraId="0F271B66">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P1, P2, P5</w:t>
            </w:r>
          </w:p>
        </w:tc>
        <w:tc>
          <w:tcPr>
            <w:tcW w:w="2592" w:type="dxa"/>
            <w:vAlign w:val="center"/>
          </w:tcPr>
          <w:p w14:paraId="3D5E6FD8">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“Thinking...” animation and clearer state feedback.</w:t>
            </w:r>
          </w:p>
        </w:tc>
        <w:tc>
          <w:tcPr>
            <w:tcW w:w="2592" w:type="dxa"/>
            <w:vAlign w:val="center"/>
          </w:tcPr>
          <w:p w14:paraId="5B25CB0D">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Reduce uncertainty and prevent unnecessary repeated commands.</w:t>
            </w:r>
          </w:p>
        </w:tc>
      </w:tr>
      <w:tr w14:paraId="01B50A75">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vAlign w:val="center"/>
          </w:tcPr>
          <w:p w14:paraId="7233B54A">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Users repeated commands because there was no processing feedback.</w:t>
            </w:r>
          </w:p>
        </w:tc>
        <w:tc>
          <w:tcPr>
            <w:tcW w:w="2592" w:type="dxa"/>
            <w:vAlign w:val="center"/>
          </w:tcPr>
          <w:p w14:paraId="4D927214">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P1, P5</w:t>
            </w:r>
          </w:p>
        </w:tc>
        <w:tc>
          <w:tcPr>
            <w:tcW w:w="2592" w:type="dxa"/>
            <w:vAlign w:val="center"/>
          </w:tcPr>
          <w:p w14:paraId="537DE1BC">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Visible processing state and duplicate-command prevention.</w:t>
            </w:r>
          </w:p>
        </w:tc>
        <w:tc>
          <w:tcPr>
            <w:tcW w:w="2592" w:type="dxa"/>
            <w:vAlign w:val="center"/>
          </w:tcPr>
          <w:p w14:paraId="0C21BE26">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Improve perceived responsiveness and interaction confidence.</w:t>
            </w:r>
          </w:p>
        </w:tc>
      </w:tr>
      <w:tr w14:paraId="0F7035AA">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vAlign w:val="center"/>
          </w:tcPr>
          <w:p w14:paraId="449144D6">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Voice-only stop command failed during loud audio output.</w:t>
            </w:r>
          </w:p>
        </w:tc>
        <w:tc>
          <w:tcPr>
            <w:tcW w:w="2592" w:type="dxa"/>
            <w:vAlign w:val="center"/>
          </w:tcPr>
          <w:p w14:paraId="74B1CA80">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P4, P5</w:t>
            </w:r>
          </w:p>
        </w:tc>
        <w:tc>
          <w:tcPr>
            <w:tcW w:w="2592" w:type="dxa"/>
            <w:vAlign w:val="center"/>
          </w:tcPr>
          <w:p w14:paraId="08BDB55B">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Pet-to-Mute touch control.</w:t>
            </w:r>
          </w:p>
        </w:tc>
        <w:tc>
          <w:tcPr>
            <w:tcW w:w="2592" w:type="dxa"/>
            <w:vAlign w:val="center"/>
          </w:tcPr>
          <w:p w14:paraId="24FD69BF">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Provide reliable interruption even when voice input fails.</w:t>
            </w:r>
          </w:p>
        </w:tc>
      </w:tr>
      <w:tr w14:paraId="49C8667F">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vAlign w:val="center"/>
          </w:tcPr>
          <w:p w14:paraId="4FA88232">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Users did not trust software-only microphone-off confirmation.</w:t>
            </w:r>
          </w:p>
        </w:tc>
        <w:tc>
          <w:tcPr>
            <w:tcW w:w="2592" w:type="dxa"/>
            <w:vAlign w:val="center"/>
          </w:tcPr>
          <w:p w14:paraId="63604093">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P3</w:t>
            </w:r>
          </w:p>
        </w:tc>
        <w:tc>
          <w:tcPr>
            <w:tcW w:w="2592" w:type="dxa"/>
            <w:vAlign w:val="center"/>
          </w:tcPr>
          <w:p w14:paraId="060AC6D7">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Physical privacy switch.</w:t>
            </w:r>
          </w:p>
        </w:tc>
        <w:tc>
          <w:tcPr>
            <w:tcW w:w="2592" w:type="dxa"/>
            <w:vAlign w:val="center"/>
          </w:tcPr>
          <w:p w14:paraId="6BA4151A">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Increase psychological safety and trust.</w:t>
            </w:r>
          </w:p>
        </w:tc>
      </w:tr>
      <w:tr w14:paraId="0E6E6AC7">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592" w:type="dxa"/>
            <w:vAlign w:val="center"/>
          </w:tcPr>
          <w:p w14:paraId="63C0DD22">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Users needed a clearer privacy state.</w:t>
            </w:r>
          </w:p>
        </w:tc>
        <w:tc>
          <w:tcPr>
            <w:tcW w:w="2592" w:type="dxa"/>
            <w:vAlign w:val="center"/>
          </w:tcPr>
          <w:p w14:paraId="6A8923F3">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P3</w:t>
            </w:r>
          </w:p>
        </w:tc>
        <w:tc>
          <w:tcPr>
            <w:tcW w:w="2592" w:type="dxa"/>
            <w:vAlign w:val="center"/>
          </w:tcPr>
          <w:p w14:paraId="795CA9B1">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“Earmuffs” icon.</w:t>
            </w:r>
          </w:p>
        </w:tc>
        <w:tc>
          <w:tcPr>
            <w:tcW w:w="2592" w:type="dxa"/>
            <w:vAlign w:val="center"/>
          </w:tcPr>
          <w:p w14:paraId="63F08A12">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Make privacy state visible at a glance.</w:t>
            </w:r>
          </w:p>
        </w:tc>
      </w:tr>
    </w:tbl>
    <w:p w14:paraId="6DF35D4F">
      <w:pPr>
        <w:rPr>
          <w:color w:val="000000" w:themeColor="text1"/>
          <w14:textFill>
            <w14:solidFill>
              <w14:schemeClr w14:val="tx1"/>
            </w14:solidFill>
          </w14:textFill>
        </w:rPr>
      </w:pPr>
    </w:p>
    <w:p w14:paraId="2AAE5870">
      <w:pPr>
        <w:rPr>
          <w:color w:val="000000" w:themeColor="text1"/>
          <w14:textFill>
            <w14:solidFill>
              <w14:schemeClr w14:val="tx1"/>
            </w14:solidFill>
          </w14:textFill>
        </w:rPr>
      </w:pPr>
      <w:r>
        <w:rPr>
          <w:rFonts w:asciiTheme="majorHAnsi" w:hAnsiTheme="majorHAnsi" w:eastAsiaTheme="majorEastAsia" w:cstheme="majorBidi"/>
          <w:b/>
          <w:bCs/>
          <w:color w:val="000000" w:themeColor="text1"/>
          <w:sz w:val="28"/>
          <w:szCs w:val="28"/>
          <w:lang w:val="en-US" w:eastAsia="en-US" w:bidi="ar-SA"/>
          <w14:textFill>
            <w14:solidFill>
              <w14:schemeClr w14:val="tx1"/>
            </w14:solidFill>
          </w14:textFill>
        </w:rPr>
        <w:t>9. Task-Level Observation Summary</w:t>
      </w:r>
    </w:p>
    <w:tbl>
      <w:tblPr>
        <w:tblStyle w:val="32"/>
        <w:tblW w:w="0" w:type="auto"/>
        <w:jc w:val="center"/>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Layout w:type="autofit"/>
        <w:tblCellMar>
          <w:top w:w="0" w:type="dxa"/>
          <w:left w:w="108" w:type="dxa"/>
          <w:bottom w:w="0" w:type="dxa"/>
          <w:right w:w="108" w:type="dxa"/>
        </w:tblCellMar>
      </w:tblPr>
      <w:tblGrid>
        <w:gridCol w:w="2074"/>
        <w:gridCol w:w="2074"/>
        <w:gridCol w:w="2074"/>
        <w:gridCol w:w="2074"/>
        <w:gridCol w:w="2074"/>
      </w:tblGrid>
      <w:tr w14:paraId="7F252861">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074" w:type="dxa"/>
            <w:shd w:val="clear" w:color="auto" w:fill="1F4E79"/>
            <w:vAlign w:val="center"/>
          </w:tcPr>
          <w:p w14:paraId="35248F11">
            <w:pPr>
              <w:jc w:val="left"/>
              <w:rPr>
                <w:color w:val="000000" w:themeColor="text1"/>
                <w14:textFill>
                  <w14:solidFill>
                    <w14:schemeClr w14:val="tx1"/>
                  </w14:solidFill>
                </w14:textFill>
              </w:rPr>
            </w:pPr>
            <w:r>
              <w:rPr>
                <w:b/>
                <w:color w:val="000000" w:themeColor="text1"/>
                <w:sz w:val="16"/>
                <w14:textFill>
                  <w14:solidFill>
                    <w14:schemeClr w14:val="tx1"/>
                  </w14:solidFill>
                </w14:textFill>
              </w:rPr>
              <w:t>Task area</w:t>
            </w:r>
          </w:p>
        </w:tc>
        <w:tc>
          <w:tcPr>
            <w:tcW w:w="2074" w:type="dxa"/>
            <w:shd w:val="clear" w:color="auto" w:fill="1F4E79"/>
            <w:vAlign w:val="center"/>
          </w:tcPr>
          <w:p w14:paraId="126BA338">
            <w:pPr>
              <w:jc w:val="left"/>
              <w:rPr>
                <w:color w:val="000000" w:themeColor="text1"/>
                <w14:textFill>
                  <w14:solidFill>
                    <w14:schemeClr w14:val="tx1"/>
                  </w14:solidFill>
                </w14:textFill>
              </w:rPr>
            </w:pPr>
            <w:r>
              <w:rPr>
                <w:b/>
                <w:color w:val="000000" w:themeColor="text1"/>
                <w:sz w:val="16"/>
                <w14:textFill>
                  <w14:solidFill>
                    <w14:schemeClr w14:val="tx1"/>
                  </w14:solidFill>
                </w14:textFill>
              </w:rPr>
              <w:t>Participants involved</w:t>
            </w:r>
          </w:p>
        </w:tc>
        <w:tc>
          <w:tcPr>
            <w:tcW w:w="2074" w:type="dxa"/>
            <w:shd w:val="clear" w:color="auto" w:fill="1F4E79"/>
            <w:vAlign w:val="center"/>
          </w:tcPr>
          <w:p w14:paraId="670FD8D3">
            <w:pPr>
              <w:jc w:val="left"/>
              <w:rPr>
                <w:color w:val="000000" w:themeColor="text1"/>
                <w14:textFill>
                  <w14:solidFill>
                    <w14:schemeClr w14:val="tx1"/>
                  </w14:solidFill>
                </w14:textFill>
              </w:rPr>
            </w:pPr>
            <w:r>
              <w:rPr>
                <w:b/>
                <w:color w:val="000000" w:themeColor="text1"/>
                <w:sz w:val="16"/>
                <w14:textFill>
                  <w14:solidFill>
                    <w14:schemeClr w14:val="tx1"/>
                  </w14:solidFill>
                </w14:textFill>
              </w:rPr>
              <w:t>Observed problem</w:t>
            </w:r>
          </w:p>
        </w:tc>
        <w:tc>
          <w:tcPr>
            <w:tcW w:w="2074" w:type="dxa"/>
            <w:shd w:val="clear" w:color="auto" w:fill="1F4E79"/>
            <w:vAlign w:val="center"/>
          </w:tcPr>
          <w:p w14:paraId="7B8F963C">
            <w:pPr>
              <w:jc w:val="left"/>
              <w:rPr>
                <w:color w:val="000000" w:themeColor="text1"/>
                <w14:textFill>
                  <w14:solidFill>
                    <w14:schemeClr w14:val="tx1"/>
                  </w14:solidFill>
                </w14:textFill>
              </w:rPr>
            </w:pPr>
            <w:r>
              <w:rPr>
                <w:b/>
                <w:color w:val="000000" w:themeColor="text1"/>
                <w:sz w:val="16"/>
                <w14:textFill>
                  <w14:solidFill>
                    <w14:schemeClr w14:val="tx1"/>
                  </w14:solidFill>
                </w14:textFill>
              </w:rPr>
              <w:t>Overall severity</w:t>
            </w:r>
          </w:p>
        </w:tc>
        <w:tc>
          <w:tcPr>
            <w:tcW w:w="2074" w:type="dxa"/>
            <w:shd w:val="clear" w:color="auto" w:fill="1F4E79"/>
            <w:vAlign w:val="center"/>
          </w:tcPr>
          <w:p w14:paraId="572F8A27">
            <w:pPr>
              <w:jc w:val="left"/>
              <w:rPr>
                <w:color w:val="000000" w:themeColor="text1"/>
                <w14:textFill>
                  <w14:solidFill>
                    <w14:schemeClr w14:val="tx1"/>
                  </w14:solidFill>
                </w14:textFill>
              </w:rPr>
            </w:pPr>
            <w:r>
              <w:rPr>
                <w:b/>
                <w:color w:val="000000" w:themeColor="text1"/>
                <w:sz w:val="16"/>
                <w14:textFill>
                  <w14:solidFill>
                    <w14:schemeClr w14:val="tx1"/>
                  </w14:solidFill>
                </w14:textFill>
              </w:rPr>
              <w:t>Recommended V2 response</w:t>
            </w:r>
          </w:p>
        </w:tc>
      </w:tr>
      <w:tr w14:paraId="4591F104">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074" w:type="dxa"/>
            <w:vAlign w:val="center"/>
          </w:tcPr>
          <w:p w14:paraId="2546E7AE">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Pomodoro / productivity task</w:t>
            </w:r>
          </w:p>
        </w:tc>
        <w:tc>
          <w:tcPr>
            <w:tcW w:w="2074" w:type="dxa"/>
            <w:vAlign w:val="center"/>
          </w:tcPr>
          <w:p w14:paraId="37F2243F">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P1, P2, P5</w:t>
            </w:r>
          </w:p>
        </w:tc>
        <w:tc>
          <w:tcPr>
            <w:tcW w:w="2074" w:type="dxa"/>
            <w:vAlign w:val="center"/>
          </w:tcPr>
          <w:p w14:paraId="36756A32">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Processing delay or frozen visual state led to uncertainty, repeated commands, or reduced confidence.</w:t>
            </w:r>
          </w:p>
        </w:tc>
        <w:tc>
          <w:tcPr>
            <w:tcW w:w="2074" w:type="dxa"/>
            <w:shd w:val="clear" w:color="auto" w:fill="FFF3CD"/>
            <w:vAlign w:val="center"/>
          </w:tcPr>
          <w:p w14:paraId="654FC20D">
            <w:pPr>
              <w:jc w:val="left"/>
              <w:rPr>
                <w:color w:val="000000" w:themeColor="text1"/>
                <w14:textFill>
                  <w14:solidFill>
                    <w14:schemeClr w14:val="tx1"/>
                  </w14:solidFill>
                </w14:textFill>
              </w:rPr>
            </w:pPr>
            <w:r>
              <w:rPr>
                <w:b/>
                <w:color w:val="000000" w:themeColor="text1"/>
                <w:sz w:val="15"/>
                <w14:textFill>
                  <w14:solidFill>
                    <w14:schemeClr w14:val="tx1"/>
                  </w14:solidFill>
                </w14:textFill>
              </w:rPr>
              <w:t>High</w:t>
            </w:r>
          </w:p>
        </w:tc>
        <w:tc>
          <w:tcPr>
            <w:tcW w:w="2074" w:type="dxa"/>
            <w:vAlign w:val="center"/>
          </w:tcPr>
          <w:p w14:paraId="5D32E675">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Add “Thinking...” animation and state indicators.</w:t>
            </w:r>
          </w:p>
        </w:tc>
      </w:tr>
      <w:tr w14:paraId="0054EBEF">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074" w:type="dxa"/>
            <w:vAlign w:val="center"/>
          </w:tcPr>
          <w:p w14:paraId="2CFE30D1">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Interruption control task</w:t>
            </w:r>
          </w:p>
        </w:tc>
        <w:tc>
          <w:tcPr>
            <w:tcW w:w="2074" w:type="dxa"/>
            <w:vAlign w:val="center"/>
          </w:tcPr>
          <w:p w14:paraId="5ACCF737">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P4, P5</w:t>
            </w:r>
          </w:p>
        </w:tc>
        <w:tc>
          <w:tcPr>
            <w:tcW w:w="2074" w:type="dxa"/>
            <w:vAlign w:val="center"/>
          </w:tcPr>
          <w:p w14:paraId="2321B9DF">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Voice-only stop command was unreliable during loud output or high-pressure contexts.</w:t>
            </w:r>
          </w:p>
        </w:tc>
        <w:tc>
          <w:tcPr>
            <w:tcW w:w="2074" w:type="dxa"/>
            <w:shd w:val="clear" w:color="auto" w:fill="FFF3CD"/>
            <w:vAlign w:val="center"/>
          </w:tcPr>
          <w:p w14:paraId="38F35241">
            <w:pPr>
              <w:jc w:val="left"/>
              <w:rPr>
                <w:color w:val="000000" w:themeColor="text1"/>
                <w14:textFill>
                  <w14:solidFill>
                    <w14:schemeClr w14:val="tx1"/>
                  </w14:solidFill>
                </w14:textFill>
              </w:rPr>
            </w:pPr>
            <w:r>
              <w:rPr>
                <w:b/>
                <w:color w:val="000000" w:themeColor="text1"/>
                <w:sz w:val="15"/>
                <w14:textFill>
                  <w14:solidFill>
                    <w14:schemeClr w14:val="tx1"/>
                  </w14:solidFill>
                </w14:textFill>
              </w:rPr>
              <w:t>Critical / High</w:t>
            </w:r>
          </w:p>
        </w:tc>
        <w:tc>
          <w:tcPr>
            <w:tcW w:w="2074" w:type="dxa"/>
            <w:vAlign w:val="center"/>
          </w:tcPr>
          <w:p w14:paraId="54D40B12">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Add Pet-to-Mute physical fallback.</w:t>
            </w:r>
          </w:p>
        </w:tc>
      </w:tr>
      <w:tr w14:paraId="531143FA">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074" w:type="dxa"/>
            <w:vAlign w:val="center"/>
          </w:tcPr>
          <w:p w14:paraId="022938C7">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Privacy control task</w:t>
            </w:r>
          </w:p>
        </w:tc>
        <w:tc>
          <w:tcPr>
            <w:tcW w:w="2074" w:type="dxa"/>
            <w:vAlign w:val="center"/>
          </w:tcPr>
          <w:p w14:paraId="663DE062">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P3</w:t>
            </w:r>
          </w:p>
        </w:tc>
        <w:tc>
          <w:tcPr>
            <w:tcW w:w="2074" w:type="dxa"/>
            <w:vAlign w:val="center"/>
          </w:tcPr>
          <w:p w14:paraId="7D595608">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Software-only microphone-off confirmation did not provide enough trust.</w:t>
            </w:r>
          </w:p>
        </w:tc>
        <w:tc>
          <w:tcPr>
            <w:tcW w:w="2074" w:type="dxa"/>
            <w:shd w:val="clear" w:color="auto" w:fill="FFF3CD"/>
            <w:vAlign w:val="center"/>
          </w:tcPr>
          <w:p w14:paraId="1ACB66BE">
            <w:pPr>
              <w:jc w:val="left"/>
              <w:rPr>
                <w:color w:val="000000" w:themeColor="text1"/>
                <w14:textFill>
                  <w14:solidFill>
                    <w14:schemeClr w14:val="tx1"/>
                  </w14:solidFill>
                </w14:textFill>
              </w:rPr>
            </w:pPr>
            <w:r>
              <w:rPr>
                <w:b/>
                <w:color w:val="000000" w:themeColor="text1"/>
                <w:sz w:val="15"/>
                <w14:textFill>
                  <w14:solidFill>
                    <w14:schemeClr w14:val="tx1"/>
                  </w14:solidFill>
                </w14:textFill>
              </w:rPr>
              <w:t>High</w:t>
            </w:r>
          </w:p>
        </w:tc>
        <w:tc>
          <w:tcPr>
            <w:tcW w:w="2074" w:type="dxa"/>
            <w:vAlign w:val="center"/>
          </w:tcPr>
          <w:p w14:paraId="6A39A6EB">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Add physical privacy switch and “Earmuffs” icon.</w:t>
            </w:r>
          </w:p>
        </w:tc>
      </w:tr>
      <w:tr w14:paraId="5F72E374">
        <w:tblPrEx>
          <w:tblBorders>
            <w:top w:val="single" w:color="C9D6E8" w:sz="6" w:space="0"/>
            <w:left w:val="single" w:color="C9D6E8" w:sz="6" w:space="0"/>
            <w:bottom w:val="single" w:color="C9D6E8" w:sz="6" w:space="0"/>
            <w:right w:val="single" w:color="C9D6E8" w:sz="6" w:space="0"/>
            <w:insideH w:val="single" w:color="C9D6E8" w:sz="6" w:space="0"/>
            <w:insideV w:val="single" w:color="C9D6E8" w:sz="6" w:space="0"/>
          </w:tblBorders>
          <w:tblCellMar>
            <w:top w:w="0" w:type="dxa"/>
            <w:left w:w="108" w:type="dxa"/>
            <w:bottom w:w="0" w:type="dxa"/>
            <w:right w:w="108" w:type="dxa"/>
          </w:tblCellMar>
        </w:tblPrEx>
        <w:trPr>
          <w:jc w:val="center"/>
        </w:trPr>
        <w:tc>
          <w:tcPr>
            <w:tcW w:w="2074" w:type="dxa"/>
            <w:vAlign w:val="center"/>
          </w:tcPr>
          <w:p w14:paraId="3A2FE1F0">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Overall interaction clarity</w:t>
            </w:r>
          </w:p>
        </w:tc>
        <w:tc>
          <w:tcPr>
            <w:tcW w:w="2074" w:type="dxa"/>
            <w:vAlign w:val="center"/>
          </w:tcPr>
          <w:p w14:paraId="5474BE8E">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P1-P5</w:t>
            </w:r>
          </w:p>
        </w:tc>
        <w:tc>
          <w:tcPr>
            <w:tcW w:w="2074" w:type="dxa"/>
            <w:vAlign w:val="center"/>
          </w:tcPr>
          <w:p w14:paraId="441BB3AC">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Users wanted clear indication of whether the assistant was listening, processing, speaking, muted, or mic-off.</w:t>
            </w:r>
          </w:p>
        </w:tc>
        <w:tc>
          <w:tcPr>
            <w:tcW w:w="2074" w:type="dxa"/>
            <w:shd w:val="clear" w:color="auto" w:fill="FFF3CD"/>
            <w:vAlign w:val="center"/>
          </w:tcPr>
          <w:p w14:paraId="47154E67">
            <w:pPr>
              <w:jc w:val="left"/>
              <w:rPr>
                <w:color w:val="000000" w:themeColor="text1"/>
                <w14:textFill>
                  <w14:solidFill>
                    <w14:schemeClr w14:val="tx1"/>
                  </w14:solidFill>
                </w14:textFill>
              </w:rPr>
            </w:pPr>
            <w:r>
              <w:rPr>
                <w:b/>
                <w:color w:val="000000" w:themeColor="text1"/>
                <w:sz w:val="15"/>
                <w14:textFill>
                  <w14:solidFill>
                    <w14:schemeClr w14:val="tx1"/>
                  </w14:solidFill>
                </w14:textFill>
              </w:rPr>
              <w:t>Medium-High</w:t>
            </w:r>
          </w:p>
        </w:tc>
        <w:tc>
          <w:tcPr>
            <w:tcW w:w="2074" w:type="dxa"/>
            <w:vAlign w:val="center"/>
          </w:tcPr>
          <w:p w14:paraId="7F99C256">
            <w:pPr>
              <w:jc w:val="left"/>
              <w:rPr>
                <w:color w:val="000000" w:themeColor="text1"/>
                <w14:textFill>
                  <w14:solidFill>
                    <w14:schemeClr w14:val="tx1"/>
                  </w14:solidFill>
                </w14:textFill>
              </w:rPr>
            </w:pPr>
            <w:r>
              <w:rPr>
                <w:b w:val="0"/>
                <w:color w:val="000000" w:themeColor="text1"/>
                <w:sz w:val="15"/>
                <w14:textFill>
                  <w14:solidFill>
                    <w14:schemeClr w14:val="tx1"/>
                  </w14:solidFill>
                </w14:textFill>
              </w:rPr>
              <w:t>Make system state visible and consistent across all main interactions.</w:t>
            </w:r>
          </w:p>
        </w:tc>
      </w:tr>
    </w:tbl>
    <w:p w14:paraId="64DF639F">
      <w:pPr>
        <w:pStyle w:val="3"/>
        <w:keepNext/>
        <w:rPr>
          <w:color w:val="000000" w:themeColor="text1"/>
          <w14:textFill>
            <w14:solidFill>
              <w14:schemeClr w14:val="tx1"/>
            </w14:solidFill>
          </w14:textFill>
        </w:rPr>
      </w:pPr>
      <w:r>
        <w:rPr>
          <w:color w:val="000000" w:themeColor="text1"/>
          <w14:textFill>
            <w14:solidFill>
              <w14:schemeClr w14:val="tx1"/>
            </w14:solidFill>
          </w14:textFill>
        </w:rPr>
        <w:t>10. Conclusion for Validation Report</w:t>
      </w:r>
    </w:p>
    <w:p w14:paraId="04BD0BF8">
      <w:pPr>
        <w:rPr>
          <w:color w:val="000000" w:themeColor="text1"/>
          <w14:textFill>
            <w14:solidFill>
              <w14:schemeClr w14:val="tx1"/>
            </w14:solidFill>
          </w14:textFill>
        </w:rPr>
      </w:pPr>
      <w:r>
        <w:rPr>
          <w:color w:val="000000" w:themeColor="text1"/>
          <w14:textFill>
            <w14:solidFill>
              <w14:schemeClr w14:val="tx1"/>
            </w14:solidFill>
          </w14:textFill>
        </w:rPr>
        <w:t>The B2 observation and rating summary shows that the main validation issues were feedback clarity, control reliability, and privacy trust. The most serious problem was not simply whether the prototype could technically complete tasks, but whether users could understand and control the interaction while it was happening.</w:t>
      </w:r>
    </w:p>
    <w:p w14:paraId="6644F406">
      <w:pPr>
        <w:rPr>
          <w:color w:val="000000" w:themeColor="text1"/>
          <w14:textFill>
            <w14:solidFill>
              <w14:schemeClr w14:val="tx1"/>
            </w14:solidFill>
          </w14:textFill>
        </w:rPr>
      </w:pPr>
      <w:r>
        <w:rPr>
          <w:color w:val="000000" w:themeColor="text1"/>
          <w14:textFill>
            <w14:solidFill>
              <w14:schemeClr w14:val="tx1"/>
            </w14:solidFill>
          </w14:textFill>
        </w:rPr>
        <w:t>The strongest evidence pattern was that invisible processing caused user uncertainty. P1 repeated the Pomodoro command, P2 interpreted the frozen screen as uncomfortable, and P5 explicitly valued the “Thinking...” feedback. This supports the V2 “Thinking...” animation and clearer visual state indicators.</w:t>
      </w:r>
    </w:p>
    <w:p w14:paraId="6F9EFE7F">
      <w:pPr>
        <w:rPr>
          <w:color w:val="000000" w:themeColor="text1"/>
          <w14:textFill>
            <w14:solidFill>
              <w14:schemeClr w14:val="tx1"/>
            </w14:solidFill>
          </w14:textFill>
        </w:rPr>
      </w:pPr>
      <w:r>
        <w:rPr>
          <w:color w:val="000000" w:themeColor="text1"/>
          <w14:textFill>
            <w14:solidFill>
              <w14:schemeClr w14:val="tx1"/>
            </w14:solidFill>
          </w14:textFill>
        </w:rPr>
        <w:t>A second major pattern was the need for reliable interruption control. P4’s loud-output failure showed that voice-only control cannot be the only method for stopping the device. This supports the Pet-to-Mute fallback control.</w:t>
      </w:r>
    </w:p>
    <w:p w14:paraId="35EBF52E">
      <w:pPr>
        <w:rPr>
          <w:color w:val="000000" w:themeColor="text1"/>
          <w14:textFill>
            <w14:solidFill>
              <w14:schemeClr w14:val="tx1"/>
            </w14:solidFill>
          </w14:textFill>
        </w:rPr>
      </w:pPr>
      <w:r>
        <w:rPr>
          <w:color w:val="000000" w:themeColor="text1"/>
          <w14:textFill>
            <w14:solidFill>
              <w14:schemeClr w14:val="tx1"/>
            </w14:solidFill>
          </w14:textFill>
        </w:rPr>
        <w:t>A third major pattern was privacy trust. P3’s physical covering behaviour showed that a voice confirmation alone was insufficient. This supports the physical privacy switch and “Earmuffs” privacy icon.</w:t>
      </w:r>
    </w:p>
    <w:p w14:paraId="08C9F1D1">
      <w:pPr>
        <w:pStyle w:val="3"/>
        <w:rPr>
          <w:color w:val="000000" w:themeColor="text1"/>
          <w14:textFill>
            <w14:solidFill>
              <w14:schemeClr w14:val="tx1"/>
            </w14:solidFill>
          </w14:textFill>
        </w:rPr>
      </w:pPr>
      <w:bookmarkStart w:id="0" w:name="_GoBack"/>
      <w:bookmarkEnd w:id="0"/>
    </w:p>
    <w:sectPr>
      <w:headerReference r:id="rId5" w:type="default"/>
      <w:footerReference r:id="rId6" w:type="default"/>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093E3">
    <w:pPr>
      <w:pStyle w:val="24"/>
      <w:jc w:val="center"/>
    </w:pPr>
    <w:r>
      <w:rPr>
        <w:color w:val="787878"/>
        <w:sz w:val="16"/>
      </w:rPr>
      <w:t>B2 Observation Notes and Rating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A557B">
    <w:pPr>
      <w:pStyle w:val="25"/>
      <w:jc w:val="right"/>
    </w:pPr>
    <w:r>
      <w:rPr>
        <w:color w:val="5A5A5A"/>
        <w:sz w:val="16"/>
      </w:rPr>
      <w:t>ENT208TC Validation Report Evidence Appendix | B2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8D03D6"/>
    <w:rsid w:val="15A562CA"/>
    <w:rsid w:val="33890452"/>
    <w:rsid w:val="382A2A41"/>
    <w:rsid w:val="3F605707"/>
    <w:rsid w:val="42AC48D8"/>
    <w:rsid w:val="7C464F65"/>
    <w:rsid w:val="7D4A55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19"/>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42A56"/>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A5082"/>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B4B4B"/>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487</Words>
  <Characters>3073</Characters>
  <Lines>0</Lines>
  <Paragraphs>0</Paragraphs>
  <TotalTime>1</TotalTime>
  <ScaleCrop>false</ScaleCrop>
  <LinksUpToDate>false</LinksUpToDate>
  <CharactersWithSpaces>3484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WPS_1698130713</cp:lastModifiedBy>
  <dcterms:modified xsi:type="dcterms:W3CDTF">2026-05-15T11:15:39Z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eyJoZGlkIjoiYTQwYmQ0OGQ0NmY1M2ZhZGYxODQzNzA5ZjFjMTBiZmIiLCJ1c2VySWQiOiIxNTUzODczOTYxIn0=</vt:lpwstr>
  </property>
  <property fmtid="{D5CDD505-2E9C-101B-9397-08002B2CF9AE}" pid="3" name="KSOProductBuildVer">
    <vt:lpwstr>2052-12.1.0.25865</vt:lpwstr>
  </property>
  <property fmtid="{D5CDD505-2E9C-101B-9397-08002B2CF9AE}" pid="4" name="ICV">
    <vt:lpwstr>54C08DA11DEC424F850EE8B7B5A97317_12</vt:lpwstr>
  </property>
</Properties>
</file>