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36918">
      <w:pPr>
        <w:jc w:val="center"/>
      </w:pPr>
      <w:r>
        <w:rPr>
          <w:rFonts w:ascii="Arial" w:hAnsi="Arial"/>
          <w:b/>
          <w:sz w:val="36"/>
        </w:rPr>
        <w:t>C2 — Before / After Prototype Screenshots and Design Changes</w:t>
      </w:r>
    </w:p>
    <w:p w14:paraId="7AE28F19">
      <w:pPr>
        <w:jc w:val="center"/>
      </w:pPr>
      <w:r>
        <w:rPr>
          <w:i/>
          <w:sz w:val="22"/>
        </w:rPr>
        <w:t>ENT208TC Validation Report Evidence Appendix</w:t>
      </w:r>
    </w:p>
    <w:p w14:paraId="4EE3FCBB">
      <w:pPr>
        <w:jc w:val="center"/>
      </w:pPr>
      <w:r>
        <w:rPr>
          <w:sz w:val="21"/>
        </w:rPr>
        <w:t>Scope: V1 to V2 prototype changes for the “Thinking...” animation, Pet-to-Mute control, physical privacy switch, and “Earmuffs” icon.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B3C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DE9FE"/>
          </w:tcPr>
          <w:p w14:paraId="1F712FA8">
            <w:pPr>
              <w:spacing w:after="0" w:line="240" w:lineRule="auto"/>
            </w:pPr>
            <w:r>
              <w:rPr>
                <w:b/>
              </w:rPr>
              <w:t>Evidence ID</w:t>
            </w:r>
          </w:p>
        </w:tc>
        <w:tc>
          <w:tcPr>
            <w:tcW w:w="5112" w:type="dxa"/>
          </w:tcPr>
          <w:p w14:paraId="06AE43FF">
            <w:pPr>
              <w:spacing w:after="0" w:line="240" w:lineRule="auto"/>
            </w:pPr>
            <w:r>
              <w:t>C2</w:t>
            </w:r>
          </w:p>
        </w:tc>
      </w:tr>
      <w:tr w14:paraId="254E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DE9FE"/>
          </w:tcPr>
          <w:p w14:paraId="08EF3D4C">
            <w:pPr>
              <w:spacing w:after="0" w:line="240" w:lineRule="auto"/>
            </w:pPr>
            <w:r>
              <w:rPr>
                <w:b/>
              </w:rPr>
              <w:t>Evidence type</w:t>
            </w:r>
          </w:p>
        </w:tc>
        <w:tc>
          <w:tcPr>
            <w:tcW w:w="5112" w:type="dxa"/>
          </w:tcPr>
          <w:p w14:paraId="12564DE5">
            <w:pPr>
              <w:spacing w:after="0" w:line="240" w:lineRule="auto"/>
            </w:pPr>
            <w:r>
              <w:t>Before / after prototype screenshots with annotated explanation</w:t>
            </w:r>
          </w:p>
        </w:tc>
      </w:tr>
      <w:tr w14:paraId="1B3E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DE9FE"/>
          </w:tcPr>
          <w:p w14:paraId="338C47C7">
            <w:pPr>
              <w:spacing w:after="0" w:line="240" w:lineRule="auto"/>
            </w:pPr>
            <w:r>
              <w:rPr>
                <w:b/>
              </w:rPr>
              <w:t>Purpose</w:t>
            </w:r>
          </w:p>
        </w:tc>
        <w:tc>
          <w:tcPr>
            <w:tcW w:w="5112" w:type="dxa"/>
          </w:tcPr>
          <w:p w14:paraId="5B9BC29A">
            <w:pPr>
              <w:spacing w:after="0" w:line="240" w:lineRule="auto"/>
            </w:pPr>
            <w:r>
              <w:t>To show how key user-testing findings were translated into concrete V2 interface and hardware changes.</w:t>
            </w:r>
          </w:p>
        </w:tc>
      </w:tr>
      <w:tr w14:paraId="2F8C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DE9FE"/>
          </w:tcPr>
          <w:p w14:paraId="64EF053D">
            <w:pPr>
              <w:spacing w:after="0" w:line="240" w:lineRule="auto"/>
            </w:pPr>
            <w:r>
              <w:rPr>
                <w:b/>
              </w:rPr>
              <w:t>Main source evidence</w:t>
            </w:r>
          </w:p>
        </w:tc>
        <w:tc>
          <w:tcPr>
            <w:tcW w:w="5112" w:type="dxa"/>
          </w:tcPr>
          <w:p w14:paraId="60303F49">
            <w:pPr>
              <w:spacing w:after="0" w:line="240" w:lineRule="auto"/>
            </w:pPr>
            <w:r>
              <w:t>A1–A5 individual participant transcripts and observation notes</w:t>
            </w:r>
          </w:p>
        </w:tc>
      </w:tr>
      <w:tr w14:paraId="78086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DE9FE"/>
          </w:tcPr>
          <w:p w14:paraId="7817F862">
            <w:pPr>
              <w:spacing w:after="0" w:line="240" w:lineRule="auto"/>
            </w:pPr>
            <w:r>
              <w:rPr>
                <w:b/>
              </w:rPr>
              <w:t>Main design themes</w:t>
            </w:r>
          </w:p>
        </w:tc>
        <w:tc>
          <w:tcPr>
            <w:tcW w:w="5112" w:type="dxa"/>
          </w:tcPr>
          <w:p w14:paraId="21BC3331">
            <w:pPr>
              <w:spacing w:after="0" w:line="240" w:lineRule="auto"/>
            </w:pPr>
            <w:r>
              <w:t>Latency visibility; interruption reliability; privacy trust; state clarity</w:t>
            </w:r>
          </w:p>
        </w:tc>
      </w:tr>
    </w:tbl>
    <w:p w14:paraId="618F5883"/>
    <w:p w14:paraId="7EC5CAFC">
      <w:r>
        <w:drawing>
          <wp:inline distT="0" distB="0" distL="114300" distR="114300">
            <wp:extent cx="6309360" cy="35490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309360" cy="3549015"/>
                    </a:xfrm>
                    <a:prstGeom prst="rect">
                      <a:avLst/>
                    </a:prstGeom>
                  </pic:spPr>
                </pic:pic>
              </a:graphicData>
            </a:graphic>
          </wp:inline>
        </w:drawing>
      </w:r>
    </w:p>
    <w:p w14:paraId="5D21174C">
      <w:pPr>
        <w:jc w:val="center"/>
      </w:pPr>
      <w:r>
        <w:rPr>
          <w:i/>
          <w:sz w:val="18"/>
        </w:rPr>
        <w:t>Figure C2-1. Overview of the four V1→V2 prototype changes documented in this evidence file.</w:t>
      </w:r>
    </w:p>
    <w:p w14:paraId="7A172377">
      <w:r>
        <w:rPr>
          <w:b/>
          <w:sz w:val="26"/>
        </w:rPr>
        <w:t>1. Evidence Summary</w:t>
      </w:r>
    </w:p>
    <w:p w14:paraId="19A7F50C">
      <w:r>
        <w:t>This document presents annotated before/after screenshots and design notes showing how specific validation findings from user testing informed the transition from the V1 prototype to the V2 prototype. The focus is not only on what changed visually, but also on why each change was necessary and which usability or trust issue it addressed.</w:t>
      </w:r>
    </w:p>
    <w:p w14:paraId="17E26108">
      <w:r>
        <w:rPr>
          <w:b/>
          <w:sz w:val="26"/>
        </w:rPr>
        <w:t>2. Change Mapping Table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2662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BEAFE"/>
          </w:tcPr>
          <w:p w14:paraId="049260C2">
            <w:pPr>
              <w:spacing w:after="0" w:line="240" w:lineRule="auto"/>
            </w:pPr>
            <w:r>
              <w:rPr>
                <w:b/>
              </w:rPr>
              <w:t>V1 problem</w:t>
            </w:r>
          </w:p>
        </w:tc>
        <w:tc>
          <w:tcPr>
            <w:tcW w:w="2556" w:type="dxa"/>
            <w:shd w:val="clear" w:color="auto" w:fill="E0F2FE"/>
          </w:tcPr>
          <w:p w14:paraId="41A17EC3">
            <w:pPr>
              <w:spacing w:after="0" w:line="240" w:lineRule="auto"/>
            </w:pPr>
            <w:r>
              <w:rPr>
                <w:b/>
              </w:rPr>
              <w:t>Key participant evidence</w:t>
            </w:r>
          </w:p>
        </w:tc>
        <w:tc>
          <w:tcPr>
            <w:tcW w:w="2556" w:type="dxa"/>
            <w:shd w:val="clear" w:color="auto" w:fill="DBEAFE"/>
          </w:tcPr>
          <w:p w14:paraId="31431C16">
            <w:pPr>
              <w:spacing w:after="0" w:line="240" w:lineRule="auto"/>
            </w:pPr>
            <w:r>
              <w:rPr>
                <w:b/>
              </w:rPr>
              <w:t>V2 design response</w:t>
            </w:r>
          </w:p>
        </w:tc>
        <w:tc>
          <w:tcPr>
            <w:tcW w:w="2556" w:type="dxa"/>
            <w:shd w:val="clear" w:color="auto" w:fill="E0F2FE"/>
          </w:tcPr>
          <w:p w14:paraId="221152B5">
            <w:pPr>
              <w:spacing w:after="0" w:line="240" w:lineRule="auto"/>
            </w:pPr>
            <w:r>
              <w:rPr>
                <w:b/>
              </w:rPr>
              <w:t>Expected improvement</w:t>
            </w:r>
          </w:p>
        </w:tc>
      </w:tr>
      <w:tr w14:paraId="297D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38B2394D">
            <w:pPr>
              <w:spacing w:after="0" w:line="240" w:lineRule="auto"/>
            </w:pPr>
            <w:r>
              <w:t>Screen looked frozen during processing</w:t>
            </w:r>
          </w:p>
        </w:tc>
        <w:tc>
          <w:tcPr>
            <w:tcW w:w="2556" w:type="dxa"/>
          </w:tcPr>
          <w:p w14:paraId="592BB5EC">
            <w:pPr>
              <w:spacing w:after="0" w:line="240" w:lineRule="auto"/>
            </w:pPr>
            <w:r>
              <w:t>P1, P2, P5</w:t>
            </w:r>
          </w:p>
        </w:tc>
        <w:tc>
          <w:tcPr>
            <w:tcW w:w="2556" w:type="dxa"/>
          </w:tcPr>
          <w:p w14:paraId="5128A15E">
            <w:pPr>
              <w:spacing w:after="0" w:line="240" w:lineRule="auto"/>
            </w:pPr>
            <w:r>
              <w:t>“Thinking...” animation</w:t>
            </w:r>
          </w:p>
        </w:tc>
        <w:tc>
          <w:tcPr>
            <w:tcW w:w="2556" w:type="dxa"/>
          </w:tcPr>
          <w:p w14:paraId="57F0B9A0">
            <w:pPr>
              <w:spacing w:after="0" w:line="240" w:lineRule="auto"/>
            </w:pPr>
            <w:r>
              <w:t>Higher confidence; fewer repeated commands</w:t>
            </w:r>
          </w:p>
        </w:tc>
      </w:tr>
      <w:tr w14:paraId="69C0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5CAF305C">
            <w:pPr>
              <w:spacing w:after="0" w:line="240" w:lineRule="auto"/>
            </w:pPr>
            <w:r>
              <w:t>Voice stop unreliable during loud output</w:t>
            </w:r>
          </w:p>
        </w:tc>
        <w:tc>
          <w:tcPr>
            <w:tcW w:w="2556" w:type="dxa"/>
          </w:tcPr>
          <w:p w14:paraId="5ACAAC8F">
            <w:pPr>
              <w:spacing w:after="0" w:line="240" w:lineRule="auto"/>
            </w:pPr>
            <w:r>
              <w:t>P4</w:t>
            </w:r>
          </w:p>
        </w:tc>
        <w:tc>
          <w:tcPr>
            <w:tcW w:w="2556" w:type="dxa"/>
          </w:tcPr>
          <w:p w14:paraId="7E8B6BC1">
            <w:pPr>
              <w:spacing w:after="0" w:line="240" w:lineRule="auto"/>
            </w:pPr>
            <w:r>
              <w:t>Pet-to-Mute control</w:t>
            </w:r>
          </w:p>
        </w:tc>
        <w:tc>
          <w:tcPr>
            <w:tcW w:w="2556" w:type="dxa"/>
          </w:tcPr>
          <w:p w14:paraId="102D9BD7">
            <w:pPr>
              <w:spacing w:after="0" w:line="240" w:lineRule="auto"/>
            </w:pPr>
            <w:r>
              <w:t>Faster interruption and better control</w:t>
            </w:r>
          </w:p>
        </w:tc>
      </w:tr>
      <w:tr w14:paraId="7F94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24A38E3E">
            <w:pPr>
              <w:spacing w:after="0" w:line="240" w:lineRule="auto"/>
            </w:pPr>
            <w:r>
              <w:t>Mic-off status not psychologically credible</w:t>
            </w:r>
          </w:p>
        </w:tc>
        <w:tc>
          <w:tcPr>
            <w:tcW w:w="2556" w:type="dxa"/>
          </w:tcPr>
          <w:p w14:paraId="4276A404">
            <w:pPr>
              <w:spacing w:after="0" w:line="240" w:lineRule="auto"/>
            </w:pPr>
            <w:r>
              <w:t>P3</w:t>
            </w:r>
          </w:p>
        </w:tc>
        <w:tc>
          <w:tcPr>
            <w:tcW w:w="2556" w:type="dxa"/>
          </w:tcPr>
          <w:p w14:paraId="005164E6">
            <w:pPr>
              <w:spacing w:after="0" w:line="240" w:lineRule="auto"/>
            </w:pPr>
            <w:r>
              <w:t>Physical privacy switch</w:t>
            </w:r>
          </w:p>
        </w:tc>
        <w:tc>
          <w:tcPr>
            <w:tcW w:w="2556" w:type="dxa"/>
          </w:tcPr>
          <w:p w14:paraId="162A4315">
            <w:pPr>
              <w:spacing w:after="0" w:line="240" w:lineRule="auto"/>
            </w:pPr>
            <w:r>
              <w:t>Improved privacy trust</w:t>
            </w:r>
          </w:p>
        </w:tc>
      </w:tr>
      <w:tr w14:paraId="6404B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11CED3FD">
            <w:pPr>
              <w:spacing w:after="0" w:line="240" w:lineRule="auto"/>
            </w:pPr>
            <w:r>
              <w:t>Privacy mode not obvious at a glance</w:t>
            </w:r>
          </w:p>
        </w:tc>
        <w:tc>
          <w:tcPr>
            <w:tcW w:w="2556" w:type="dxa"/>
          </w:tcPr>
          <w:p w14:paraId="051E7826">
            <w:pPr>
              <w:spacing w:after="0" w:line="240" w:lineRule="auto"/>
            </w:pPr>
            <w:r>
              <w:t>P3</w:t>
            </w:r>
          </w:p>
        </w:tc>
        <w:tc>
          <w:tcPr>
            <w:tcW w:w="2556" w:type="dxa"/>
          </w:tcPr>
          <w:p w14:paraId="6F1908C7">
            <w:pPr>
              <w:spacing w:after="0" w:line="240" w:lineRule="auto"/>
            </w:pPr>
            <w:r>
              <w:t>“Earmuffs” icon</w:t>
            </w:r>
          </w:p>
        </w:tc>
        <w:tc>
          <w:tcPr>
            <w:tcW w:w="2556" w:type="dxa"/>
          </w:tcPr>
          <w:p w14:paraId="098B6F4A">
            <w:pPr>
              <w:spacing w:after="0" w:line="240" w:lineRule="auto"/>
            </w:pPr>
            <w:r>
              <w:t>Clearer visible privacy state</w:t>
            </w:r>
          </w:p>
        </w:tc>
      </w:tr>
    </w:tbl>
    <w:p w14:paraId="2E09F9D7">
      <w:r>
        <w:rPr>
          <w:b/>
          <w:sz w:val="26"/>
        </w:rPr>
        <w:t>Change 1 — “Thinking...” Animation</w:t>
      </w:r>
    </w:p>
    <w:p w14:paraId="3EE1D913">
      <w:r>
        <w:t>The “Thinking...” animation was introduced to make API processing visible and to reduce the impression that the system had frozen. This change is most directly supported by P1, P2, and P5, who described uncertainty or repeated commands when no intermediate feedback was shown.</w:t>
      </w:r>
    </w:p>
    <w:p w14:paraId="6FF424D5">
      <w:r>
        <w:drawing>
          <wp:inline distT="0" distB="0" distL="114300" distR="114300">
            <wp:extent cx="6309360" cy="39954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309360" cy="3995928"/>
                    </a:xfrm>
                    <a:prstGeom prst="rect">
                      <a:avLst/>
                    </a:prstGeom>
                  </pic:spPr>
                </pic:pic>
              </a:graphicData>
            </a:graphic>
          </wp:inline>
        </w:drawing>
      </w:r>
    </w:p>
    <w:p w14:paraId="2C128F92">
      <w:pPr>
        <w:jc w:val="center"/>
      </w:pPr>
      <w:r>
        <w:rPr>
          <w:i/>
          <w:sz w:val="18"/>
        </w:rPr>
        <w:t>Figure C2-2. Before/after illustration for the “Thinking...” animation.</w:t>
      </w:r>
    </w:p>
    <w:p w14:paraId="4FE8A35E">
      <w:pPr>
        <w:pStyle w:val="16"/>
      </w:pPr>
      <w:r>
        <w:t>What changed: V2 introduces a clearer or more reliable interaction cue than V1.</w:t>
      </w:r>
    </w:p>
    <w:p w14:paraId="19C6FC64">
      <w:pPr>
        <w:pStyle w:val="16"/>
      </w:pPr>
      <w:r>
        <w:t>Why it matters: the change directly addresses a validated user problem rather than being a purely cosmetic update.</w:t>
      </w:r>
    </w:p>
    <w:p w14:paraId="2F31F269">
      <w:pPr>
        <w:pStyle w:val="16"/>
      </w:pPr>
      <w:r>
        <w:t>Validation connection: this figure should be read together with the relevant A-series participant transcript(s).</w:t>
      </w:r>
    </w:p>
    <w:p w14:paraId="37A81FBA">
      <w:r>
        <w:rPr>
          <w:b/>
          <w:sz w:val="26"/>
        </w:rPr>
        <w:t>Change 2 — Pet-to-Mute Control</w:t>
      </w:r>
    </w:p>
    <w:p w14:paraId="4AC4887B">
      <w:r>
        <w:t>The Pet-to-Mute control provides a guaranteed physical interruption fallback when voice-only stop commands fail. This change responds most directly to P4’s high-volume interruption problem and also supports efficiency expectations mentioned by P5.</w:t>
      </w:r>
    </w:p>
    <w:p w14:paraId="3D1E3214">
      <w:r>
        <w:drawing>
          <wp:inline distT="0" distB="0" distL="114300" distR="114300">
            <wp:extent cx="6309360" cy="39954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309360" cy="3995928"/>
                    </a:xfrm>
                    <a:prstGeom prst="rect">
                      <a:avLst/>
                    </a:prstGeom>
                  </pic:spPr>
                </pic:pic>
              </a:graphicData>
            </a:graphic>
          </wp:inline>
        </w:drawing>
      </w:r>
    </w:p>
    <w:p w14:paraId="28442F7C">
      <w:pPr>
        <w:jc w:val="center"/>
      </w:pPr>
      <w:r>
        <w:rPr>
          <w:i/>
          <w:sz w:val="18"/>
        </w:rPr>
        <w:t>Figure C2-3. Before/after illustration for the Pet-to-Mute control.</w:t>
      </w:r>
    </w:p>
    <w:p w14:paraId="2F30B8B9">
      <w:pPr>
        <w:pStyle w:val="16"/>
      </w:pPr>
      <w:r>
        <w:t>What changed: V2 introduces a clearer or more reliable interaction cue than V1.</w:t>
      </w:r>
    </w:p>
    <w:p w14:paraId="32E79005">
      <w:pPr>
        <w:pStyle w:val="16"/>
      </w:pPr>
      <w:r>
        <w:t>Why it matters: the change directly addresses a validated user problem rather than being a purely cosmetic update.</w:t>
      </w:r>
    </w:p>
    <w:p w14:paraId="76874FD0">
      <w:pPr>
        <w:pStyle w:val="16"/>
      </w:pPr>
      <w:r>
        <w:t>Validation connection: this figure should be read together with the relevant A-series participant transcript(s).</w:t>
      </w:r>
    </w:p>
    <w:p w14:paraId="6861ABA6">
      <w:r>
        <w:rPr>
          <w:b/>
          <w:sz w:val="26"/>
        </w:rPr>
        <w:t>Change 3 — Physical Privacy Switch</w:t>
      </w:r>
    </w:p>
    <w:p w14:paraId="6743A8A9">
      <w:r>
        <w:t>The physical privacy switch was added because a software-only confirmation of microphone-off status did not provide enough trust. P3’s behaviour showed that privacy assurance must be visible and physical, not only verbal or software-based.</w:t>
      </w:r>
    </w:p>
    <w:p w14:paraId="3E5E15A3">
      <w:r>
        <w:drawing>
          <wp:inline distT="0" distB="0" distL="114300" distR="114300">
            <wp:extent cx="6309360" cy="39954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309360" cy="3995928"/>
                    </a:xfrm>
                    <a:prstGeom prst="rect">
                      <a:avLst/>
                    </a:prstGeom>
                  </pic:spPr>
                </pic:pic>
              </a:graphicData>
            </a:graphic>
          </wp:inline>
        </w:drawing>
      </w:r>
    </w:p>
    <w:p w14:paraId="7EB6DF67">
      <w:pPr>
        <w:jc w:val="center"/>
      </w:pPr>
      <w:r>
        <w:rPr>
          <w:i/>
          <w:sz w:val="18"/>
        </w:rPr>
        <w:t>Figure C2-4. Before/after illustration for the physical privacy switch.</w:t>
      </w:r>
    </w:p>
    <w:p w14:paraId="404A33A9">
      <w:pPr>
        <w:pStyle w:val="16"/>
      </w:pPr>
      <w:r>
        <w:t>What changed: V2 introduces a clearer or more reliable interaction cue than V1.</w:t>
      </w:r>
    </w:p>
    <w:p w14:paraId="67048C63">
      <w:pPr>
        <w:pStyle w:val="16"/>
      </w:pPr>
      <w:r>
        <w:t>Why it matters: the change directly addresses a validated user problem rather than being a purely cosmetic update.</w:t>
      </w:r>
    </w:p>
    <w:p w14:paraId="2D24B474">
      <w:pPr>
        <w:pStyle w:val="16"/>
      </w:pPr>
      <w:r>
        <w:t>Validation connection: this figure should be read together with the relevant A-series participant transcript(s).</w:t>
      </w:r>
    </w:p>
    <w:p w14:paraId="761B26B1">
      <w:r>
        <w:rPr>
          <w:b/>
          <w:sz w:val="26"/>
        </w:rPr>
        <w:t>Change 4 — “Earmuffs” Icon</w:t>
      </w:r>
    </w:p>
    <w:p w14:paraId="3B3C2727">
      <w:r>
        <w:t>The “Earmuffs” icon complements the privacy switch by showing the privacy mode on screen. It makes the microphone state legible at a glance and reduces ambiguity after the microphone has been turned off.</w:t>
      </w:r>
    </w:p>
    <w:p w14:paraId="5C29EA87">
      <w:r>
        <w:drawing>
          <wp:inline distT="0" distB="0" distL="114300" distR="114300">
            <wp:extent cx="6309360" cy="39954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309360" cy="3995928"/>
                    </a:xfrm>
                    <a:prstGeom prst="rect">
                      <a:avLst/>
                    </a:prstGeom>
                  </pic:spPr>
                </pic:pic>
              </a:graphicData>
            </a:graphic>
          </wp:inline>
        </w:drawing>
      </w:r>
    </w:p>
    <w:p w14:paraId="6C537D2E">
      <w:pPr>
        <w:jc w:val="center"/>
      </w:pPr>
      <w:r>
        <w:rPr>
          <w:i/>
          <w:sz w:val="18"/>
        </w:rPr>
        <w:t>Figure C2-5. Before/after illustration for the “Earmuffs” icon.</w:t>
      </w:r>
    </w:p>
    <w:p w14:paraId="33F6BFFE">
      <w:pPr>
        <w:pStyle w:val="16"/>
      </w:pPr>
      <w:r>
        <w:t>What changed: V2 introduces a clearer or more reliable interaction cue than V1.</w:t>
      </w:r>
    </w:p>
    <w:p w14:paraId="3AC82300">
      <w:pPr>
        <w:pStyle w:val="16"/>
      </w:pPr>
      <w:r>
        <w:t>Why it matters: the change directly addresses a validated user problem rather than being a purely cosmetic update.</w:t>
      </w:r>
    </w:p>
    <w:p w14:paraId="5AC973DE">
      <w:pPr>
        <w:pStyle w:val="16"/>
      </w:pPr>
      <w:r>
        <w:t>Validation connection: this figure should be read together with the relevant A-series participant transcript(s).</w:t>
      </w:r>
    </w:p>
    <w:p w14:paraId="6750BB09">
      <w:r>
        <w:rPr>
          <w:b/>
          <w:sz w:val="26"/>
        </w:rPr>
        <w:t>3. Comparative Summary Across All Four Changes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34A7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shd w:val="clear" w:color="auto" w:fill="F3F4F6"/>
          </w:tcPr>
          <w:p w14:paraId="404C0219">
            <w:pPr>
              <w:spacing w:after="0" w:line="240" w:lineRule="auto"/>
            </w:pPr>
            <w:r>
              <w:rPr>
                <w:b/>
              </w:rPr>
              <w:t>Change</w:t>
            </w:r>
          </w:p>
        </w:tc>
        <w:tc>
          <w:tcPr>
            <w:tcW w:w="2045" w:type="dxa"/>
            <w:shd w:val="clear" w:color="auto" w:fill="F3F4F6"/>
          </w:tcPr>
          <w:p w14:paraId="780B6B2E">
            <w:pPr>
              <w:spacing w:after="0" w:line="240" w:lineRule="auto"/>
            </w:pPr>
            <w:r>
              <w:rPr>
                <w:b/>
              </w:rPr>
              <w:t>Primary problem solved</w:t>
            </w:r>
          </w:p>
        </w:tc>
        <w:tc>
          <w:tcPr>
            <w:tcW w:w="2045" w:type="dxa"/>
            <w:shd w:val="clear" w:color="auto" w:fill="F3F4F6"/>
          </w:tcPr>
          <w:p w14:paraId="471427C8">
            <w:pPr>
              <w:spacing w:after="0" w:line="240" w:lineRule="auto"/>
            </w:pPr>
            <w:r>
              <w:rPr>
                <w:b/>
              </w:rPr>
              <w:t>Main user evidence</w:t>
            </w:r>
          </w:p>
        </w:tc>
        <w:tc>
          <w:tcPr>
            <w:tcW w:w="2045" w:type="dxa"/>
            <w:shd w:val="clear" w:color="auto" w:fill="F3F4F6"/>
          </w:tcPr>
          <w:p w14:paraId="730CDB36">
            <w:pPr>
              <w:spacing w:after="0" w:line="240" w:lineRule="auto"/>
            </w:pPr>
            <w:r>
              <w:rPr>
                <w:b/>
              </w:rPr>
              <w:t>Design type</w:t>
            </w:r>
          </w:p>
        </w:tc>
        <w:tc>
          <w:tcPr>
            <w:tcW w:w="2045" w:type="dxa"/>
            <w:shd w:val="clear" w:color="auto" w:fill="F3F4F6"/>
          </w:tcPr>
          <w:p w14:paraId="1830691F">
            <w:pPr>
              <w:spacing w:after="0" w:line="240" w:lineRule="auto"/>
            </w:pPr>
            <w:r>
              <w:rPr>
                <w:b/>
              </w:rPr>
              <w:t>Impact on V2</w:t>
            </w:r>
          </w:p>
        </w:tc>
      </w:tr>
      <w:tr w14:paraId="05F9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tcPr>
          <w:p w14:paraId="26446822">
            <w:pPr>
              <w:spacing w:after="0" w:line="240" w:lineRule="auto"/>
            </w:pPr>
            <w:r>
              <w:t>Thinking...</w:t>
            </w:r>
          </w:p>
        </w:tc>
        <w:tc>
          <w:tcPr>
            <w:tcW w:w="2045" w:type="dxa"/>
          </w:tcPr>
          <w:p w14:paraId="3C4F6895">
            <w:pPr>
              <w:spacing w:after="0" w:line="240" w:lineRule="auto"/>
            </w:pPr>
            <w:r>
              <w:t>Hidden latency / uncertain processing</w:t>
            </w:r>
          </w:p>
        </w:tc>
        <w:tc>
          <w:tcPr>
            <w:tcW w:w="2045" w:type="dxa"/>
          </w:tcPr>
          <w:p w14:paraId="12BB7621">
            <w:pPr>
              <w:spacing w:after="0" w:line="240" w:lineRule="auto"/>
            </w:pPr>
            <w:r>
              <w:t>P1, P2, P5</w:t>
            </w:r>
          </w:p>
        </w:tc>
        <w:tc>
          <w:tcPr>
            <w:tcW w:w="2045" w:type="dxa"/>
          </w:tcPr>
          <w:p w14:paraId="472BA4C5">
            <w:pPr>
              <w:spacing w:after="0" w:line="240" w:lineRule="auto"/>
            </w:pPr>
            <w:r>
              <w:t>On-screen animation</w:t>
            </w:r>
          </w:p>
        </w:tc>
        <w:tc>
          <w:tcPr>
            <w:tcW w:w="2045" w:type="dxa"/>
          </w:tcPr>
          <w:p w14:paraId="59DEC7D1">
            <w:pPr>
              <w:spacing w:after="0" w:line="240" w:lineRule="auto"/>
            </w:pPr>
            <w:r>
              <w:t>Improves feedback clarity and trust</w:t>
            </w:r>
          </w:p>
        </w:tc>
      </w:tr>
      <w:tr w14:paraId="47E57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tcPr>
          <w:p w14:paraId="5CD66CEA">
            <w:pPr>
              <w:spacing w:after="0" w:line="240" w:lineRule="auto"/>
            </w:pPr>
            <w:r>
              <w:t>Pet-to-Mute</w:t>
            </w:r>
          </w:p>
        </w:tc>
        <w:tc>
          <w:tcPr>
            <w:tcW w:w="2045" w:type="dxa"/>
          </w:tcPr>
          <w:p w14:paraId="74845A68">
            <w:pPr>
              <w:spacing w:after="0" w:line="240" w:lineRule="auto"/>
            </w:pPr>
            <w:r>
              <w:t>Failed interruption under loud output</w:t>
            </w:r>
          </w:p>
        </w:tc>
        <w:tc>
          <w:tcPr>
            <w:tcW w:w="2045" w:type="dxa"/>
          </w:tcPr>
          <w:p w14:paraId="76256CC4">
            <w:pPr>
              <w:spacing w:after="0" w:line="240" w:lineRule="auto"/>
            </w:pPr>
            <w:r>
              <w:t>P4</w:t>
            </w:r>
          </w:p>
        </w:tc>
        <w:tc>
          <w:tcPr>
            <w:tcW w:w="2045" w:type="dxa"/>
          </w:tcPr>
          <w:p w14:paraId="5A774083">
            <w:pPr>
              <w:spacing w:after="0" w:line="240" w:lineRule="auto"/>
            </w:pPr>
            <w:r>
              <w:t>Touch / physical control</w:t>
            </w:r>
          </w:p>
        </w:tc>
        <w:tc>
          <w:tcPr>
            <w:tcW w:w="2045" w:type="dxa"/>
          </w:tcPr>
          <w:p w14:paraId="488DBAF3">
            <w:pPr>
              <w:spacing w:after="0" w:line="240" w:lineRule="auto"/>
            </w:pPr>
            <w:r>
              <w:t>Improves interruption reliability</w:t>
            </w:r>
          </w:p>
        </w:tc>
      </w:tr>
      <w:tr w14:paraId="78B37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tcPr>
          <w:p w14:paraId="0090580B">
            <w:pPr>
              <w:spacing w:after="0" w:line="240" w:lineRule="auto"/>
            </w:pPr>
            <w:r>
              <w:t>Privacy switch</w:t>
            </w:r>
          </w:p>
        </w:tc>
        <w:tc>
          <w:tcPr>
            <w:tcW w:w="2045" w:type="dxa"/>
          </w:tcPr>
          <w:p w14:paraId="5E5E1289">
            <w:pPr>
              <w:spacing w:after="0" w:line="240" w:lineRule="auto"/>
            </w:pPr>
            <w:r>
              <w:t>Low trust in software-only mic-off</w:t>
            </w:r>
          </w:p>
        </w:tc>
        <w:tc>
          <w:tcPr>
            <w:tcW w:w="2045" w:type="dxa"/>
          </w:tcPr>
          <w:p w14:paraId="3D762025">
            <w:pPr>
              <w:spacing w:after="0" w:line="240" w:lineRule="auto"/>
            </w:pPr>
            <w:r>
              <w:t>P3</w:t>
            </w:r>
          </w:p>
        </w:tc>
        <w:tc>
          <w:tcPr>
            <w:tcW w:w="2045" w:type="dxa"/>
          </w:tcPr>
          <w:p w14:paraId="1846205C">
            <w:pPr>
              <w:spacing w:after="0" w:line="240" w:lineRule="auto"/>
            </w:pPr>
            <w:r>
              <w:t>Hardware control</w:t>
            </w:r>
          </w:p>
        </w:tc>
        <w:tc>
          <w:tcPr>
            <w:tcW w:w="2045" w:type="dxa"/>
          </w:tcPr>
          <w:p w14:paraId="4B429D6F">
            <w:pPr>
              <w:spacing w:after="0" w:line="240" w:lineRule="auto"/>
            </w:pPr>
            <w:r>
              <w:t>Improves privacy confidence</w:t>
            </w:r>
          </w:p>
        </w:tc>
      </w:tr>
      <w:tr w14:paraId="2853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tcPr>
          <w:p w14:paraId="0CF77590">
            <w:pPr>
              <w:spacing w:after="0" w:line="240" w:lineRule="auto"/>
            </w:pPr>
            <w:r>
              <w:t>Earmuffs icon</w:t>
            </w:r>
          </w:p>
        </w:tc>
        <w:tc>
          <w:tcPr>
            <w:tcW w:w="2045" w:type="dxa"/>
          </w:tcPr>
          <w:p w14:paraId="3F19971D">
            <w:pPr>
              <w:spacing w:after="0" w:line="240" w:lineRule="auto"/>
            </w:pPr>
            <w:r>
              <w:t>Mic-off state not visible enough</w:t>
            </w:r>
          </w:p>
        </w:tc>
        <w:tc>
          <w:tcPr>
            <w:tcW w:w="2045" w:type="dxa"/>
          </w:tcPr>
          <w:p w14:paraId="3381996E">
            <w:pPr>
              <w:spacing w:after="0" w:line="240" w:lineRule="auto"/>
            </w:pPr>
            <w:r>
              <w:t>P3</w:t>
            </w:r>
          </w:p>
        </w:tc>
        <w:tc>
          <w:tcPr>
            <w:tcW w:w="2045" w:type="dxa"/>
          </w:tcPr>
          <w:p w14:paraId="46B5B0E2">
            <w:pPr>
              <w:spacing w:after="0" w:line="240" w:lineRule="auto"/>
            </w:pPr>
            <w:r>
              <w:t>On-screen icon</w:t>
            </w:r>
          </w:p>
        </w:tc>
        <w:tc>
          <w:tcPr>
            <w:tcW w:w="2045" w:type="dxa"/>
          </w:tcPr>
          <w:p w14:paraId="2B0F1AD6">
            <w:pPr>
              <w:spacing w:after="0" w:line="240" w:lineRule="auto"/>
            </w:pPr>
            <w:r>
              <w:t>Improves state awareness</w:t>
            </w:r>
          </w:p>
        </w:tc>
      </w:tr>
    </w:tbl>
    <w:p w14:paraId="4C87DA6B">
      <w:bookmarkStart w:id="0" w:name="_GoBack"/>
      <w:bookmarkEnd w:id="0"/>
    </w:p>
    <w:sectPr>
      <w:pgSz w:w="12240" w:h="15840"/>
      <w:pgMar w:top="864"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4D62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368</Words>
  <Characters>2245</Characters>
  <Lines>0</Lines>
  <Paragraphs>0</Paragraphs>
  <TotalTime>0</TotalTime>
  <ScaleCrop>false</ScaleCrop>
  <LinksUpToDate>false</LinksUpToDate>
  <CharactersWithSpaces>2567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WPS_1698130713</cp:lastModifiedBy>
  <dcterms:modified xsi:type="dcterms:W3CDTF">2026-05-15T11:35:31Z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eyJoZGlkIjoiYTQwYmQ0OGQ0NmY1M2ZhZGYxODQzNzA5ZjFjMTBiZmIiLCJ1c2VySWQiOiIxNTUzODczOTYxIn0=</vt:lpwstr>
  </property>
  <property fmtid="{D5CDD505-2E9C-101B-9397-08002B2CF9AE}" pid="3" name="KSOProductBuildVer">
    <vt:lpwstr>2052-12.1.0.25865</vt:lpwstr>
  </property>
  <property fmtid="{D5CDD505-2E9C-101B-9397-08002B2CF9AE}" pid="4" name="ICV">
    <vt:lpwstr>B80E1AE676FD4E00A11A7F88A8C99114_12</vt:lpwstr>
  </property>
</Properties>
</file>