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BB461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t>A3 - P3 Interview / Session Transcript and Observation Notes</w:t>
      </w:r>
    </w:p>
    <w:p w14:paraId="64908D63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:sz w:val="22"/>
          <w14:textFill>
            <w14:solidFill>
              <w14:schemeClr w14:val="tx1"/>
            </w14:solidFill>
          </w14:textFill>
        </w:rPr>
        <w:t>ENT208TC Validation Report Evidence Appendix</w:t>
      </w:r>
      <w:bookmarkStart w:id="0" w:name="_GoBack"/>
      <w:bookmarkEnd w:id="0"/>
    </w:p>
    <w:p w14:paraId="4AC91F9B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 Evidence Overview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4"/>
        <w:gridCol w:w="7830"/>
      </w:tblGrid>
      <w:tr w14:paraId="4DA4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shd w:val="clear" w:color="auto" w:fill="D9EAF7"/>
            <w:vAlign w:val="top"/>
          </w:tcPr>
          <w:p w14:paraId="34E79B7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Field</w:t>
            </w:r>
          </w:p>
        </w:tc>
        <w:tc>
          <w:tcPr>
            <w:tcW w:w="7830" w:type="dxa"/>
            <w:shd w:val="clear" w:color="auto" w:fill="D9EAF7"/>
            <w:vAlign w:val="top"/>
          </w:tcPr>
          <w:p w14:paraId="09CB1C6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Details</w:t>
            </w:r>
          </w:p>
        </w:tc>
      </w:tr>
      <w:tr w14:paraId="58469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vAlign w:val="top"/>
          </w:tcPr>
          <w:p w14:paraId="2B54DD1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Evidence ID</w:t>
            </w:r>
          </w:p>
        </w:tc>
        <w:tc>
          <w:tcPr>
            <w:tcW w:w="7830" w:type="dxa"/>
            <w:vAlign w:val="top"/>
          </w:tcPr>
          <w:p w14:paraId="193D952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A3</w:t>
            </w:r>
          </w:p>
        </w:tc>
      </w:tr>
      <w:tr w14:paraId="6E307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vAlign w:val="top"/>
          </w:tcPr>
          <w:p w14:paraId="26649F3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Participant</w:t>
            </w:r>
          </w:p>
        </w:tc>
        <w:tc>
          <w:tcPr>
            <w:tcW w:w="7830" w:type="dxa"/>
            <w:vAlign w:val="top"/>
          </w:tcPr>
          <w:p w14:paraId="256E947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P3</w:t>
            </w:r>
          </w:p>
        </w:tc>
      </w:tr>
      <w:tr w14:paraId="5C797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vAlign w:val="top"/>
          </w:tcPr>
          <w:p w14:paraId="1926BBE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Relevant participant background</w:t>
            </w:r>
          </w:p>
        </w:tc>
        <w:tc>
          <w:tcPr>
            <w:tcW w:w="7830" w:type="dxa"/>
            <w:vAlign w:val="top"/>
          </w:tcPr>
          <w:p w14:paraId="6E010BB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Administrative staff; non-technical user who prioritises ease of use, privacy, and psychological safety.</w:t>
            </w:r>
          </w:p>
        </w:tc>
      </w:tr>
      <w:tr w14:paraId="70A49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vAlign w:val="top"/>
          </w:tcPr>
          <w:p w14:paraId="0D3B480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Recruitment method</w:t>
            </w:r>
          </w:p>
        </w:tc>
        <w:tc>
          <w:tcPr>
            <w:tcW w:w="7830" w:type="dxa"/>
            <w:vAlign w:val="top"/>
          </w:tcPr>
          <w:p w14:paraId="6837F8B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Referral</w:t>
            </w:r>
          </w:p>
        </w:tc>
      </w:tr>
      <w:tr w14:paraId="56E9B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vAlign w:val="top"/>
          </w:tcPr>
          <w:p w14:paraId="6FD5889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Session format</w:t>
            </w:r>
          </w:p>
        </w:tc>
        <w:tc>
          <w:tcPr>
            <w:tcW w:w="7830" w:type="dxa"/>
            <w:vAlign w:val="top"/>
          </w:tcPr>
          <w:p w14:paraId="63F895D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In-person moderated usability session plus short V2 follow-up check</w:t>
            </w:r>
          </w:p>
        </w:tc>
      </w:tr>
      <w:tr w14:paraId="139E0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vAlign w:val="top"/>
          </w:tcPr>
          <w:p w14:paraId="258D1C5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Session duration</w:t>
            </w:r>
          </w:p>
        </w:tc>
        <w:tc>
          <w:tcPr>
            <w:tcW w:w="7830" w:type="dxa"/>
            <w:vAlign w:val="top"/>
          </w:tcPr>
          <w:p w14:paraId="5F82113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Approximately 20 minutes plus V2 follow-up</w:t>
            </w:r>
          </w:p>
        </w:tc>
      </w:tr>
      <w:tr w14:paraId="1F9A6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vAlign w:val="top"/>
          </w:tcPr>
          <w:p w14:paraId="64AC4ED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Prototype version tested</w:t>
            </w:r>
          </w:p>
        </w:tc>
        <w:tc>
          <w:tcPr>
            <w:tcW w:w="7830" w:type="dxa"/>
            <w:vAlign w:val="top"/>
          </w:tcPr>
          <w:p w14:paraId="218B040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V1 prototype with V2 follow-up check</w:t>
            </w:r>
          </w:p>
        </w:tc>
      </w:tr>
      <w:tr w14:paraId="7D70B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vAlign w:val="top"/>
          </w:tcPr>
          <w:p w14:paraId="2294ADE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Main evidence theme</w:t>
            </w:r>
          </w:p>
        </w:tc>
        <w:tc>
          <w:tcPr>
            <w:tcW w:w="7830" w:type="dxa"/>
            <w:vAlign w:val="top"/>
          </w:tcPr>
          <w:p w14:paraId="1947D40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Software-only microphone control did not create enough psychological safety.</w:t>
            </w:r>
          </w:p>
        </w:tc>
      </w:tr>
      <w:tr w14:paraId="1A6AF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vAlign w:val="top"/>
          </w:tcPr>
          <w:p w14:paraId="4636974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Validation report finding supported</w:t>
            </w:r>
          </w:p>
        </w:tc>
        <w:tc>
          <w:tcPr>
            <w:tcW w:w="7830" w:type="dxa"/>
            <w:vAlign w:val="top"/>
          </w:tcPr>
          <w:p w14:paraId="604DED8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Finding 3: privacy confidence requires visible and physical privacy cues, not only a software message.</w:t>
            </w:r>
          </w:p>
        </w:tc>
      </w:tr>
    </w:tbl>
    <w:p w14:paraId="1E9B1B5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25C2A6B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 Participant Profile and Relevance</w:t>
      </w:r>
    </w:p>
    <w:p w14:paraId="266DC88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P3 was selected because their background makes the tested issue directly relevant. Administrative staff; non-technical user who prioritises ease of use, privacy, and psychological safety. This makes the participant useful for checking whether the prototype works in a realistic desk-based scenario rather than only in an ideal classroom demonstration.</w:t>
      </w:r>
    </w:p>
    <w:p w14:paraId="39A390C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Primary evidence focus: Privacy: Disable microphone before a private phone call.</w:t>
      </w:r>
    </w:p>
    <w:p w14:paraId="20996DA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 Test Setup, Task Script, and Success Criteria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4"/>
        <w:gridCol w:w="7570"/>
      </w:tblGrid>
      <w:tr w14:paraId="6D5BB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D9EAF7"/>
            <w:vAlign w:val="top"/>
          </w:tcPr>
          <w:p w14:paraId="4827175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Item</w:t>
            </w:r>
          </w:p>
        </w:tc>
        <w:tc>
          <w:tcPr>
            <w:tcW w:w="8064" w:type="dxa"/>
            <w:shd w:val="clear" w:color="auto" w:fill="D9EAF7"/>
            <w:vAlign w:val="top"/>
          </w:tcPr>
          <w:p w14:paraId="0BB39AE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Detail</w:t>
            </w:r>
          </w:p>
        </w:tc>
      </w:tr>
      <w:tr w14:paraId="7AF82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36AC997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Task prompt</w:t>
            </w:r>
          </w:p>
        </w:tc>
        <w:tc>
          <w:tcPr>
            <w:tcW w:w="8064" w:type="dxa"/>
            <w:vAlign w:val="top"/>
          </w:tcPr>
          <w:p w14:paraId="1B24530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“Imagine you are about to take a private phone call. Please disable the assistant microphone.”</w:t>
            </w:r>
          </w:p>
        </w:tc>
      </w:tr>
      <w:tr w14:paraId="0F56B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2178F9F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Expected successful behaviour</w:t>
            </w:r>
          </w:p>
        </w:tc>
        <w:tc>
          <w:tcPr>
            <w:tcW w:w="8064" w:type="dxa"/>
            <w:vAlign w:val="top"/>
          </w:tcPr>
          <w:p w14:paraId="66A34FB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The user should understand and trust that the microphone is off without needing an additional workaround.</w:t>
            </w:r>
          </w:p>
        </w:tc>
      </w:tr>
      <w:tr w14:paraId="0034C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1CEE2C3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Failure indicator observed</w:t>
            </w:r>
          </w:p>
        </w:tc>
        <w:tc>
          <w:tcPr>
            <w:tcW w:w="8064" w:type="dxa"/>
            <w:vAlign w:val="top"/>
          </w:tcPr>
          <w:p w14:paraId="2BCC1F2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After hearing the software confirmation, P3 physically covered the device with a book.</w:t>
            </w:r>
          </w:p>
        </w:tc>
      </w:tr>
      <w:tr w14:paraId="2C8E8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50B45E0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Usability risk</w:t>
            </w:r>
          </w:p>
        </w:tc>
        <w:tc>
          <w:tcPr>
            <w:tcW w:w="8064" w:type="dxa"/>
            <w:vAlign w:val="top"/>
          </w:tcPr>
          <w:p w14:paraId="34B5DA9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If users do not trust the microphone state, they may avoid placing the device in personal spaces such as a bedroom or study area.</w:t>
            </w:r>
          </w:p>
        </w:tc>
      </w:tr>
    </w:tbl>
    <w:p w14:paraId="46280EA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1E3C96E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 Task-Level Observations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1"/>
        <w:gridCol w:w="4582"/>
        <w:gridCol w:w="3001"/>
      </w:tblGrid>
      <w:tr w14:paraId="4993D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D9EAF7"/>
            <w:vAlign w:val="top"/>
          </w:tcPr>
          <w:p w14:paraId="02E99D4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Task</w:t>
            </w:r>
          </w:p>
        </w:tc>
        <w:tc>
          <w:tcPr>
            <w:tcW w:w="4896" w:type="dxa"/>
            <w:shd w:val="clear" w:color="auto" w:fill="D9EAF7"/>
            <w:vAlign w:val="top"/>
          </w:tcPr>
          <w:p w14:paraId="5598BA9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Observed behaviour / comment</w:t>
            </w:r>
          </w:p>
        </w:tc>
        <w:tc>
          <w:tcPr>
            <w:tcW w:w="3168" w:type="dxa"/>
            <w:shd w:val="clear" w:color="auto" w:fill="D9EAF7"/>
            <w:vAlign w:val="top"/>
          </w:tcPr>
          <w:p w14:paraId="6CD3F92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Result / relevance</w:t>
            </w:r>
          </w:p>
        </w:tc>
      </w:tr>
      <w:tr w14:paraId="2E777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670CB31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Productivity: Set a 25-minute Pomodoro timer</w:t>
            </w:r>
          </w:p>
        </w:tc>
        <w:tc>
          <w:tcPr>
            <w:tcW w:w="4896" w:type="dxa"/>
            <w:vAlign w:val="top"/>
          </w:tcPr>
          <w:p w14:paraId="4650CDB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No major issue was recorded for P3 in the final report.</w:t>
            </w:r>
          </w:p>
        </w:tc>
        <w:tc>
          <w:tcPr>
            <w:tcW w:w="3168" w:type="dxa"/>
            <w:vAlign w:val="top"/>
          </w:tcPr>
          <w:p w14:paraId="4FAF855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No primary finding attributed to P3.</w:t>
            </w:r>
          </w:p>
        </w:tc>
      </w:tr>
      <w:tr w14:paraId="5C047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18EA3C9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Control: Stop a long news report</w:t>
            </w:r>
          </w:p>
        </w:tc>
        <w:tc>
          <w:tcPr>
            <w:tcW w:w="4896" w:type="dxa"/>
            <w:vAlign w:val="top"/>
          </w:tcPr>
          <w:p w14:paraId="7810F96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No major issue was recorded for P3 in the final report.</w:t>
            </w:r>
          </w:p>
        </w:tc>
        <w:tc>
          <w:tcPr>
            <w:tcW w:w="3168" w:type="dxa"/>
            <w:vAlign w:val="top"/>
          </w:tcPr>
          <w:p w14:paraId="61BFD62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No primary finding attributed to P3.</w:t>
            </w:r>
          </w:p>
        </w:tc>
      </w:tr>
      <w:tr w14:paraId="61834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08CA7B6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Privacy: Disable microphone before a private phone call</w:t>
            </w:r>
          </w:p>
        </w:tc>
        <w:tc>
          <w:tcPr>
            <w:tcW w:w="4896" w:type="dxa"/>
            <w:vAlign w:val="top"/>
          </w:tcPr>
          <w:p w14:paraId="13FD22D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The system gave a voice confirmation that the microphone was off, but P3 still physically covered the device with a book.</w:t>
            </w:r>
          </w:p>
        </w:tc>
        <w:tc>
          <w:tcPr>
            <w:tcW w:w="3168" w:type="dxa"/>
            <w:vAlign w:val="top"/>
          </w:tcPr>
          <w:p w14:paraId="19D444B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High impact: P3 did not fully trust software-only confirmation of microphone closure.</w:t>
            </w:r>
          </w:p>
        </w:tc>
      </w:tr>
    </w:tbl>
    <w:p w14:paraId="05A4CE7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B07D49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F15A043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 Focus Task Timeline</w:t>
      </w:r>
    </w:p>
    <w:p w14:paraId="02F12DD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14:textFill>
            <w14:solidFill>
              <w14:schemeClr w14:val="tx1"/>
            </w14:solidFill>
          </w14:textFill>
        </w:rPr>
        <w:t>The timeline below is an approximate sequence reconstructed from the team observation notes. It is intended to make the evidence easier to verify and link to the validation report argument.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"/>
        <w:gridCol w:w="4460"/>
        <w:gridCol w:w="5141"/>
      </w:tblGrid>
      <w:tr w14:paraId="1310B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D9EAF7"/>
            <w:vAlign w:val="top"/>
          </w:tcPr>
          <w:p w14:paraId="2DBD7A0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Stage</w:t>
            </w:r>
          </w:p>
        </w:tc>
        <w:tc>
          <w:tcPr>
            <w:tcW w:w="4752" w:type="dxa"/>
            <w:shd w:val="clear" w:color="auto" w:fill="D9EAF7"/>
            <w:vAlign w:val="top"/>
          </w:tcPr>
          <w:p w14:paraId="0D03651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Event</w:t>
            </w:r>
          </w:p>
        </w:tc>
        <w:tc>
          <w:tcPr>
            <w:tcW w:w="5472" w:type="dxa"/>
            <w:shd w:val="clear" w:color="auto" w:fill="D9EAF7"/>
            <w:vAlign w:val="top"/>
          </w:tcPr>
          <w:p w14:paraId="2FD6B0F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Observation / Evidence</w:t>
            </w:r>
          </w:p>
        </w:tc>
      </w:tr>
      <w:tr w14:paraId="1C4AF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5E9FF34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T0</w:t>
            </w:r>
          </w:p>
        </w:tc>
        <w:tc>
          <w:tcPr>
            <w:tcW w:w="4752" w:type="dxa"/>
            <w:vAlign w:val="top"/>
          </w:tcPr>
          <w:p w14:paraId="450EB36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Moderator frames a private phone-call scenario.</w:t>
            </w:r>
          </w:p>
        </w:tc>
        <w:tc>
          <w:tcPr>
            <w:tcW w:w="5472" w:type="dxa"/>
            <w:vAlign w:val="top"/>
          </w:tcPr>
          <w:p w14:paraId="49F8F7A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P3 appears attentive to privacy state rather than task productivity.</w:t>
            </w:r>
          </w:p>
        </w:tc>
      </w:tr>
      <w:tr w14:paraId="37AE3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6A97D2F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T1</w:t>
            </w:r>
          </w:p>
        </w:tc>
        <w:tc>
          <w:tcPr>
            <w:tcW w:w="4752" w:type="dxa"/>
            <w:vAlign w:val="top"/>
          </w:tcPr>
          <w:p w14:paraId="296D25A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P3 asks the device to disable or close the microphone.</w:t>
            </w:r>
          </w:p>
        </w:tc>
        <w:tc>
          <w:tcPr>
            <w:tcW w:w="5472" w:type="dxa"/>
            <w:vAlign w:val="top"/>
          </w:tcPr>
          <w:p w14:paraId="66BA587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The system gives a software / voice confirmation that the microphone is closed.</w:t>
            </w:r>
          </w:p>
        </w:tc>
      </w:tr>
      <w:tr w14:paraId="73CD9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1D04CA9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T2</w:t>
            </w:r>
          </w:p>
        </w:tc>
        <w:tc>
          <w:tcPr>
            <w:tcW w:w="4752" w:type="dxa"/>
            <w:vAlign w:val="top"/>
          </w:tcPr>
          <w:p w14:paraId="2D23537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P3 does not treat the voice confirmation as sufficient proof.</w:t>
            </w:r>
          </w:p>
        </w:tc>
        <w:tc>
          <w:tcPr>
            <w:tcW w:w="5472" w:type="dxa"/>
            <w:vAlign w:val="top"/>
          </w:tcPr>
          <w:p w14:paraId="3EE7958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P3 physically covers the device with a book.</w:t>
            </w:r>
          </w:p>
        </w:tc>
      </w:tr>
      <w:tr w14:paraId="5B6F9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437A643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T3</w:t>
            </w:r>
          </w:p>
        </w:tc>
        <w:tc>
          <w:tcPr>
            <w:tcW w:w="4752" w:type="dxa"/>
            <w:vAlign w:val="top"/>
          </w:tcPr>
          <w:p w14:paraId="41609F1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Moderator asks why P3 covered the device after the “Closed” confirmation.</w:t>
            </w:r>
          </w:p>
        </w:tc>
        <w:tc>
          <w:tcPr>
            <w:tcW w:w="5472" w:type="dxa"/>
            <w:vAlign w:val="top"/>
          </w:tcPr>
          <w:p w14:paraId="355ACB1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P3 explains that internet-connected devices still feel risky.</w:t>
            </w:r>
          </w:p>
        </w:tc>
      </w:tr>
      <w:tr w14:paraId="77681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2C9D158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T4</w:t>
            </w:r>
          </w:p>
        </w:tc>
        <w:tc>
          <w:tcPr>
            <w:tcW w:w="4752" w:type="dxa"/>
            <w:vAlign w:val="top"/>
          </w:tcPr>
          <w:p w14:paraId="57546DC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Direct privacy concern is recorded.</w:t>
            </w:r>
          </w:p>
        </w:tc>
        <w:tc>
          <w:tcPr>
            <w:tcW w:w="5472" w:type="dxa"/>
            <w:vAlign w:val="top"/>
          </w:tcPr>
          <w:p w14:paraId="0AB5FAD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“Just hearing it say ‘Closed’ isn’t enough. It’s connected to the internet; I still feel like it’s eavesdropping.”</w:t>
            </w:r>
          </w:p>
        </w:tc>
      </w:tr>
      <w:tr w14:paraId="5D6D2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1A70421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T5</w:t>
            </w:r>
          </w:p>
        </w:tc>
        <w:tc>
          <w:tcPr>
            <w:tcW w:w="4752" w:type="dxa"/>
            <w:vAlign w:val="top"/>
          </w:tcPr>
          <w:p w14:paraId="2BD74A0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V2 follow-up shows physical privacy cue response.</w:t>
            </w:r>
          </w:p>
        </w:tc>
        <w:tc>
          <w:tcPr>
            <w:tcW w:w="5472" w:type="dxa"/>
            <w:vAlign w:val="top"/>
          </w:tcPr>
          <w:p w14:paraId="5BB9C03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P3 says the physical switch and “Earmuffs” icon make the product feel safer for bedroom placement.</w:t>
            </w:r>
          </w:p>
        </w:tc>
      </w:tr>
    </w:tbl>
    <w:p w14:paraId="14F0BD1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D07B3F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6. Reconstructed Session Transcript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69E31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68" w:type="dxa"/>
            <w:shd w:val="clear" w:color="auto" w:fill="FFF2CC"/>
          </w:tcPr>
          <w:p w14:paraId="65867E5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 xml:space="preserve">Transcript integrity note: </w:t>
            </w: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This is a structured reconstruction from the team observation notes. Direct participant wording is shown only where quotation marks are used. Other lines describe observed behaviour or moderator prompts, not exact verbatim audio.</w:t>
            </w:r>
          </w:p>
        </w:tc>
      </w:tr>
    </w:tbl>
    <w:p w14:paraId="4EC0B15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8365"/>
      </w:tblGrid>
      <w:tr w14:paraId="00095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D9EAF7"/>
            <w:vAlign w:val="top"/>
          </w:tcPr>
          <w:p w14:paraId="545AC77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Speaker / Source</w:t>
            </w:r>
          </w:p>
        </w:tc>
        <w:tc>
          <w:tcPr>
            <w:tcW w:w="8928" w:type="dxa"/>
            <w:shd w:val="clear" w:color="auto" w:fill="D9EAF7"/>
            <w:vAlign w:val="top"/>
          </w:tcPr>
          <w:p w14:paraId="786FC07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Content</w:t>
            </w:r>
          </w:p>
        </w:tc>
      </w:tr>
      <w:tr w14:paraId="07A38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779A7A7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Moderator</w:t>
            </w:r>
          </w:p>
        </w:tc>
        <w:tc>
          <w:tcPr>
            <w:tcW w:w="8928" w:type="dxa"/>
            <w:vAlign w:val="top"/>
          </w:tcPr>
          <w:p w14:paraId="24C3FD1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Please imagine you are about to take a private phone call. What would you do with the assistant?</w:t>
            </w:r>
          </w:p>
        </w:tc>
      </w:tr>
      <w:tr w14:paraId="11441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618B06D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P3</w:t>
            </w:r>
          </w:p>
        </w:tc>
        <w:tc>
          <w:tcPr>
            <w:tcW w:w="8928" w:type="dxa"/>
            <w:vAlign w:val="top"/>
          </w:tcPr>
          <w:p w14:paraId="1441DA6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Attempts to close or disable the microphone through the assistant.</w:t>
            </w:r>
          </w:p>
        </w:tc>
      </w:tr>
      <w:tr w14:paraId="213D9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43D8BD0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System / Prototype</w:t>
            </w:r>
          </w:p>
        </w:tc>
        <w:tc>
          <w:tcPr>
            <w:tcW w:w="8928" w:type="dxa"/>
            <w:vAlign w:val="top"/>
          </w:tcPr>
          <w:p w14:paraId="0E24EA7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Gives a voice confirmation that the microphone is closed.</w:t>
            </w:r>
          </w:p>
        </w:tc>
      </w:tr>
      <w:tr w14:paraId="63A96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0C8D21A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Observation</w:t>
            </w:r>
          </w:p>
        </w:tc>
        <w:tc>
          <w:tcPr>
            <w:tcW w:w="8928" w:type="dxa"/>
            <w:vAlign w:val="top"/>
          </w:tcPr>
          <w:p w14:paraId="6F62369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P3 still places a book over the device, creating a physical barrier.</w:t>
            </w:r>
          </w:p>
        </w:tc>
      </w:tr>
      <w:tr w14:paraId="604FA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35F8A66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Moderator</w:t>
            </w:r>
          </w:p>
        </w:tc>
        <w:tc>
          <w:tcPr>
            <w:tcW w:w="8928" w:type="dxa"/>
            <w:vAlign w:val="top"/>
          </w:tcPr>
          <w:p w14:paraId="23C942F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Why did you cover it if it already said the microphone was closed?</w:t>
            </w:r>
          </w:p>
        </w:tc>
      </w:tr>
      <w:tr w14:paraId="0CB07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71EFD67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P3 direct quote</w:t>
            </w:r>
          </w:p>
        </w:tc>
        <w:tc>
          <w:tcPr>
            <w:tcW w:w="8928" w:type="dxa"/>
            <w:vAlign w:val="top"/>
          </w:tcPr>
          <w:p w14:paraId="63409C5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“Just hearing it say ‘Closed’ isn’t enough. It’s connected to the internet; I still feel like it’s eavesdropping.”</w:t>
            </w:r>
          </w:p>
        </w:tc>
      </w:tr>
      <w:tr w14:paraId="27AC7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03BC56E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V2 follow-up direct quote</w:t>
            </w:r>
          </w:p>
        </w:tc>
        <w:tc>
          <w:tcPr>
            <w:tcW w:w="8928" w:type="dxa"/>
            <w:vAlign w:val="top"/>
          </w:tcPr>
          <w:p w14:paraId="6429758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“Seeing the physical switch and the earmuff icon makes me feel safe putting it in my bedroom.”</w:t>
            </w:r>
          </w:p>
        </w:tc>
      </w:tr>
      <w:tr w14:paraId="7869E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258369A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Observation</w:t>
            </w:r>
          </w:p>
        </w:tc>
        <w:tc>
          <w:tcPr>
            <w:tcW w:w="8928" w:type="dxa"/>
            <w:vAlign w:val="top"/>
          </w:tcPr>
          <w:p w14:paraId="1CB9A6B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P3’s response shows that privacy reassurance depends on visible and physical cues, not only functional microphone status.</w:t>
            </w:r>
          </w:p>
        </w:tc>
      </w:tr>
    </w:tbl>
    <w:p w14:paraId="4F414B7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97A982B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7. Direct Quote(s) and Follow-Up Evidence</w:t>
      </w:r>
    </w:p>
    <w:p w14:paraId="693D7DDB">
      <w:pPr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:sz w:val="20"/>
          <w14:textFill>
            <w14:solidFill>
              <w14:schemeClr w14:val="tx1"/>
            </w14:solidFill>
          </w14:textFill>
        </w:rPr>
        <w:t>“Just hearing it say ‘Closed’ isn’t enough. It’s connected to the internet; I still feel like it’s eavesdropping.”</w:t>
      </w:r>
    </w:p>
    <w:p w14:paraId="11E67A4C">
      <w:pPr>
        <w:ind w:left="3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:sz w:val="20"/>
          <w14:textFill>
            <w14:solidFill>
              <w14:schemeClr w14:val="tx1"/>
            </w14:solidFill>
          </w14:textFill>
        </w:rPr>
        <w:t>V2 follow-up: “Seeing the physical switch and the earmuff icon makes me feel safe putting it in my bedroom.”</w:t>
      </w:r>
    </w:p>
    <w:p w14:paraId="5F60CAE0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8. Observation Coding and Interpretation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6"/>
        <w:gridCol w:w="4041"/>
        <w:gridCol w:w="4187"/>
      </w:tblGrid>
      <w:tr w14:paraId="7819D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D9EAF7"/>
            <w:vAlign w:val="top"/>
          </w:tcPr>
          <w:p w14:paraId="3D43B5F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Code</w:t>
            </w:r>
          </w:p>
        </w:tc>
        <w:tc>
          <w:tcPr>
            <w:tcW w:w="4320" w:type="dxa"/>
            <w:shd w:val="clear" w:color="auto" w:fill="D9EAF7"/>
            <w:vAlign w:val="top"/>
          </w:tcPr>
          <w:p w14:paraId="5415F11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Evidence from session</w:t>
            </w:r>
          </w:p>
        </w:tc>
        <w:tc>
          <w:tcPr>
            <w:tcW w:w="4464" w:type="dxa"/>
            <w:shd w:val="clear" w:color="auto" w:fill="D9EAF7"/>
            <w:vAlign w:val="top"/>
          </w:tcPr>
          <w:p w14:paraId="3CB0230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Interpretation for validation report</w:t>
            </w:r>
          </w:p>
        </w:tc>
      </w:tr>
      <w:tr w14:paraId="43A0C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top"/>
          </w:tcPr>
          <w:p w14:paraId="1BE4378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Software-only confirmation gap</w:t>
            </w:r>
          </w:p>
        </w:tc>
        <w:tc>
          <w:tcPr>
            <w:tcW w:w="4320" w:type="dxa"/>
            <w:vAlign w:val="top"/>
          </w:tcPr>
          <w:p w14:paraId="1401A25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Voice confirmation of “Closed” was not trusted as enough evidence.</w:t>
            </w:r>
          </w:p>
        </w:tc>
        <w:tc>
          <w:tcPr>
            <w:tcW w:w="4464" w:type="dxa"/>
            <w:vAlign w:val="top"/>
          </w:tcPr>
          <w:p w14:paraId="5B9ACA10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The system needs more credible privacy-state signalling.</w:t>
            </w:r>
          </w:p>
        </w:tc>
      </w:tr>
      <w:tr w14:paraId="5C825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top"/>
          </w:tcPr>
          <w:p w14:paraId="7211754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Physical covering behaviour</w:t>
            </w:r>
          </w:p>
        </w:tc>
        <w:tc>
          <w:tcPr>
            <w:tcW w:w="4320" w:type="dxa"/>
            <w:vAlign w:val="top"/>
          </w:tcPr>
          <w:p w14:paraId="4408AFC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P3 covered the device with a book after disabling the microphone.</w:t>
            </w:r>
          </w:p>
        </w:tc>
        <w:tc>
          <w:tcPr>
            <w:tcW w:w="4464" w:type="dxa"/>
            <w:vAlign w:val="top"/>
          </w:tcPr>
          <w:p w14:paraId="68B580E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Users may create their own privacy workaround when system cues feel weak.</w:t>
            </w:r>
          </w:p>
        </w:tc>
      </w:tr>
      <w:tr w14:paraId="00D0B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top"/>
          </w:tcPr>
          <w:p w14:paraId="61B2839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Eavesdropping concern</w:t>
            </w:r>
          </w:p>
        </w:tc>
        <w:tc>
          <w:tcPr>
            <w:tcW w:w="4320" w:type="dxa"/>
            <w:vAlign w:val="top"/>
          </w:tcPr>
          <w:p w14:paraId="66B9749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P3 explicitly mentioned concern about an internet-connected device listening.</w:t>
            </w:r>
          </w:p>
        </w:tc>
        <w:tc>
          <w:tcPr>
            <w:tcW w:w="4464" w:type="dxa"/>
            <w:vAlign w:val="top"/>
          </w:tcPr>
          <w:p w14:paraId="39C203F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Privacy design must address perceived risk and psychological safety.</w:t>
            </w:r>
          </w:p>
        </w:tc>
      </w:tr>
      <w:tr w14:paraId="7D2C9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top"/>
          </w:tcPr>
          <w:p w14:paraId="41E8F1D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Design need</w:t>
            </w:r>
          </w:p>
        </w:tc>
        <w:tc>
          <w:tcPr>
            <w:tcW w:w="4320" w:type="dxa"/>
            <w:vAlign w:val="top"/>
          </w:tcPr>
          <w:p w14:paraId="3598F02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P3 responded positively to physical switch and earmuff icon in V2.</w:t>
            </w:r>
          </w:p>
        </w:tc>
        <w:tc>
          <w:tcPr>
            <w:tcW w:w="4464" w:type="dxa"/>
            <w:vAlign w:val="top"/>
          </w:tcPr>
          <w:p w14:paraId="74E7F46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Combine hardware-level affordance with clear UI privacy indicator.</w:t>
            </w:r>
          </w:p>
        </w:tc>
      </w:tr>
    </w:tbl>
    <w:p w14:paraId="6C26F9B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3C1E21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9. Design Iteration Link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9"/>
        <w:gridCol w:w="7845"/>
      </w:tblGrid>
      <w:tr w14:paraId="61915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AF7"/>
            <w:vAlign w:val="top"/>
          </w:tcPr>
          <w:p w14:paraId="2CA9E6B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Link type</w:t>
            </w:r>
          </w:p>
        </w:tc>
        <w:tc>
          <w:tcPr>
            <w:tcW w:w="8352" w:type="dxa"/>
            <w:shd w:val="clear" w:color="auto" w:fill="D9EAF7"/>
            <w:vAlign w:val="top"/>
          </w:tcPr>
          <w:p w14:paraId="25960AE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Evidence / design implication</w:t>
            </w:r>
          </w:p>
        </w:tc>
      </w:tr>
      <w:tr w14:paraId="0F71A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1A846FE4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V1 issue</w:t>
            </w:r>
          </w:p>
        </w:tc>
        <w:tc>
          <w:tcPr>
            <w:tcW w:w="8352" w:type="dxa"/>
            <w:vAlign w:val="top"/>
          </w:tcPr>
          <w:p w14:paraId="04161A7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Microphone-off status was communicated mainly through software / voice confirmation.</w:t>
            </w:r>
          </w:p>
        </w:tc>
      </w:tr>
      <w:tr w14:paraId="190BB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330C4AE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User evidence</w:t>
            </w:r>
          </w:p>
        </w:tc>
        <w:tc>
          <w:tcPr>
            <w:tcW w:w="8352" w:type="dxa"/>
            <w:vAlign w:val="top"/>
          </w:tcPr>
          <w:p w14:paraId="4978A15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P3 physically covered the device and explicitly stated that “Closed” was not enough.</w:t>
            </w:r>
          </w:p>
        </w:tc>
      </w:tr>
      <w:tr w14:paraId="2D4D3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316AE6B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V2 change</w:t>
            </w:r>
          </w:p>
        </w:tc>
        <w:tc>
          <w:tcPr>
            <w:tcW w:w="8352" w:type="dxa"/>
            <w:vAlign w:val="top"/>
          </w:tcPr>
          <w:p w14:paraId="682F209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Add a physical privacy toggle switch and an “Earmuffs” UI icon to make microphone state visible and tangible.</w:t>
            </w:r>
          </w:p>
        </w:tc>
      </w:tr>
      <w:tr w14:paraId="10EAB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2D87D29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Follow-up evidence</w:t>
            </w:r>
          </w:p>
        </w:tc>
        <w:tc>
          <w:tcPr>
            <w:tcW w:w="8352" w:type="dxa"/>
            <w:vAlign w:val="top"/>
          </w:tcPr>
          <w:p w14:paraId="714064D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P3 said the switch and icon made the assistant feel safe enough for bedroom placement.</w:t>
            </w:r>
          </w:p>
        </w:tc>
      </w:tr>
    </w:tbl>
    <w:p w14:paraId="18A43F0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42848FA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10. Ready-to-Use Validation Report Summary</w:t>
      </w:r>
    </w:p>
    <w:p w14:paraId="1F797DC6">
      <w:pPr>
        <w:ind w:firstLine="288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P3’s privacy task revealed that users may not trust software-only microphone confirmation. Even after the assistant said the microphone was closed, P3 covered the device with a book and explained that an internet-connected device still felt capable of eavesdropping. This finding justified the V2 physical privacy switch and “Earmuffs” icon.</w:t>
      </w:r>
    </w:p>
    <w:p w14:paraId="657FA83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headerReference r:id="rId5" w:type="default"/>
      <w:footerReference r:id="rId6" w:type="default"/>
      <w:pgSz w:w="12240" w:h="15840"/>
      <w:pgMar w:top="864" w:right="936" w:bottom="864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8691FF">
    <w:pPr>
      <w:pStyle w:val="24"/>
      <w:jc w:val="center"/>
    </w:pPr>
    <w:r>
      <w:rPr>
        <w:color w:val="646464"/>
        <w:sz w:val="16"/>
      </w:rPr>
      <w:t>Enhanced session evidence file - participant anonymised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C811A">
    <w:pPr>
      <w:pStyle w:val="25"/>
      <w:jc w:val="right"/>
    </w:pPr>
    <w:r>
      <w:rPr>
        <w:color w:val="646464"/>
        <w:sz w:val="16"/>
      </w:rPr>
      <w:t>A3 Evidence Appendix | ENT208TC Validation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3F1D1A"/>
    <w:rsid w:val="21CB3390"/>
    <w:rsid w:val="2DFA155F"/>
    <w:rsid w:val="6935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0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1118</Words>
  <Characters>6473</Characters>
  <Lines>0</Lines>
  <Paragraphs>0</Paragraphs>
  <TotalTime>3</TotalTime>
  <ScaleCrop>false</ScaleCrop>
  <LinksUpToDate>false</LinksUpToDate>
  <CharactersWithSpaces>7459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WPS_1698130713</cp:lastModifiedBy>
  <dcterms:modified xsi:type="dcterms:W3CDTF">2026-05-15T08:40:27Z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eyJoZGlkIjoiYTQwYmQ0OGQ0NmY1M2ZhZGYxODQzNzA5ZjFjMTBiZmIiLCJ1c2VySWQiOiIxNTUzODczOTYxIn0=</vt:lpwstr>
  </property>
  <property fmtid="{D5CDD505-2E9C-101B-9397-08002B2CF9AE}" pid="3" name="KSOProductBuildVer">
    <vt:lpwstr>2052-12.1.0.25865</vt:lpwstr>
  </property>
  <property fmtid="{D5CDD505-2E9C-101B-9397-08002B2CF9AE}" pid="4" name="ICV">
    <vt:lpwstr>89687D69D37F43A88706FB12F21ED3AE_12</vt:lpwstr>
  </property>
</Properties>
</file>