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4A5568"/>
          <w:sz w:val="20"/>
          <w:szCs w:val="20"/>
        </w:rPr>
        <w:t xml:space="preserve">PROGRAMME NATIONAL DE DÉVELOPPEMENT AGRICOLE (PNDA)</w:t>
      </w:r>
    </w:p>
    <w:p>
      <w:pPr>
        <w:spacing w:after="320"/>
        <w:jc w:val="center"/>
      </w:pPr>
      <w:r>
        <w:rPr>
          <w:rFonts w:ascii="Calibri" w:cs="Calibri" w:eastAsia="Calibri" w:hAnsi="Calibri"/>
          <w:color w:val="4A5568"/>
          <w:sz w:val="19"/>
          <w:szCs w:val="19"/>
        </w:rPr>
        <w:t xml:space="preserve">Unité Nationale de Coordination — Cellule Suivi &amp; Évaluation</w:t>
      </w:r>
    </w:p>
    <w:p>
      <w:pPr>
        <w:spacing w:after="100"/>
        <w:jc w:val="center"/>
      </w:pPr>
      <w:r>
        <w:rPr>
          <w:rFonts w:ascii="Calibri" w:cs="Calibri" w:eastAsia="Calibri" w:hAnsi="Calibri"/>
          <w:b/>
          <w:bCs/>
          <w:color w:val="0B3C5D"/>
          <w:sz w:val="40"/>
          <w:szCs w:val="40"/>
        </w:rPr>
        <w:t xml:space="preserve">NOTE D'ANALYSE</w:t>
      </w:r>
    </w:p>
    <w:p>
      <w:pPr>
        <w:spacing w:after="240"/>
        <w:jc w:val="center"/>
      </w:pPr>
      <w:r>
        <w:rPr>
          <w:rFonts w:ascii="Calibri" w:cs="Calibri" w:eastAsia="Calibri" w:hAnsi="Calibri"/>
          <w:b/>
          <w:bCs/>
          <w:color w:val="1B1B1B"/>
          <w:sz w:val="24"/>
          <w:szCs w:val="24"/>
        </w:rPr>
        <w:t xml:space="preserve">Termes de référence — Renforcement du Registre National Agricole (RNA) par une Infrastructure Nationale d'Intelligence Agricole Territoriale</w:t>
      </w:r>
    </w:p>
    <w:p>
      <w:pPr>
        <w:spacing w:after="400"/>
        <w:jc w:val="center"/>
      </w:pPr>
      <w:r>
        <w:rPr>
          <w:rFonts w:ascii="Calibri" w:cs="Calibri" w:eastAsia="Calibri" w:hAnsi="Calibri"/>
          <w:i/>
          <w:iCs/>
          <w:color w:val="4A5568"/>
          <w:sz w:val="21"/>
          <w:szCs w:val="21"/>
        </w:rPr>
        <w:t xml:space="preserve">Lecture critique et enseignements pour la plateforme de Suivi &amp; Évaluation du PNDA</w:t>
      </w:r>
    </w:p>
    <w:tbl>
      <w:tblPr>
        <w:tblW w:type="dxa" w:w="9638"/>
        <w:tblBorders>
          <w:top w:val="single" w:color="C7D0D9" w:sz="4"/>
          <w:left w:val="single" w:color="C7D0D9" w:sz="4"/>
          <w:bottom w:val="single" w:color="C7D0D9" w:sz="4"/>
          <w:right w:val="single" w:color="C7D0D9" w:sz="4"/>
          <w:insideH w:val="single" w:color="DCE3EA" w:sz="2"/>
          <w:insideV w:val="single" w:color="DCE3EA" w:sz="2"/>
        </w:tblBorders>
      </w:tblPr>
      <w:tblGrid>
        <w:gridCol w:w="3200"/>
        <w:gridCol w:w="6438"/>
      </w:tblGrid>
      <w:tr>
        <w:trPr>
          <w:tblHeader/>
        </w:trPr>
        <w:tc>
          <w:tcPr>
            <w:tcW w:type="dxa" w:w="3200"/>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Rubrique</w:t>
            </w:r>
          </w:p>
        </w:tc>
        <w:tc>
          <w:tcPr>
            <w:tcW w:type="dxa" w:w="6438"/>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Référence</w:t>
            </w:r>
          </w:p>
        </w:tc>
      </w:tr>
      <w:tr>
        <w:tc>
          <w:tcPr>
            <w:tcW w:type="dxa" w:w="3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Document analysé</w:t>
            </w:r>
          </w:p>
        </w:tc>
        <w:tc>
          <w:tcPr>
            <w:tcW w:type="dxa" w:w="64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TdR — Recrutement d'un consultant individuel chargé d'appuyer le renforcement du RNA par la mise en place d'une infrastructure nationale d'intelligence agricole territoriale (version de travail proposée pour examen du PNDA, septembre 2026)</w:t>
            </w:r>
          </w:p>
        </w:tc>
      </w:tr>
      <w:tr>
        <w:tc>
          <w:tcPr>
            <w:tcW w:type="dxa" w:w="3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Projet concerné</w:t>
            </w:r>
          </w:p>
        </w:tc>
        <w:tc>
          <w:tcPr>
            <w:tcW w:type="dxa" w:w="64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PNDA — Project ID P169021, Don D8690-ZR et Crédit IDA 6951-ZR</w:t>
            </w:r>
          </w:p>
        </w:tc>
      </w:tr>
      <w:tr>
        <w:tc>
          <w:tcPr>
            <w:tcW w:type="dxa" w:w="3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Objet de la note</w:t>
            </w:r>
          </w:p>
        </w:tc>
        <w:tc>
          <w:tcPr>
            <w:tcW w:type="dxa" w:w="64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Résumé du TdR, appréciation des points forts et des points faibles, et identification des éléments transposables dans l'application de Suivi &amp; Évaluation</w:t>
            </w:r>
          </w:p>
        </w:tc>
      </w:tr>
      <w:tr>
        <w:tc>
          <w:tcPr>
            <w:tcW w:type="dxa" w:w="3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Établie par</w:t>
            </w:r>
          </w:p>
        </w:tc>
        <w:tc>
          <w:tcPr>
            <w:tcW w:type="dxa" w:w="64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Cellule Suivi &amp; Évaluation — Assistant S&amp;E / Expert Base de données</w:t>
            </w:r>
          </w:p>
        </w:tc>
      </w:tr>
      <w:tr>
        <w:tc>
          <w:tcPr>
            <w:tcW w:type="dxa" w:w="3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Date</w:t>
            </w:r>
          </w:p>
        </w:tc>
        <w:tc>
          <w:tcPr>
            <w:tcW w:type="dxa" w:w="64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7 septembre 2026</w:t>
            </w:r>
          </w:p>
        </w:tc>
      </w:tr>
      <w:tr>
        <w:tc>
          <w:tcPr>
            <w:tcW w:type="dxa" w:w="3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Statut</w:t>
            </w:r>
          </w:p>
        </w:tc>
        <w:tc>
          <w:tcPr>
            <w:tcW w:type="dxa" w:w="64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Document interne de travail</w:t>
            </w:r>
          </w:p>
        </w:tc>
      </w:tr>
    </w:tbl>
    <w:p>
      <w:r>
        <w:br w:type="page"/>
      </w:r>
    </w:p>
    <w:p>
      <w:pPr>
        <w:pStyle w:val="Heading1"/>
        <w:pBdr>
          <w:bottom w:val="single" w:color="0B3C5D" w:sz="8" w:space="4"/>
        </w:pBdr>
        <w:spacing w:after="160" w:before="320"/>
      </w:pPr>
      <w:r>
        <w:rPr>
          <w:rFonts w:ascii="Calibri" w:cs="Calibri" w:eastAsia="Calibri" w:hAnsi="Calibri"/>
          <w:b/>
          <w:bCs/>
          <w:color w:val="0B3C5D"/>
          <w:sz w:val="28"/>
          <w:szCs w:val="28"/>
        </w:rPr>
        <w:t xml:space="preserve">1. Résumé du TdR</w:t>
      </w:r>
    </w:p>
    <w:p>
      <w:pPr>
        <w:pStyle w:val="Heading2"/>
        <w:spacing w:after="100" w:before="240"/>
      </w:pPr>
      <w:r>
        <w:rPr>
          <w:rFonts w:ascii="Calibri" w:cs="Calibri" w:eastAsia="Calibri" w:hAnsi="Calibri"/>
          <w:b/>
          <w:bCs/>
          <w:color w:val="0B3C5D"/>
          <w:sz w:val="23"/>
          <w:szCs w:val="23"/>
        </w:rPr>
        <w:t xml:space="preserve">1.1. Contexte et problème posé</w:t>
      </w:r>
    </w:p>
    <w:p>
      <w:pPr>
        <w:spacing w:after="120" w:line="276"/>
        <w:jc w:val="both"/>
      </w:pPr>
      <w:r>
        <w:rPr>
          <w:rFonts w:ascii="Calibri" w:cs="Calibri" w:eastAsia="Calibri" w:hAnsi="Calibri"/>
          <w:sz w:val="21"/>
          <w:szCs w:val="21"/>
        </w:rPr>
        <w:t xml:space="preserve">Le PNDA est financé par l'IDA (Banque mondiale) et mis en œuvre sur quinze ans en trois sous-programmes de cinq ans, le premier étant en exécution depuis 2023. Son objectif de développement reste l'augmentation de la productivité agricole et l'amélioration de l'accès au marché des petits exploitants congolais.</w:t>
      </w:r>
    </w:p>
    <w:p>
      <w:pPr>
        <w:spacing w:after="120" w:line="276"/>
        <w:jc w:val="both"/>
      </w:pPr>
      <w:r>
        <w:rPr>
          <w:rFonts w:ascii="Calibri" w:cs="Calibri" w:eastAsia="Calibri" w:hAnsi="Calibri"/>
          <w:sz w:val="21"/>
          <w:szCs w:val="21"/>
        </w:rPr>
        <w:t xml:space="preserve">Dans ce dispositif, le Registre National Agricole (RNA) est présenté comme l'infrastructure numérique structurante : il identifie les producteurs, les exploitations et les parcelles, et porte déjà des informations de localisation, de coordonnées GPS et d'accès à la terre. Le TdR part d'un constat simple : le RNA répond à la question « QUI ? », mais il ne répond pas aux questions « OÙ ? », « DANS QUELLES CONDITIONS ? », « QUE PRODUIRE ? », « AVEC QUELLES CONTRAINTES ? » et « QUELS INVESTISSEMENTS PRIORISER ? ». Identifier un producteur ne dit rien des caractéristiques pédologiques, climatiques, hydrologiques ou infrastructurelles du territoire dans lequel il travaille.</w:t>
      </w:r>
    </w:p>
    <w:p>
      <w:pPr>
        <w:spacing w:after="120" w:line="276"/>
        <w:jc w:val="both"/>
      </w:pPr>
      <w:r>
        <w:rPr>
          <w:rFonts w:ascii="Calibri" w:cs="Calibri" w:eastAsia="Calibri" w:hAnsi="Calibri"/>
          <w:sz w:val="21"/>
          <w:szCs w:val="21"/>
        </w:rPr>
        <w:t xml:space="preserve">Le TdR propose donc d'ajouter au RNA une couche complémentaire, appelée « infrastructure nationale d'intelligence agricole territoriale », destinée à contextualiser scientifiquement les acteurs et unités agricoles enregistrés. Ce besoin est explicitement relié à la préparation de la deuxième phase du PNDA et à l'approche par corridors (PACT en premier point d'entrée, puis Inga et Lobito).</w:t>
      </w:r>
    </w:p>
    <w:p>
      <w:pPr>
        <w:pStyle w:val="Heading2"/>
        <w:spacing w:after="100" w:before="240"/>
      </w:pPr>
      <w:r>
        <w:rPr>
          <w:rFonts w:ascii="Calibri" w:cs="Calibri" w:eastAsia="Calibri" w:hAnsi="Calibri"/>
          <w:b/>
          <w:bCs/>
          <w:color w:val="0B3C5D"/>
          <w:sz w:val="23"/>
          <w:szCs w:val="23"/>
        </w:rPr>
        <w:t xml:space="preserve">1.2. Objet et objectifs de la mission</w:t>
      </w:r>
    </w:p>
    <w:p>
      <w:pPr>
        <w:spacing w:after="120" w:line="276"/>
        <w:jc w:val="both"/>
      </w:pPr>
      <w:r>
        <w:rPr>
          <w:rFonts w:ascii="Calibri" w:cs="Calibri" w:eastAsia="Calibri" w:hAnsi="Calibri"/>
          <w:sz w:val="21"/>
          <w:szCs w:val="21"/>
        </w:rPr>
        <w:t xml:space="preserve">L'objectif général est de mettre en place une infrastructure nationale de connaissance territoriale intégrée, capable de croiser sols, eau, climat, forêts et couverture des terres, agriculture, infrastructures, populations, activités économiques, risques, marchés et ressources naturelles, afin de produire des profils territoriaux fiables et, à terme, une véritable cartographie nationale des terres arables, de leur potentiel et de leurs contraintes.</w:t>
      </w:r>
    </w:p>
    <w:p>
      <w:pPr>
        <w:spacing w:after="120" w:line="276"/>
        <w:jc w:val="both"/>
      </w:pPr>
      <w:r>
        <w:rPr>
          <w:rFonts w:ascii="Calibri" w:cs="Calibri" w:eastAsia="Calibri" w:hAnsi="Calibri"/>
          <w:sz w:val="21"/>
          <w:szCs w:val="21"/>
        </w:rPr>
        <w:t xml:space="preserve">Onze objectifs spécifiques en découlent : diagnostic de l'architecture et des flux du RNA ; définition de l'architecture cible ; définition des mécanismes d'interopérabilité entre le RNA, le « moteur national d'intelligence géospatiale » et les autres systèmes ; développement des services de rattachement des unités agricoles à leur contexte ; structuration d'un référentiel de profils scientifiques territoriaux ; intégration des données par domaine ; fonctions de diagnostic territorial ; pilote opérationnel sur un corridor ; appui à la production et à la mise à jour des données ; infrastructure de test et de calibrage ; formation et pérennisation.</w:t>
      </w:r>
    </w:p>
    <w:p>
      <w:pPr>
        <w:spacing w:after="120" w:line="276"/>
        <w:jc w:val="both"/>
      </w:pPr>
      <w:r>
        <w:rPr>
          <w:rFonts w:ascii="Calibri" w:cs="Calibri" w:eastAsia="Calibri" w:hAnsi="Calibri"/>
          <w:sz w:val="21"/>
          <w:szCs w:val="21"/>
        </w:rPr>
        <w:t xml:space="preserve">Le TdR insiste sur un principe de non-substitution : il ne s'agit ni de créer un registre concurrent du RNA, ni de remplacer les systèmes existants, mais d'ajouter une couche de contextualisation.</w:t>
      </w:r>
    </w:p>
    <w:p>
      <w:pPr>
        <w:pStyle w:val="Heading2"/>
        <w:spacing w:after="100" w:before="240"/>
      </w:pPr>
      <w:r>
        <w:rPr>
          <w:rFonts w:ascii="Calibri" w:cs="Calibri" w:eastAsia="Calibri" w:hAnsi="Calibri"/>
          <w:b/>
          <w:bCs/>
          <w:color w:val="0B3C5D"/>
          <w:sz w:val="23"/>
          <w:szCs w:val="23"/>
        </w:rPr>
        <w:t xml:space="preserve">1.3. Périmètre scientifique</w:t>
      </w:r>
    </w:p>
    <w:p>
      <w:pPr>
        <w:spacing w:after="120" w:line="276"/>
        <w:jc w:val="both"/>
      </w:pPr>
      <w:r>
        <w:rPr>
          <w:rFonts w:ascii="Calibri" w:cs="Calibri" w:eastAsia="Calibri" w:hAnsi="Calibri"/>
          <w:sz w:val="21"/>
          <w:szCs w:val="21"/>
        </w:rPr>
        <w:t xml:space="preserve">Sept domaines de connaissance territoriale sont posés comme socle extensible : climat (température, précipitations) ; sols et géologie (fractions granulométriques, carbone organique, eau du sol, lithologie) ; physiographie (altitude, pente, gradient des cours d'eau) ; hydrologie (réseau hydrographique, disponibilité de l'eau, profondeur de nappe) ; occupation du sol ; infrastructures (routes, marchés, stockage, collecte, transformation, irrigation, énergie, services) ; risques et vulnérabilités. Le TdR pose une règle méthodologique forte : aucune variable ne doit être déduite arbitrairement lorsqu'elle n'est pas scientifiquement établie, et la provenance, la qualité et les limites doivent être conservées.</w:t>
      </w:r>
    </w:p>
    <w:p>
      <w:pPr>
        <w:pStyle w:val="Heading2"/>
        <w:spacing w:after="100" w:before="240"/>
      </w:pPr>
      <w:r>
        <w:rPr>
          <w:rFonts w:ascii="Calibri" w:cs="Calibri" w:eastAsia="Calibri" w:hAnsi="Calibri"/>
          <w:b/>
          <w:bCs/>
          <w:color w:val="0B3C5D"/>
          <w:sz w:val="23"/>
          <w:szCs w:val="23"/>
        </w:rPr>
        <w:t xml:space="preserve">1.4. Mandat, livrables et calendrier</w:t>
      </w:r>
    </w:p>
    <w:p>
      <w:pPr>
        <w:spacing w:after="120" w:line="276"/>
        <w:jc w:val="both"/>
      </w:pPr>
      <w:r>
        <w:rPr>
          <w:rFonts w:ascii="Calibri" w:cs="Calibri" w:eastAsia="Calibri" w:hAnsi="Calibri"/>
          <w:sz w:val="21"/>
          <w:szCs w:val="21"/>
        </w:rPr>
        <w:t xml:space="preserve">Le mandat du consultant est structuré en huit blocs : (A) diagnostic et cadrage, (B) conception de l'architecture, (C) mise en place du profilage territorial, (D) intégration et interopérabilité avec le RNA, (E) intelligence agricole territoriale, (F) données et services scientifiques, (G) pilote territorial ou corridor, (H) accompagnement institutionnel et renforcement des capacités.</w:t>
      </w:r>
    </w:p>
    <w:p>
      <w:pPr>
        <w:spacing w:after="120" w:line="276"/>
        <w:jc w:val="both"/>
      </w:pPr>
      <w:r>
        <w:rPr>
          <w:rFonts w:ascii="Calibri" w:cs="Calibri" w:eastAsia="Calibri" w:hAnsi="Calibri"/>
          <w:sz w:val="21"/>
          <w:szCs w:val="21"/>
        </w:rPr>
        <w:t xml:space="preserve">Neuf livrables jalonnent la mission : rapport de démarrage et diagnostic (L1, mois 1), architecture cible (L2, mois 3), catalogue des données territoriales et scientifiques (L3, mois 4), dispositif de production et de mise à disposition des données (L4, mois 5), spécifications d'interopérabilité RNA–infrastructure (L5, mois 6), modèle de profil scientifique et territorial (L6, mois 8), pilote opérationnel (L7, mois 11), tableaux de bord et outils d'aide à la décision (L8, mois 12), rapport final et feuille de route de pérennisation 2027–2030 (L9, mois 14).</w:t>
      </w:r>
    </w:p>
    <w:p>
      <w:pPr>
        <w:spacing w:after="120" w:line="276"/>
        <w:jc w:val="both"/>
      </w:pPr>
      <w:r>
        <w:rPr>
          <w:rFonts w:ascii="Calibri" w:cs="Calibri" w:eastAsia="Calibri" w:hAnsi="Calibri"/>
          <w:sz w:val="21"/>
          <w:szCs w:val="21"/>
        </w:rPr>
        <w:t xml:space="preserve">Le chronogramme est découpé en cinq phases. La durée indicative annoncée au paragraphe XI est de douze mois, tandis que le tableau des phases totalise quatorze mois. De même, le niveau d'effort est estimé à 180–220 jours-personnes dans le texte, contre 345–400 jours dans le tableau.</w:t>
      </w:r>
    </w:p>
    <w:p>
      <w:pPr>
        <w:pStyle w:val="Heading2"/>
        <w:spacing w:after="100" w:before="240"/>
      </w:pPr>
      <w:r>
        <w:rPr>
          <w:rFonts w:ascii="Calibri" w:cs="Calibri" w:eastAsia="Calibri" w:hAnsi="Calibri"/>
          <w:b/>
          <w:bCs/>
          <w:color w:val="0B3C5D"/>
          <w:sz w:val="23"/>
          <w:szCs w:val="23"/>
        </w:rPr>
        <w:t xml:space="preserve">1.5. Gouvernance, données et propriété intellectuelle</w:t>
      </w:r>
    </w:p>
    <w:p>
      <w:pPr>
        <w:spacing w:after="120" w:line="276"/>
        <w:jc w:val="both"/>
      </w:pPr>
      <w:r>
        <w:rPr>
          <w:rFonts w:ascii="Calibri" w:cs="Calibri" w:eastAsia="Calibri" w:hAnsi="Calibri"/>
          <w:sz w:val="21"/>
          <w:szCs w:val="21"/>
        </w:rPr>
        <w:t xml:space="preserve">La mission est placée sous l'autorité de l'UNCP, en coordination avec les structures techniques du Ministère de l'Agriculture et les responsables du RNA. Un comité de pilotage assure les orientations et la validation des livrables ; une équipe technique assure la coordination quotidienne, l'accès aux données et la validation fonctionnelle.</w:t>
      </w:r>
    </w:p>
    <w:p>
      <w:pPr>
        <w:spacing w:after="120" w:line="276"/>
        <w:jc w:val="both"/>
      </w:pPr>
      <w:r>
        <w:rPr>
          <w:rFonts w:ascii="Calibri" w:cs="Calibri" w:eastAsia="Calibri" w:hAnsi="Calibri"/>
          <w:sz w:val="21"/>
          <w:szCs w:val="21"/>
        </w:rPr>
        <w:t xml:space="preserve">Le chapitre IX pose sept principes : souveraineté, minimisation des duplications, traçabilité, sécurité, interopérabilité par API documentées, exposition minimale des données personnelles du RNA, conservation systématique de la source, de la version, de la période, de la méthode et des limites, et journalisation permettant de retracer les accès et transformations.</w:t>
      </w:r>
    </w:p>
    <w:p>
      <w:pPr>
        <w:spacing w:after="120" w:line="276"/>
        <w:jc w:val="both"/>
      </w:pPr>
      <w:r>
        <w:rPr>
          <w:rFonts w:ascii="Calibri" w:cs="Calibri" w:eastAsia="Calibri" w:hAnsi="Calibri"/>
          <w:sz w:val="21"/>
          <w:szCs w:val="21"/>
        </w:rPr>
        <w:t xml:space="preserve">Le chapitre X distingue explicitement les ressources préexistantes (outils, moteurs, codes sources, modèles, algorithmes développés avant la mission) des livrables du mandat. L'utilisation des ressources préexistantes ne vaut pas transfert de propriété. Le « moteur national d'intelligence géospatiale » est expressément désigné comme une ressource préexistante mobilisable, mais non livrable.</w:t>
      </w:r>
    </w:p>
    <w:p>
      <w:pPr>
        <w:pStyle w:val="Heading2"/>
        <w:spacing w:after="100" w:before="240"/>
      </w:pPr>
      <w:r>
        <w:rPr>
          <w:rFonts w:ascii="Calibri" w:cs="Calibri" w:eastAsia="Calibri" w:hAnsi="Calibri"/>
          <w:b/>
          <w:bCs/>
          <w:color w:val="0B3C5D"/>
          <w:sz w:val="23"/>
          <w:szCs w:val="23"/>
        </w:rPr>
        <w:t xml:space="preserve">1.6. Profil recherché et suivi de la performance</w:t>
      </w:r>
    </w:p>
    <w:p>
      <w:pPr>
        <w:spacing w:after="120" w:line="276"/>
        <w:jc w:val="both"/>
      </w:pPr>
      <w:r>
        <w:rPr>
          <w:rFonts w:ascii="Calibri" w:cs="Calibri" w:eastAsia="Calibri" w:hAnsi="Calibri"/>
          <w:sz w:val="21"/>
          <w:szCs w:val="21"/>
        </w:rPr>
        <w:t xml:space="preserve">Le consultant attendu est un cadre supérieur de niveau Bac+5 minimum en informatique, systèmes d'information, géomatique, sciences géospatiales, agriculture numérique, agronomie appliquée ou data science, justifiant d'au moins dix années d'expérience, d'une pratique avérée des plateformes de données géospatiales, de l'architecture de systèmes et des API, et d'une « bonne compréhension du RNA et du moteur national d'intelligence géospatiale ».</w:t>
      </w:r>
    </w:p>
    <w:p>
      <w:pPr>
        <w:spacing w:after="120" w:line="276"/>
        <w:jc w:val="both"/>
      </w:pPr>
      <w:r>
        <w:rPr>
          <w:rFonts w:ascii="Calibri" w:cs="Calibri" w:eastAsia="Calibri" w:hAnsi="Calibri"/>
          <w:sz w:val="21"/>
          <w:szCs w:val="21"/>
        </w:rPr>
        <w:t xml:space="preserve">Neuf indicateurs de performance sont proposés, avec des cibles indicatives essentiellement binaires (une architecture validée, un catalogue documenté, au moins un cas d'usage complet) et des moyens de vérification documentaires.</w:t>
      </w:r>
    </w:p>
    <w:p>
      <w:pPr>
        <w:pStyle w:val="Heading2"/>
        <w:spacing w:after="100" w:before="240"/>
      </w:pPr>
      <w:r>
        <w:rPr>
          <w:rFonts w:ascii="Calibri" w:cs="Calibri" w:eastAsia="Calibri" w:hAnsi="Calibri"/>
          <w:b/>
          <w:bCs/>
          <w:color w:val="0B3C5D"/>
          <w:sz w:val="23"/>
          <w:szCs w:val="23"/>
        </w:rPr>
        <w:t xml:space="preserve">1.7. Appréciation générale</w:t>
      </w:r>
    </w:p>
    <w:p>
      <w:pPr>
        <w:spacing w:after="120" w:line="276"/>
        <w:jc w:val="both"/>
      </w:pPr>
      <w:r>
        <w:rPr>
          <w:rFonts w:ascii="Calibri" w:cs="Calibri" w:eastAsia="Calibri" w:hAnsi="Calibri"/>
          <w:sz w:val="21"/>
          <w:szCs w:val="21"/>
        </w:rPr>
        <w:t xml:space="preserve">Le TdR est intellectuellement solide et bien construit. Il identifie un besoin réel et rarement formulé aussi clairement dans les projets agricoles : la donnée d'identification, seule, ne produit pas de décision. La distinction « QUI » / « OÙ, QUOI, AVEC QUELLES CONTRAINTES » est une grille de lecture utilisable immédiatement, y compris hors du périmètre de cette consultance.</w:t>
      </w:r>
    </w:p>
    <w:p>
      <w:pPr>
        <w:spacing w:after="120" w:line="276"/>
        <w:jc w:val="both"/>
      </w:pPr>
      <w:r>
        <w:rPr>
          <w:rFonts w:ascii="Calibri" w:cs="Calibri" w:eastAsia="Calibri" w:hAnsi="Calibri"/>
          <w:sz w:val="21"/>
          <w:szCs w:val="21"/>
        </w:rPr>
        <w:t xml:space="preserve">Ses fragilités relèvent moins du fond que du montage : incohérences chiffrées entre texte et tableaux, périmètre très large confié à un consultant individuel unique, budget non chiffré, indicateurs peu mesurables, et surtout absence totale d'articulation avec le cadre de résultats et le dispositif de Suivi &amp; Évaluation existants du PNDA. Ce dernier point est le seul qui appelle une réaction de notre part.</w:t>
      </w:r>
    </w:p>
    <w:p>
      <w:r>
        <w:br w:type="page"/>
      </w:r>
    </w:p>
    <w:p>
      <w:pPr>
        <w:pStyle w:val="Heading1"/>
        <w:pBdr>
          <w:bottom w:val="single" w:color="0B3C5D" w:sz="8" w:space="4"/>
        </w:pBdr>
        <w:spacing w:after="160" w:before="320"/>
      </w:pPr>
      <w:r>
        <w:rPr>
          <w:rFonts w:ascii="Calibri" w:cs="Calibri" w:eastAsia="Calibri" w:hAnsi="Calibri"/>
          <w:b/>
          <w:bCs/>
          <w:color w:val="0B3C5D"/>
          <w:sz w:val="28"/>
          <w:szCs w:val="28"/>
        </w:rPr>
        <w:t xml:space="preserve">2. Points forts du TdR</w:t>
      </w:r>
    </w:p>
    <w:p>
      <w:pPr>
        <w:spacing w:after="120" w:line="276"/>
        <w:jc w:val="both"/>
      </w:pPr>
      <w:r>
        <w:rPr>
          <w:rFonts w:ascii="Calibri" w:cs="Calibri" w:eastAsia="Calibri" w:hAnsi="Calibri"/>
          <w:i/>
          <w:iCs/>
          <w:color w:val="4A5568"/>
          <w:sz w:val="21"/>
          <w:szCs w:val="21"/>
        </w:rPr>
        <w:t xml:space="preserve">Le tableau ci-dessous recense les apports du document, en précisant pour chacun l'intérêt qu'il présente pour le dispositif de Suivi &amp; Évaluation.</w:t>
      </w:r>
    </w:p>
    <w:tbl>
      <w:tblPr>
        <w:tblW w:type="dxa" w:w="9638"/>
        <w:tblBorders>
          <w:top w:val="single" w:color="C7D0D9" w:sz="4"/>
          <w:left w:val="single" w:color="C7D0D9" w:sz="4"/>
          <w:bottom w:val="single" w:color="C7D0D9" w:sz="4"/>
          <w:right w:val="single" w:color="C7D0D9" w:sz="4"/>
          <w:insideH w:val="single" w:color="DCE3EA" w:sz="2"/>
          <w:insideV w:val="single" w:color="DCE3EA" w:sz="2"/>
        </w:tblBorders>
      </w:tblPr>
      <w:tblGrid>
        <w:gridCol w:w="2300"/>
        <w:gridCol w:w="4238"/>
        <w:gridCol w:w="3100"/>
      </w:tblGrid>
      <w:tr>
        <w:trPr>
          <w:tblHeader/>
        </w:trPr>
        <w:tc>
          <w:tcPr>
            <w:tcW w:type="dxa" w:w="2300"/>
            <w:shd w:fill="2E7D32"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Point fort</w:t>
            </w:r>
          </w:p>
        </w:tc>
        <w:tc>
          <w:tcPr>
            <w:tcW w:type="dxa" w:w="4238"/>
            <w:shd w:fill="2E7D32"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Description</w:t>
            </w:r>
          </w:p>
        </w:tc>
        <w:tc>
          <w:tcPr>
            <w:tcW w:type="dxa" w:w="3100"/>
            <w:shd w:fill="2E7D32"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Intérêt pour notre dispositif S&amp;E</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Diagnostic juste du besoin</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 TdR identifie correctement la limite structurelle du RNA : il référence des personnes et des parcelles, mais ne caractérise pas le territoire. La décision agricole ne peut pas se fonder sur l'identification seule.</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Fort — le même constat vaut pour notre module Bénéficiaires et notre page Cartographie, qui localisent sans contextualiser.</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Grille QUI / OÙ / QUOI</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La matrice de l'annexe oppose ligne à ligne ce que sait le RNA et ce qu'apporterait la couche territoriale, sur huit questions métier.</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Très fort — grille directement réutilisable comme cadre de conception de nos écrans d'analyse territoriale.</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Structuration en 7 domaines</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Climat, sols et géologie, physiographie, hydrologie, occupation du sol, infrastructures, risques et vulnérabilités, chacun avec variables et usage agricole.</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Fort — fournit un schéma de données prêt à l'emploi pour une table de profils territoriaux.</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Exigence de traçabilité scientifique</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Obligation de conserver source, version, résolution, unité, période, méthode et limites ; interdiction explicite de déduire une variable non établie.</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Très fort — principe à appliquer tel quel à nos indicateurs du cadre de résultats et à nos données de collecte.</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Principe de non-duplication</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L'infrastructure ne doit pas recréer les référentiels existants mais s'y connecter par des interfaces documentées.</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Fort — nous évite de dupliquer le RNA dans notre base et oriente vers une consommation par API.</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Architecture ouverte et modulaire</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Refus explicite du verrouillage technologique et du format propriétaire unique ; évolution des systèmes préservée.</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 à fort — conforte nos choix (PostgreSQL/PostGIS, GeoJSON, API REST) contre une dépendance à un éditeur.</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Sécurité et minimisation des données</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Les données personnelles du RNA ne doivent être exposées que dans la mesure strictement nécessaire ; audit et journalisation obligatoires.</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Fort — conforte notre modèle de rôles et notre journal d'audit, et impose de vérifier ce que nous exposons réellement.</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Logique de pilote avant généralisation</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Un cas d'usage complet sur un corridor, documenté (résultats, difficultés, performances), avant toute extension.</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Fort — méthode transposable à nos déploiements provinciaux (Kwilu d'abord, puis Kasaï et Kasaï Central).</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Ancrage sur la phase 2 et les corridors</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 TdR relie la mission aux orientations agrobusiness et aux corridors PACT, Inga et Lobito, avec une séquence de priorisation.</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 — utile pour anticiper la maille géographique que devra supporter notre application (corridor, pas seulement province).</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Livrables jalonnés et critères de recette</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Neuf livrables avec contenu, échéance et critère d'acceptation explicite (rapport validé, PV de recette, tests concluants).</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Fort — modèle de rédaction à reprendre pour nos propres jalons de développement.</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Clarté sur la propriété intellectuelle</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Distinction nette entre ressources préexistantes et livrables du mandat.</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 — utile pour cadrer nos futurs marchés de prestation logicielle.</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Volet formation et pérennisation</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Formation des utilisateurs et administrateurs, guides fonctionnels et techniques, dispositif institutionnel de pérennisation, feuille de route 2027–2030.</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Fort — rappelle qu'un module livré sans transfert de compétence aux UPE n'est pas un module déployé.</w:t>
            </w:r>
          </w:p>
        </w:tc>
      </w:tr>
    </w:tbl>
    <w:p>
      <w:r>
        <w:br w:type="page"/>
      </w:r>
    </w:p>
    <w:p>
      <w:pPr>
        <w:pStyle w:val="Heading1"/>
        <w:pBdr>
          <w:bottom w:val="single" w:color="0B3C5D" w:sz="8" w:space="4"/>
        </w:pBdr>
        <w:spacing w:after="160" w:before="320"/>
      </w:pPr>
      <w:r>
        <w:rPr>
          <w:rFonts w:ascii="Calibri" w:cs="Calibri" w:eastAsia="Calibri" w:hAnsi="Calibri"/>
          <w:b/>
          <w:bCs/>
          <w:color w:val="0B3C5D"/>
          <w:sz w:val="28"/>
          <w:szCs w:val="28"/>
        </w:rPr>
        <w:t xml:space="preserve">3. Points faibles du TdR</w:t>
      </w:r>
    </w:p>
    <w:p>
      <w:pPr>
        <w:spacing w:after="200" w:line="276"/>
        <w:jc w:val="both"/>
      </w:pPr>
      <w:r>
        <w:rPr>
          <w:rFonts w:ascii="Calibri" w:cs="Calibri" w:eastAsia="Calibri" w:hAnsi="Calibri"/>
          <w:sz w:val="21"/>
          <w:szCs w:val="21"/>
        </w:rPr>
        <w:t xml:space="preserve">Ces réserves portent principalement sur le montage contractuel et sur la cohérence interne du document. </w:t>
      </w:r>
      <w:r>
        <w:rPr>
          <w:rFonts w:ascii="Calibri" w:cs="Calibri" w:eastAsia="Calibri" w:hAnsi="Calibri"/>
          <w:b/>
          <w:bCs/>
          <w:sz w:val="21"/>
          <w:szCs w:val="21"/>
        </w:rPr>
        <w:t xml:space="preserve">La grande majorité d'entre elles est sans incidence sur notre projet applicatif</w:t>
      </w:r>
      <w:r>
        <w:rPr>
          <w:rFonts w:ascii="Calibri" w:cs="Calibri" w:eastAsia="Calibri" w:hAnsi="Calibri"/>
          <w:sz w:val="21"/>
          <w:szCs w:val="21"/>
        </w:rPr>
        <w:t xml:space="preserve"> : elles relèvent de la passation de marché et de la gestion de la consultance, non de la conception de la plateforme S&amp;E. Elles sont néanmoins consignées pour mémoire, en vue de l'examen du TdR par l'UNCP.</w:t>
      </w:r>
    </w:p>
    <w:tbl>
      <w:tblPr>
        <w:tblW w:type="dxa" w:w="9638"/>
        <w:tblBorders>
          <w:top w:val="single" w:color="C7D0D9" w:sz="4"/>
          <w:left w:val="single" w:color="C7D0D9" w:sz="4"/>
          <w:bottom w:val="single" w:color="C7D0D9" w:sz="4"/>
          <w:right w:val="single" w:color="C7D0D9" w:sz="4"/>
          <w:insideH w:val="single" w:color="DCE3EA" w:sz="2"/>
          <w:insideV w:val="single" w:color="DCE3EA" w:sz="2"/>
        </w:tblBorders>
      </w:tblPr>
      <w:tblGrid>
        <w:gridCol w:w="2300"/>
        <w:gridCol w:w="4238"/>
        <w:gridCol w:w="3100"/>
      </w:tblGrid>
      <w:tr>
        <w:trPr>
          <w:tblHeader/>
        </w:trPr>
        <w:tc>
          <w:tcPr>
            <w:tcW w:type="dxa" w:w="2300"/>
            <w:shd w:fill="B3261E"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Point faible</w:t>
            </w:r>
          </w:p>
        </w:tc>
        <w:tc>
          <w:tcPr>
            <w:tcW w:type="dxa" w:w="4238"/>
            <w:shd w:fill="B3261E"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Nature du problème</w:t>
            </w:r>
          </w:p>
        </w:tc>
        <w:tc>
          <w:tcPr>
            <w:tcW w:type="dxa" w:w="3100"/>
            <w:shd w:fill="B3261E"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Incidence sur notre projet</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Durée contradictoire</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 paragraphe XI annonce douze mois, le tableau des phases en totalise quatorze et le livrable L9 est daté du mois 14.</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Nulle — à corriger dans le TdR avant publication ; sans effet sur l'application.</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Niveau d'effort incohérent</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 texte estime 180 à 220 jours-personnes ; le tableau totalise 345 à 400 jours, soit près du double. L'écart affecte directement le budget.</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Nulle — question de passation ; aucun impact technique.</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Périmètre disproportionné</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Architecture, développement, intégration multi-sources, production de données, pilote, tableaux de bord et formation confiés à un consultant individuel unique. Ce périmètre relève normalement d'un contrat de firme.</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Faible — nous renseigne surtout sur le risque de non-livraison d'un partenaire dont nous dépendrions.</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Moteur géospatial non identifié</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 « moteur national d'intelligence géospatiale » est cité quinze fois sans être nommé, décrit, ni rattaché à une institution ; il est simultanément désigné comme ressource préexistante non livrable et comme source centrale du dispositif.</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Faible — nous ne pouvons pas planifier d'intégration technique avec un système non identifié ; à clarifier avant toute interface.</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Profil possiblement fléché</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L'exigence d'une « bonne compréhension du moteur national d'intelligence géospatiale » combinée au chapitre X sur la propriété préexistante restreint de fait la concurrence, ce qui peut poser difficulté au regard des règles de passation de la Banque mondiale.</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Nulle — relève de la commission de passation des marchés.</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Budget non chiffré</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Aucun montant, même indicatif. Les coûts d'infrastructure et d'acquisition de données sont renvoyés à « d'autres lignes budgétaires du Projet » sans les identifier.</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Faible — un renvoi vers des lignes non identifiées est un risque classique de blocage à mi-parcours.</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Indicateurs non mesurables</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Les cibles sont binaires (« 1 », « au moins 1 cas d'usage ») et ne mesurent ni la couverture, ni la qualité, ni l'usage effectif. Aucun indicateur de résultat, uniquement des indicateurs de produit.</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Faible à moyen — contre-exemple utile : nos propres indicateurs applicatifs doivent mesurer l'usage réel, pas la livraison.</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Absence de lien avec le cadre de résultats</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 TdR ne cite ni les IODP, ni les indicateurs intermédiaires, ni le Manuel de S&amp;E du PNDA. Aucun livrable ne prévoit d'alimenter le dispositif de suivi existant.</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 — c'est la seule réserve appelant une réaction de notre part : voir la recommandation R1 au chapitre 4.</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Niveau provincial absent</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Les UPE (Kwilu, Kasaï, Kasaï Central) ne sont mentionnées nulle part, alors qu'elles produisent la donnée de terrain et l'exploiteraient en premier.</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 — à faire ajouter : une infrastructure conçue sans les provinces ne sera pas alimentée par elles.</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Contrainte de connectivité ignorée</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Aucune mention du fonctionnement hors ligne ni des contraintes de bande passante en milieu rural congolais, alors que le dispositif est destiné à des usages de terrain.</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Faible — nous avons déjà traité ce point dans le module de collecte mobile ; à signaler comme angle mort du TdR.</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Hébergement et souveraineté non tranchés</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 principe de souveraineté est posé au chapitre IX mais aucune décision d'hébergement (national, régional, cloud) n'est demandée dans les livrables.</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Faible — question à trancher pour l'ensemble des systèmes du PNDA, y compris le nôtre.</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Protection des données personnelles peu développée</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Une seule phrase de principe sur les données personnelles du RNA, sans référence au cadre juridique national du numérique ni exigence d'analyse d'impact.</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Faible — notre journal d'audit et notre gestion des rôles couvrent déjà l'essentiel.</w:t>
            </w:r>
          </w:p>
        </w:tc>
      </w:tr>
      <w:tr>
        <w:tc>
          <w:tcPr>
            <w:tcW w:type="dxa" w:w="2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Risque de recouvrement fonctionnel</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Les tableaux de bord, cartes et outils d'aide à la décision du livrable L8 recoupent partiellement des fonctions déjà développées dans la plateforme S&amp;E.</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 — à signaler pour éviter un double financement et positionner notre plateforme comme consommatrice de l'infrastructure, non comme concurrente.</w:t>
            </w:r>
          </w:p>
        </w:tc>
      </w:tr>
      <w:tr>
        <w:tc>
          <w:tcPr>
            <w:tcW w:type="dxa" w:w="2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Phase 1 mal calée</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 chronogramme place la phase 1 sur les mois 1 à 2, alors que son unique livrable L1 est attendu au mois 1.</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Nulle — coquille de rédaction.</w:t>
            </w:r>
          </w:p>
        </w:tc>
      </w:tr>
    </w:tbl>
    <w:p>
      <w:r>
        <w:br w:type="page"/>
      </w:r>
    </w:p>
    <w:p>
      <w:pPr>
        <w:pStyle w:val="Heading1"/>
        <w:pBdr>
          <w:bottom w:val="single" w:color="0B3C5D" w:sz="8" w:space="4"/>
        </w:pBdr>
        <w:spacing w:after="160" w:before="320"/>
      </w:pPr>
      <w:r>
        <w:rPr>
          <w:rFonts w:ascii="Calibri" w:cs="Calibri" w:eastAsia="Calibri" w:hAnsi="Calibri"/>
          <w:b/>
          <w:bCs/>
          <w:color w:val="0B3C5D"/>
          <w:sz w:val="28"/>
          <w:szCs w:val="28"/>
        </w:rPr>
        <w:t xml:space="preserve">4. Ce que nous pouvons en tirer pour notre application</w:t>
      </w:r>
    </w:p>
    <w:p>
      <w:pPr>
        <w:spacing w:after="120" w:line="276"/>
        <w:jc w:val="both"/>
      </w:pPr>
      <w:r>
        <w:rPr>
          <w:rFonts w:ascii="Calibri" w:cs="Calibri" w:eastAsia="Calibri" w:hAnsi="Calibri"/>
          <w:sz w:val="21"/>
          <w:szCs w:val="21"/>
        </w:rPr>
        <w:t xml:space="preserve">Le TdR décrit une infrastructure nationale qui, si elle est financée, sera livrée au plus tôt fin 2027. Notre plateforme de Suivi &amp; Évaluation, elle, est en développement aujourd'hui. L'enjeu n'est donc pas d'attendre cette infrastructure, mais de préparer notre application à s'y connecter, tout en récupérant immédiatement les apports conceptuels du document — qui sont utilisables sans dépendre d'aucun prestataire.</w:t>
      </w:r>
    </w:p>
    <w:p>
      <w:pPr>
        <w:spacing w:after="120" w:line="276"/>
        <w:jc w:val="both"/>
      </w:pPr>
      <w:r>
        <w:rPr>
          <w:rFonts w:ascii="Calibri" w:cs="Calibri" w:eastAsia="Calibri" w:hAnsi="Calibri"/>
          <w:sz w:val="21"/>
          <w:szCs w:val="21"/>
        </w:rPr>
        <w:t xml:space="preserve">Trois niveaux de récupération sont possibles : ce que nous pouvons implémenter tout de suite avec nos données actuelles, ce que nous devons préparer structurellement pour être interopérables demain, et ce que nous devons faire remonter à l'UNCP au titre de l'examen du TdR.</w:t>
      </w:r>
    </w:p>
    <w:p>
      <w:pPr>
        <w:pStyle w:val="Heading2"/>
        <w:spacing w:after="100" w:before="240"/>
      </w:pPr>
      <w:r>
        <w:rPr>
          <w:rFonts w:ascii="Calibri" w:cs="Calibri" w:eastAsia="Calibri" w:hAnsi="Calibri"/>
          <w:b/>
          <w:bCs/>
          <w:color w:val="0B3C5D"/>
          <w:sz w:val="23"/>
          <w:szCs w:val="23"/>
        </w:rPr>
        <w:t xml:space="preserve">4.1. Éléments transposables dans la plateforme</w:t>
      </w:r>
    </w:p>
    <w:tbl>
      <w:tblPr>
        <w:tblW w:type="dxa" w:w="9638"/>
        <w:tblBorders>
          <w:top w:val="single" w:color="C7D0D9" w:sz="4"/>
          <w:left w:val="single" w:color="C7D0D9" w:sz="4"/>
          <w:bottom w:val="single" w:color="C7D0D9" w:sz="4"/>
          <w:right w:val="single" w:color="C7D0D9" w:sz="4"/>
          <w:insideH w:val="single" w:color="DCE3EA" w:sz="2"/>
          <w:insideV w:val="single" w:color="DCE3EA" w:sz="2"/>
        </w:tblBorders>
      </w:tblPr>
      <w:tblGrid>
        <w:gridCol w:w="2200"/>
        <w:gridCol w:w="3100"/>
        <w:gridCol w:w="2138"/>
        <w:gridCol w:w="2200"/>
      </w:tblGrid>
      <w:tr>
        <w:trPr>
          <w:tblHeader/>
        </w:trPr>
        <w:tc>
          <w:tcPr>
            <w:tcW w:type="dxa" w:w="2200"/>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Apport du TdR</w:t>
            </w:r>
          </w:p>
        </w:tc>
        <w:tc>
          <w:tcPr>
            <w:tcW w:type="dxa" w:w="3100"/>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Traduction dans l'application</w:t>
            </w:r>
          </w:p>
        </w:tc>
        <w:tc>
          <w:tcPr>
            <w:tcW w:type="dxa" w:w="2138"/>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Module concerné</w:t>
            </w:r>
          </w:p>
        </w:tc>
        <w:tc>
          <w:tcPr>
            <w:tcW w:type="dxa" w:w="2200"/>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Priorité</w:t>
            </w:r>
          </w:p>
        </w:tc>
      </w:tr>
      <w:tr>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Grille QUI / OÙ / QUOI</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Restructurer la fiche bénéficiaire en trois volets : identité (QUI), localisation et contexte (OÙ), potentiel et contraintes (QUOI). Le troisième volet reste vide tant que les données territoriales ne sont pas disponibles, mais l'emplacement existe.</w:t>
            </w:r>
          </w:p>
        </w:tc>
        <w:tc>
          <w:tcPr>
            <w:tcW w:type="dxa" w:w="2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Bénéficiaires — fiche exploitant</w:t>
            </w:r>
          </w:p>
        </w:tc>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Haute</w:t>
            </w:r>
          </w:p>
        </w:tc>
      </w:tr>
      <w:tr>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Profil territorial normalisé</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Créer une table de profils territoriaux (territoire, domaine, variable, valeur, unité, source, version, période, résolution, méthode, niveau de confiance) alimentée d'abord manuellement, puis par API.</w:t>
            </w:r>
          </w:p>
        </w:tc>
        <w:tc>
          <w:tcPr>
            <w:tcW w:type="dxa" w:w="2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Base de données — PostGIS</w:t>
            </w:r>
          </w:p>
        </w:tc>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Haute</w:t>
            </w:r>
          </w:p>
        </w:tc>
      </w:tr>
      <w:tr>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Sept domaines de connaissance</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Utiliser les sept domaines comme nomenclature de couches cartographiques dans la page Cartographie, avec un sélecteur de couche par domaine.</w:t>
            </w:r>
          </w:p>
        </w:tc>
        <w:tc>
          <w:tcPr>
            <w:tcW w:type="dxa" w:w="2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Outils — Cartographie &amp; SIG</w:t>
            </w:r>
          </w:p>
        </w:tc>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Haute</w:t>
            </w:r>
          </w:p>
        </w:tc>
      </w:tr>
      <w:tr>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Traçabilité des données</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Ajouter systématiquement source, date, méthode et limites à chaque valeur d'indicateur saisie, et les afficher au survol dans les tableaux de bord.</w:t>
            </w:r>
          </w:p>
        </w:tc>
        <w:tc>
          <w:tcPr>
            <w:tcW w:type="dxa" w:w="2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Indicateurs / Cadre de résultats</w:t>
            </w:r>
          </w:p>
        </w:tc>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Haute</w:t>
            </w:r>
          </w:p>
        </w:tc>
      </w:tr>
      <w:tr>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Interopérabilité par API</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Exposer nos données par une API REST documentée et versionnée, avec identifiants stables des exploitants et des parcelles, plutôt que par exports manuels.</w:t>
            </w:r>
          </w:p>
        </w:tc>
        <w:tc>
          <w:tcPr>
            <w:tcW w:type="dxa" w:w="2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API backend</w:t>
            </w:r>
          </w:p>
        </w:tc>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Haute</w:t>
            </w:r>
          </w:p>
        </w:tc>
      </w:tr>
      <w:tr>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Non-duplication du RNA</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Consommer le RNA par interface plutôt que d'en recopier les enregistrements ; ne conserver localement que la clé et les données de suivi qui nous sont propres.</w:t>
            </w:r>
          </w:p>
        </w:tc>
        <w:tc>
          <w:tcPr>
            <w:tcW w:type="dxa" w:w="2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Services / intégration</w:t>
            </w:r>
          </w:p>
        </w:tc>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Moyenne</w:t>
            </w:r>
          </w:p>
        </w:tc>
      </w:tr>
      <w:tr>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Couche infrastructures</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Enrichir la table des sites géolocalisés (routes, marchés, centres de collecte, stockage, transformation, irrigation, énergie) et calculer des indicateurs d'accessibilité par territoire.</w:t>
            </w:r>
          </w:p>
        </w:tc>
        <w:tc>
          <w:tcPr>
            <w:tcW w:type="dxa" w:w="2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SIG — sites</w:t>
            </w:r>
          </w:p>
        </w:tc>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Moyenne</w:t>
            </w:r>
          </w:p>
        </w:tc>
      </w:tr>
      <w:tr>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Analyse de connectivité</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Produire un indicateur de distance au marché et au centre de collecte le plus proche, calculable dès aujourd'hui avec PostGIS sur nos sites existants.</w:t>
            </w:r>
          </w:p>
        </w:tc>
        <w:tc>
          <w:tcPr>
            <w:tcW w:type="dxa" w:w="2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SIG / Statistiques</w:t>
            </w:r>
          </w:p>
        </w:tc>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Moyenne</w:t>
            </w:r>
          </w:p>
        </w:tc>
      </w:tr>
      <w:tr>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Risques et vulnérabilités</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Rattacher le module Risques à une maille géographique afin de croiser alertes et territoires, au lieu d'une liste hors sol.</w:t>
            </w:r>
          </w:p>
        </w:tc>
        <w:tc>
          <w:tcPr>
            <w:tcW w:type="dxa" w:w="2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Risques — Alertes</w:t>
            </w:r>
          </w:p>
        </w:tc>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Moyenne</w:t>
            </w:r>
          </w:p>
        </w:tc>
      </w:tr>
      <w:tr>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Tableaux de bord territoriaux</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Ajouter une entrée de lecture par corridor, en complément de la lecture par province, pour anticiper la phase 2.</w:t>
            </w:r>
          </w:p>
        </w:tc>
        <w:tc>
          <w:tcPr>
            <w:tcW w:type="dxa" w:w="2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Tableaux de bord</w:t>
            </w:r>
          </w:p>
        </w:tc>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Moyenne</w:t>
            </w:r>
          </w:p>
        </w:tc>
      </w:tr>
      <w:tr>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Journalisation et audit</w:t>
            </w:r>
          </w:p>
        </w:tc>
        <w:tc>
          <w:tcPr>
            <w:tcW w:type="dxa" w:w="3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Étendre le journal d'audit aux consultations de données personnelles, et non aux seules modifications.</w:t>
            </w:r>
          </w:p>
        </w:tc>
        <w:tc>
          <w:tcPr>
            <w:tcW w:type="dxa" w:w="2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Administration / sécurité</w:t>
            </w:r>
          </w:p>
        </w:tc>
        <w:tc>
          <w:tcPr>
            <w:tcW w:type="dxa" w:w="22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Moyenne</w:t>
            </w:r>
          </w:p>
        </w:tc>
      </w:tr>
      <w:tr>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Données de démonstration</w:t>
            </w:r>
          </w:p>
        </w:tc>
        <w:tc>
          <w:tcPr>
            <w:tcW w:type="dxa" w:w="3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Remplacer les jeux de données fictifs encore présents dans certaines vues cartographiques par les données réelles ou, à défaut, les signaler explicitement à l'écran.</w:t>
            </w:r>
          </w:p>
        </w:tc>
        <w:tc>
          <w:tcPr>
            <w:tcW w:type="dxa" w:w="2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Cartographie — carte interactive</w:t>
            </w:r>
          </w:p>
        </w:tc>
        <w:tc>
          <w:tcPr>
            <w:tcW w:type="dxa" w:w="22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Haute</w:t>
            </w:r>
          </w:p>
        </w:tc>
      </w:tr>
    </w:tbl>
    <w:p>
      <w:pPr>
        <w:pStyle w:val="Heading2"/>
        <w:spacing w:after="100" w:before="240"/>
      </w:pPr>
      <w:r>
        <w:rPr>
          <w:rFonts w:ascii="Calibri" w:cs="Calibri" w:eastAsia="Calibri" w:hAnsi="Calibri"/>
          <w:b/>
          <w:bCs/>
          <w:color w:val="0B3C5D"/>
          <w:sz w:val="23"/>
          <w:szCs w:val="23"/>
        </w:rPr>
        <w:t xml:space="preserve">4.2. Ce que nous ne devons pas faire</w:t>
      </w:r>
    </w:p>
    <w:p>
      <w:pPr>
        <w:pStyle w:val="ListParagraph"/>
        <w:numPr>
          <w:ilvl w:val="0"/>
          <w:numId w:val="2"/>
        </w:numPr>
        <w:spacing w:after="60" w:line="276"/>
        <w:jc w:val="both"/>
      </w:pPr>
      <w:r>
        <w:rPr>
          <w:rFonts w:ascii="Calibri" w:cs="Calibri" w:eastAsia="Calibri" w:hAnsi="Calibri"/>
          <w:b/>
          <w:bCs/>
          <w:sz w:val="21"/>
          <w:szCs w:val="21"/>
        </w:rPr>
        <w:t xml:space="preserve">S'abstenir </w:t>
      </w:r>
      <w:r>
        <w:rPr>
          <w:rFonts w:ascii="Calibri" w:cs="Calibri" w:eastAsia="Calibri" w:hAnsi="Calibri"/>
          <w:sz w:val="21"/>
          <w:szCs w:val="21"/>
        </w:rPr>
        <w:t xml:space="preserve">de reconstruire dans notre plateforme une infrastructure d'intelligence territoriale complète : ce n'est ni notre mandat, ni notre budget, et cela créerait précisément le doublon que le TdR cherche à éviter ;</w:t>
      </w:r>
    </w:p>
    <w:p>
      <w:pPr>
        <w:pStyle w:val="ListParagraph"/>
        <w:numPr>
          <w:ilvl w:val="0"/>
          <w:numId w:val="2"/>
        </w:numPr>
        <w:spacing w:after="60" w:line="276"/>
        <w:jc w:val="both"/>
      </w:pPr>
      <w:r>
        <w:rPr>
          <w:rFonts w:ascii="Calibri" w:cs="Calibri" w:eastAsia="Calibri" w:hAnsi="Calibri"/>
          <w:b/>
          <w:bCs/>
          <w:sz w:val="21"/>
          <w:szCs w:val="21"/>
        </w:rPr>
        <w:t xml:space="preserve">Ne pas alimenter </w:t>
      </w:r>
      <w:r>
        <w:rPr>
          <w:rFonts w:ascii="Calibri" w:cs="Calibri" w:eastAsia="Calibri" w:hAnsi="Calibri"/>
          <w:sz w:val="21"/>
          <w:szCs w:val="21"/>
        </w:rPr>
        <w:t xml:space="preserve">nos indicateurs par des variables scientifiques que nous n'avons pas mesurées ni sourcées ; la règle du TdR (aucune variable déduite arbitrairement) doit devenir notre règle ;</w:t>
      </w:r>
    </w:p>
    <w:p>
      <w:pPr>
        <w:pStyle w:val="ListParagraph"/>
        <w:numPr>
          <w:ilvl w:val="0"/>
          <w:numId w:val="2"/>
        </w:numPr>
        <w:spacing w:after="60" w:line="276"/>
        <w:jc w:val="both"/>
      </w:pPr>
      <w:r>
        <w:rPr>
          <w:rFonts w:ascii="Calibri" w:cs="Calibri" w:eastAsia="Calibri" w:hAnsi="Calibri"/>
          <w:b/>
          <w:bCs/>
          <w:sz w:val="21"/>
          <w:szCs w:val="21"/>
        </w:rPr>
        <w:t xml:space="preserve">Ne pas conditionner </w:t>
      </w:r>
      <w:r>
        <w:rPr>
          <w:rFonts w:ascii="Calibri" w:cs="Calibri" w:eastAsia="Calibri" w:hAnsi="Calibri"/>
          <w:sz w:val="21"/>
          <w:szCs w:val="21"/>
        </w:rPr>
        <w:t xml:space="preserve">le développement de nos modules à la disponibilité de cette infrastructure : elle n'existera pas avant fin 2027 au mieux, et pourrait ne pas être financée.</w:t>
      </w:r>
    </w:p>
    <w:p>
      <w:pPr>
        <w:pStyle w:val="Heading2"/>
        <w:spacing w:after="100" w:before="240"/>
      </w:pPr>
      <w:r>
        <w:rPr>
          <w:rFonts w:ascii="Calibri" w:cs="Calibri" w:eastAsia="Calibri" w:hAnsi="Calibri"/>
          <w:b/>
          <w:bCs/>
          <w:color w:val="0B3C5D"/>
          <w:sz w:val="23"/>
          <w:szCs w:val="23"/>
        </w:rPr>
        <w:t xml:space="preserve">4.3. Points à faire remonter à l'UNCP</w:t>
      </w:r>
    </w:p>
    <w:p>
      <w:pPr>
        <w:spacing w:after="120" w:line="276"/>
        <w:jc w:val="both"/>
      </w:pPr>
      <w:r>
        <w:rPr>
          <w:rFonts w:ascii="Calibri" w:cs="Calibri" w:eastAsia="Calibri" w:hAnsi="Calibri"/>
          <w:sz w:val="21"/>
          <w:szCs w:val="21"/>
        </w:rPr>
        <w:t xml:space="preserve">Si notre avis est sollicité dans le cadre de l'examen du TdR, quatre observations méritent d'être formulées :</w:t>
      </w:r>
    </w:p>
    <w:tbl>
      <w:tblPr>
        <w:tblW w:type="dxa" w:w="9638"/>
        <w:tblBorders>
          <w:top w:val="single" w:color="C7D0D9" w:sz="4"/>
          <w:left w:val="single" w:color="C7D0D9" w:sz="4"/>
          <w:bottom w:val="single" w:color="C7D0D9" w:sz="4"/>
          <w:right w:val="single" w:color="C7D0D9" w:sz="4"/>
          <w:insideH w:val="single" w:color="DCE3EA" w:sz="2"/>
          <w:insideV w:val="single" w:color="DCE3EA" w:sz="2"/>
        </w:tblBorders>
      </w:tblPr>
      <w:tblGrid>
        <w:gridCol w:w="1100"/>
        <w:gridCol w:w="4300"/>
        <w:gridCol w:w="4238"/>
      </w:tblGrid>
      <w:tr>
        <w:trPr>
          <w:tblHeader/>
        </w:trPr>
        <w:tc>
          <w:tcPr>
            <w:tcW w:type="dxa" w:w="1100"/>
            <w:shd w:fill="B26A00"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Réf.</w:t>
            </w:r>
          </w:p>
        </w:tc>
        <w:tc>
          <w:tcPr>
            <w:tcW w:type="dxa" w:w="4300"/>
            <w:shd w:fill="B26A00"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Observation</w:t>
            </w:r>
          </w:p>
        </w:tc>
        <w:tc>
          <w:tcPr>
            <w:tcW w:type="dxa" w:w="4238"/>
            <w:shd w:fill="B26A00"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Formulation proposée</w:t>
            </w:r>
          </w:p>
        </w:tc>
      </w:tr>
      <w:tr>
        <w:tc>
          <w:tcPr>
            <w:tcW w:type="dxa" w:w="1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R1</w:t>
            </w:r>
          </w:p>
        </w:tc>
        <w:tc>
          <w:tcPr>
            <w:tcW w:type="dxa" w:w="4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Absence d'articulation avec le cadre de résultats et le dispositif S&amp;E du PNDA.</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Demander l'ajout, dans le livrable L8, d'une exigence explicite d'alimentation des indicateurs du cadre de résultats et de compatibilité avec le Manuel de S&amp;E du PNDA.</w:t>
            </w:r>
          </w:p>
        </w:tc>
      </w:tr>
      <w:tr>
        <w:tc>
          <w:tcPr>
            <w:tcW w:type="dxa" w:w="1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R2</w:t>
            </w:r>
          </w:p>
        </w:tc>
        <w:tc>
          <w:tcPr>
            <w:tcW w:type="dxa" w:w="4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Les UPE et le niveau provincial sont absents du dispositif de gouvernance.</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Demander l'association des UPE (Kwilu, Kasaï, Kasaï Central) à l'équipe technique de travail et le choix du périmètre pilote parmi les provinces d'intervention actuelles.</w:t>
            </w:r>
          </w:p>
        </w:tc>
      </w:tr>
      <w:tr>
        <w:tc>
          <w:tcPr>
            <w:tcW w:type="dxa" w:w="11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R3</w:t>
            </w:r>
          </w:p>
        </w:tc>
        <w:tc>
          <w:tcPr>
            <w:tcW w:type="dxa" w:w="43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Risque de recouvrement fonctionnel entre le livrable L8 et la plateforme S&amp;E existante.</w:t>
            </w:r>
          </w:p>
        </w:tc>
        <w:tc>
          <w:tcPr>
            <w:tcW w:type="dxa" w:w="42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Demander que le livrable L8 se limite aux services et API de restitution territoriale, la couche de visualisation destinée au suivi restant portée par la plateforme S&amp;E du Programme.</w:t>
            </w:r>
          </w:p>
        </w:tc>
      </w:tr>
      <w:tr>
        <w:tc>
          <w:tcPr>
            <w:tcW w:type="dxa" w:w="11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R4</w:t>
            </w:r>
          </w:p>
        </w:tc>
        <w:tc>
          <w:tcPr>
            <w:tcW w:type="dxa" w:w="43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Incohérences chiffrées internes (durée 12 vs 14 mois, effort 180–220 vs 345–400 jours).</w:t>
            </w:r>
          </w:p>
        </w:tc>
        <w:tc>
          <w:tcPr>
            <w:tcW w:type="dxa" w:w="42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Signaler ces écarts pour correction avant transmission à la Banque mondiale, la crédibilité budgétaire du dossier en dépendant.</w:t>
            </w:r>
          </w:p>
        </w:tc>
      </w:tr>
    </w:tbl>
    <w:p>
      <w:pPr>
        <w:pStyle w:val="Heading2"/>
        <w:spacing w:after="100" w:before="240"/>
      </w:pPr>
      <w:r>
        <w:rPr>
          <w:rFonts w:ascii="Calibri" w:cs="Calibri" w:eastAsia="Calibri" w:hAnsi="Calibri"/>
          <w:b/>
          <w:bCs/>
          <w:color w:val="0B3C5D"/>
          <w:sz w:val="23"/>
          <w:szCs w:val="23"/>
        </w:rPr>
        <w:t xml:space="preserve">4.4. Séquence de mise en œuvre proposée</w:t>
      </w:r>
    </w:p>
    <w:tbl>
      <w:tblPr>
        <w:tblW w:type="dxa" w:w="9638"/>
        <w:tblBorders>
          <w:top w:val="single" w:color="C7D0D9" w:sz="4"/>
          <w:left w:val="single" w:color="C7D0D9" w:sz="4"/>
          <w:bottom w:val="single" w:color="C7D0D9" w:sz="4"/>
          <w:right w:val="single" w:color="C7D0D9" w:sz="4"/>
          <w:insideH w:val="single" w:color="DCE3EA" w:sz="2"/>
          <w:insideV w:val="single" w:color="DCE3EA" w:sz="2"/>
        </w:tblBorders>
      </w:tblPr>
      <w:tblGrid>
        <w:gridCol w:w="1500"/>
        <w:gridCol w:w="4000"/>
        <w:gridCol w:w="4138"/>
      </w:tblGrid>
      <w:tr>
        <w:trPr>
          <w:tblHeader/>
        </w:trPr>
        <w:tc>
          <w:tcPr>
            <w:tcW w:type="dxa" w:w="1500"/>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Horizon</w:t>
            </w:r>
          </w:p>
        </w:tc>
        <w:tc>
          <w:tcPr>
            <w:tcW w:type="dxa" w:w="4000"/>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Action</w:t>
            </w:r>
          </w:p>
        </w:tc>
        <w:tc>
          <w:tcPr>
            <w:tcW w:type="dxa" w:w="4138"/>
            <w:shd w:fill="0B3C5D" w:color="auto" w:val="clear"/>
            <w:tcMar>
              <w:top w:type="dxa" w:w="60"/>
              <w:left w:type="dxa" w:w="100"/>
              <w:bottom w:type="dxa" w:w="60"/>
              <w:right w:type="dxa" w:w="100"/>
            </w:tcMar>
          </w:tcPr>
          <w:p>
            <w:pPr>
              <w:spacing w:after="40" w:before="40" w:line="252"/>
              <w:jc w:val="left"/>
            </w:pPr>
            <w:r>
              <w:rPr>
                <w:rFonts w:ascii="Calibri" w:cs="Calibri" w:eastAsia="Calibri" w:hAnsi="Calibri"/>
                <w:b/>
                <w:bCs/>
                <w:color w:val="FFFFFF"/>
                <w:sz w:val="19"/>
                <w:szCs w:val="19"/>
              </w:rPr>
              <w:t xml:space="preserve">Résultat attendu</w:t>
            </w:r>
          </w:p>
        </w:tc>
      </w:tr>
      <w:tr>
        <w:tc>
          <w:tcPr>
            <w:tcW w:type="dxa" w:w="15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Immédiat</w:t>
            </w:r>
          </w:p>
        </w:tc>
        <w:tc>
          <w:tcPr>
            <w:tcW w:type="dxa" w:w="40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Restructurer la fiche exploitant selon la grille QUI / OÙ / QUOI et ajouter les champs de traçabilité (source, date, méthode) sur les indicateurs.</w:t>
            </w:r>
          </w:p>
        </w:tc>
        <w:tc>
          <w:tcPr>
            <w:tcW w:type="dxa" w:w="4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Structure d'accueil prête, sans dépendance externe.</w:t>
            </w:r>
          </w:p>
        </w:tc>
      </w:tr>
      <w:tr>
        <w:tc>
          <w:tcPr>
            <w:tcW w:type="dxa" w:w="15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Court terme</w:t>
            </w:r>
          </w:p>
        </w:tc>
        <w:tc>
          <w:tcPr>
            <w:tcW w:type="dxa" w:w="40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Créer la table de profils territoriaux et le sélecteur de couches par domaine dans la page Cartographie ; remplacer les données fictives résiduelles.</w:t>
            </w:r>
          </w:p>
        </w:tc>
        <w:tc>
          <w:tcPr>
            <w:tcW w:type="dxa" w:w="4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Cartographie exploitable sur données réelles, extensible par domaine.</w:t>
            </w:r>
          </w:p>
        </w:tc>
      </w:tr>
      <w:tr>
        <w:tc>
          <w:tcPr>
            <w:tcW w:type="dxa" w:w="15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Court terme</w:t>
            </w:r>
          </w:p>
        </w:tc>
        <w:tc>
          <w:tcPr>
            <w:tcW w:type="dxa" w:w="40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Calculer les premiers indicateurs d'accessibilité (distance au marché, au centre de collecte) avec PostGIS sur les sites déjà saisis.</w:t>
            </w:r>
          </w:p>
        </w:tc>
        <w:tc>
          <w:tcPr>
            <w:tcW w:type="dxa" w:w="4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Première production d'intelligence territoriale avec nos seules données.</w:t>
            </w:r>
          </w:p>
        </w:tc>
      </w:tr>
      <w:tr>
        <w:tc>
          <w:tcPr>
            <w:tcW w:type="dxa" w:w="15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Moyen terme</w:t>
            </w:r>
          </w:p>
        </w:tc>
        <w:tc>
          <w:tcPr>
            <w:tcW w:type="dxa" w:w="40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Documenter et versionner l'API de la plateforme, avec identifiants stables des exploitants et parcelles.</w:t>
            </w:r>
          </w:p>
        </w:tc>
        <w:tc>
          <w:tcPr>
            <w:tcW w:type="dxa" w:w="4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Interopérabilité possible le jour où l'infrastructure nationale existe.</w:t>
            </w:r>
          </w:p>
        </w:tc>
      </w:tr>
      <w:tr>
        <w:tc>
          <w:tcPr>
            <w:tcW w:type="dxa" w:w="15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Moyen terme</w:t>
            </w:r>
          </w:p>
        </w:tc>
        <w:tc>
          <w:tcPr>
            <w:tcW w:type="dxa" w:w="4000"/>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Ajouter la maille corridor aux tableaux de bord, en complément de la maille provinciale.</w:t>
            </w:r>
          </w:p>
        </w:tc>
        <w:tc>
          <w:tcPr>
            <w:tcW w:type="dxa" w:w="4138"/>
            <w:shd w:fill="FFFFFF"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Lecture compatible avec la phase 2 du PNDA.</w:t>
            </w:r>
          </w:p>
        </w:tc>
      </w:tr>
      <w:tr>
        <w:tc>
          <w:tcPr>
            <w:tcW w:type="dxa" w:w="15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bCs/>
                <w:sz w:val="19"/>
                <w:szCs w:val="19"/>
              </w:rPr>
              <w:t xml:space="preserve">À suivre</w:t>
            </w:r>
          </w:p>
        </w:tc>
        <w:tc>
          <w:tcPr>
            <w:tcW w:type="dxa" w:w="4000"/>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Suivre l'instruction du TdR et l'identification du moteur géospatial mobilisé.</w:t>
            </w:r>
          </w:p>
        </w:tc>
        <w:tc>
          <w:tcPr>
            <w:tcW w:type="dxa" w:w="4138"/>
            <w:shd w:fill="F2F5F8" w:color="auto" w:val="clear"/>
            <w:tcMar>
              <w:top w:type="dxa" w:w="60"/>
              <w:left w:type="dxa" w:w="100"/>
              <w:bottom w:type="dxa" w:w="60"/>
              <w:right w:type="dxa" w:w="100"/>
            </w:tcMar>
          </w:tcPr>
          <w:p>
            <w:pPr>
              <w:spacing w:after="40" w:before="40" w:line="252"/>
              <w:jc w:val="left"/>
            </w:pPr>
            <w:r>
              <w:rPr>
                <w:rFonts w:ascii="Calibri" w:cs="Calibri" w:eastAsia="Calibri" w:hAnsi="Calibri"/>
                <w:b w:val="false"/>
                <w:bCs w:val="false"/>
                <w:sz w:val="19"/>
                <w:szCs w:val="19"/>
              </w:rPr>
              <w:t xml:space="preserve">Décision d'intégration prise sur une base connue.</w:t>
            </w:r>
          </w:p>
        </w:tc>
      </w:tr>
    </w:tbl>
    <w:p>
      <w:pPr>
        <w:pStyle w:val="Heading2"/>
        <w:spacing w:after="100" w:before="240"/>
      </w:pPr>
      <w:r>
        <w:rPr>
          <w:rFonts w:ascii="Calibri" w:cs="Calibri" w:eastAsia="Calibri" w:hAnsi="Calibri"/>
          <w:b/>
          <w:bCs/>
          <w:color w:val="0B3C5D"/>
          <w:sz w:val="23"/>
          <w:szCs w:val="23"/>
        </w:rPr>
        <w:t xml:space="preserve">4.5. Conclusion</w:t>
      </w:r>
    </w:p>
    <w:p>
      <w:pPr>
        <w:spacing w:after="120" w:line="276"/>
        <w:jc w:val="both"/>
      </w:pPr>
      <w:r>
        <w:rPr>
          <w:rFonts w:ascii="Calibri" w:cs="Calibri" w:eastAsia="Calibri" w:hAnsi="Calibri"/>
          <w:sz w:val="21"/>
          <w:szCs w:val="21"/>
        </w:rPr>
        <w:t xml:space="preserve">Ce TdR a une réelle valeur pour nous, mais pas celle qu'il annonce. Sa valeur immédiate n'est pas dans l'infrastructure qu'il propose de financer — dont la réalisation est incertaine et lointaine — mais dans le cadre de pensée qu'il fournit : la séparation nette entre identifier et contextualiser, l'exigence de traçabilité scientifique de chaque donnée, et la structuration du territoire en domaines documentés.</w:t>
      </w:r>
    </w:p>
    <w:p>
      <w:pPr>
        <w:spacing w:after="120" w:line="276"/>
        <w:jc w:val="both"/>
      </w:pPr>
      <w:r>
        <w:rPr>
          <w:rFonts w:ascii="Calibri" w:cs="Calibri" w:eastAsia="Calibri" w:hAnsi="Calibri"/>
          <w:sz w:val="21"/>
          <w:szCs w:val="21"/>
        </w:rPr>
        <w:t xml:space="preserve">Ces trois apports sont applicables à notre plateforme dès maintenant, sans budget supplémentaire et sans dépendance à un prestataire. Les faiblesses du document, elles, concernent le montage contractuel et n'affectent pas notre travail, à l'exception de l'absence de lien avec le cadre de résultats du PNDA, qui mérite d'être signalée à l'UNCP.</w:t>
      </w:r>
    </w:p>
    <w:p>
      <w:pPr>
        <w:spacing w:after="120" w:line="276"/>
        <w:jc w:val="both"/>
      </w:pPr>
      <w:r>
        <w:rPr>
          <w:rFonts w:ascii="Calibri" w:cs="Calibri" w:eastAsia="Calibri" w:hAnsi="Calibri"/>
          <w:b/>
          <w:bCs/>
          <w:sz w:val="21"/>
          <w:szCs w:val="21"/>
        </w:rPr>
        <w:t xml:space="preserve">La position à tenir est donc simple : préparer notre application à consommer l'intelligence territoriale, sans jamais prétendre la produire.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6"/>
        <w:szCs w:val="16"/>
      </w:rPr>
      <w:t xml:space="preserve">Document interne — Cellule S&amp;E / PNDA — 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9" w:sz="4" w:space="4"/>
      </w:pBdr>
      <w:spacing w:after="120"/>
      <w:jc w:val="right"/>
    </w:pPr>
    <w:r>
      <w:rPr>
        <w:rFonts w:ascii="Calibri" w:cs="Calibri" w:eastAsia="Calibri" w:hAnsi="Calibri"/>
        <w:color w:val="4A5568"/>
        <w:sz w:val="16"/>
        <w:szCs w:val="16"/>
      </w:rPr>
      <w:t xml:space="preserve">PNDA — Note d'analyse du TdR « Intelligence Agricole Territoriale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d'analyse — TdR Intelligence Agricole Territoriale (RNA)</dc:title>
  <dc:creator>Cellule Suivi &amp; Évaluation — PNDA</dc:creator>
  <dc:description>Résumé, points forts, points faibles et enseignements pour la plateforme S&amp;E du PNDA</dc:description>
  <cp:lastModifiedBy>Un-named</cp:lastModifiedBy>
  <cp:revision>1</cp:revision>
  <dcterms:created xsi:type="dcterms:W3CDTF">2026-09-07T07:44:37.713Z</dcterms:created>
  <dcterms:modified xsi:type="dcterms:W3CDTF">2026-09-07T07:44:37.725Z</dcterms:modified>
</cp:coreProperties>
</file>

<file path=docProps/custom.xml><?xml version="1.0" encoding="utf-8"?>
<Properties xmlns="http://schemas.openxmlformats.org/officeDocument/2006/custom-properties" xmlns:vt="http://schemas.openxmlformats.org/officeDocument/2006/docPropsVTypes"/>
</file>