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114" w:rsidRDefault="008A7DA8">
      <w:r>
        <w:rPr>
          <w:rFonts w:hint="eastAsia"/>
        </w:rPr>
        <w:t>吸気</w:t>
      </w:r>
    </w:p>
    <w:p w:rsidR="000636A0" w:rsidRDefault="008A7DA8">
      <w:pPr>
        <w:rPr>
          <w:rFonts w:asciiTheme="minorEastAsia" w:hAnsiTheme="minorEastAsia"/>
        </w:rPr>
      </w:pPr>
      <w:r>
        <w:rPr>
          <w:rFonts w:hint="eastAsia"/>
        </w:rPr>
        <w:t xml:space="preserve">　</w:t>
      </w:r>
      <w:r w:rsidR="00D534BC">
        <w:rPr>
          <w:rFonts w:hint="eastAsia"/>
        </w:rPr>
        <w:t>昨年度の吸気</w:t>
      </w:r>
      <w:r w:rsidR="000636A0">
        <w:rPr>
          <w:rFonts w:hint="eastAsia"/>
        </w:rPr>
        <w:t>系</w:t>
      </w:r>
      <w:r w:rsidR="00D534BC">
        <w:rPr>
          <w:rFonts w:hint="eastAsia"/>
        </w:rPr>
        <w:t>は</w:t>
      </w:r>
      <w:r w:rsidR="000636A0">
        <w:rPr>
          <w:rFonts w:hint="eastAsia"/>
        </w:rPr>
        <w:t>サージタンク容量の増加とそれに伴う利用可能スペースの減少により，応答性の悪化と出力特性の低下を招いた</w:t>
      </w:r>
      <w:r w:rsidR="000636A0" w:rsidRPr="000636A0">
        <w:rPr>
          <w:rFonts w:asciiTheme="minorEastAsia" w:hAnsiTheme="minorEastAsia" w:hint="eastAsia"/>
        </w:rPr>
        <w:t>.</w:t>
      </w:r>
      <w:r w:rsidR="000636A0">
        <w:rPr>
          <w:rFonts w:asciiTheme="minorEastAsia" w:hAnsiTheme="minorEastAsia" w:hint="eastAsia"/>
        </w:rPr>
        <w:t>そこで，今年度の吸気系の目標としては応答性の向上と常用回転域における出力特性，特にコーナー脱出時(</w:t>
      </w:r>
      <w:r w:rsidR="000636A0" w:rsidRPr="000636A0">
        <w:rPr>
          <w:rFonts w:ascii="Times New Roman" w:hAnsi="Times New Roman" w:cs="Times New Roman"/>
        </w:rPr>
        <w:t>5000~8000</w:t>
      </w:r>
      <w:r w:rsidR="000636A0" w:rsidRPr="000636A0">
        <w:rPr>
          <w:rFonts w:ascii="Century" w:hAnsi="Century"/>
        </w:rPr>
        <w:t>rpm</w:t>
      </w:r>
      <w:r w:rsidR="000636A0">
        <w:rPr>
          <w:rFonts w:asciiTheme="minorEastAsia" w:hAnsiTheme="minorEastAsia" w:hint="eastAsia"/>
        </w:rPr>
        <w:t>)における特性の向上とした.</w:t>
      </w:r>
    </w:p>
    <w:p w:rsidR="000636A0" w:rsidRDefault="000636A0">
      <w:pPr>
        <w:rPr>
          <w:rFonts w:asciiTheme="minorEastAsia" w:hAnsiTheme="minorEastAsia"/>
        </w:rPr>
      </w:pPr>
    </w:p>
    <w:p w:rsidR="000636A0" w:rsidRDefault="000636A0">
      <w:pPr>
        <w:rPr>
          <w:rFonts w:asciiTheme="minorEastAsia" w:hAnsiTheme="minorEastAsia"/>
        </w:rPr>
      </w:pPr>
      <w:r>
        <w:rPr>
          <w:rFonts w:asciiTheme="minorEastAsia" w:hAnsiTheme="minorEastAsia" w:hint="eastAsia"/>
        </w:rPr>
        <w:t>スロットルボディ</w:t>
      </w:r>
    </w:p>
    <w:p w:rsidR="000636A0" w:rsidRDefault="000636A0" w:rsidP="000636A0">
      <w:pPr>
        <w:ind w:firstLineChars="100" w:firstLine="210"/>
        <w:rPr>
          <w:rFonts w:asciiTheme="minorEastAsia" w:hAnsiTheme="minorEastAsia"/>
        </w:rPr>
      </w:pPr>
      <w:r>
        <w:rPr>
          <w:rFonts w:asciiTheme="minorEastAsia" w:hAnsiTheme="minorEastAsia" w:hint="eastAsia"/>
        </w:rPr>
        <w:t>スロットル径の検討について昨年までの径φ</w:t>
      </w:r>
      <w:r w:rsidRPr="000636A0">
        <w:rPr>
          <w:rFonts w:ascii="Times New Roman" w:hAnsi="Times New Roman" w:cs="Times New Roman"/>
        </w:rPr>
        <w:t>25</w:t>
      </w:r>
      <w:r>
        <w:rPr>
          <w:rFonts w:asciiTheme="minorEastAsia" w:hAnsiTheme="minorEastAsia" w:hint="eastAsia"/>
        </w:rPr>
        <w:t>と一昨年の径φ</w:t>
      </w:r>
      <w:r w:rsidRPr="000636A0">
        <w:rPr>
          <w:rFonts w:ascii="Times New Roman" w:hAnsi="Times New Roman" w:cs="Times New Roman"/>
        </w:rPr>
        <w:t>32</w:t>
      </w:r>
      <w:r>
        <w:rPr>
          <w:rFonts w:asciiTheme="minorEastAsia" w:hAnsiTheme="minorEastAsia" w:hint="eastAsia"/>
        </w:rPr>
        <w:t>のリストリターを含めたモデルを流体解析ソフト</w:t>
      </w:r>
      <w:r w:rsidRPr="000636A0">
        <w:rPr>
          <w:rFonts w:ascii="Century" w:hAnsi="Century"/>
        </w:rPr>
        <w:t>Cradle</w:t>
      </w:r>
      <w:r>
        <w:rPr>
          <w:rFonts w:asciiTheme="minorEastAsia" w:hAnsiTheme="minorEastAsia" w:hint="eastAsia"/>
        </w:rPr>
        <w:t>を用いた定常解析においてスロットル開度ごとの質量流量を算出した</w:t>
      </w:r>
      <w:r>
        <w:rPr>
          <w:rFonts w:asciiTheme="minorEastAsia" w:hAnsiTheme="minorEastAsia"/>
        </w:rPr>
        <w:t>(</w:t>
      </w:r>
      <w:r w:rsidRPr="000636A0">
        <w:rPr>
          <w:rFonts w:ascii="Century" w:hAnsi="Century"/>
        </w:rPr>
        <w:t>fg</w:t>
      </w:r>
      <w:r w:rsidRPr="000636A0">
        <w:rPr>
          <w:rFonts w:ascii="Times New Roman" w:hAnsi="Times New Roman" w:cs="Times New Roman"/>
        </w:rPr>
        <w:t>1</w:t>
      </w:r>
      <w:r>
        <w:rPr>
          <w:rFonts w:asciiTheme="minorEastAsia" w:hAnsiTheme="minorEastAsia"/>
        </w:rPr>
        <w:t>)</w:t>
      </w:r>
      <w:r>
        <w:rPr>
          <w:rFonts w:asciiTheme="minorEastAsia" w:hAnsiTheme="minorEastAsia" w:hint="eastAsia"/>
        </w:rPr>
        <w:t>.Φ</w:t>
      </w:r>
      <w:r w:rsidRPr="000636A0">
        <w:rPr>
          <w:rFonts w:ascii="Times New Roman" w:hAnsi="Times New Roman" w:cs="Times New Roman"/>
        </w:rPr>
        <w:t>25</w:t>
      </w:r>
      <w:r>
        <w:rPr>
          <w:rFonts w:asciiTheme="minorEastAsia" w:hAnsiTheme="minorEastAsia" w:hint="eastAsia"/>
        </w:rPr>
        <w:t>ではスロットル開度の増加に伴い質量流量が比較的線形で変化しているが，Φ</w:t>
      </w:r>
      <w:r w:rsidRPr="000636A0">
        <w:rPr>
          <w:rFonts w:ascii="Times New Roman" w:hAnsi="Times New Roman" w:cs="Times New Roman"/>
        </w:rPr>
        <w:t>32</w:t>
      </w:r>
      <w:r>
        <w:rPr>
          <w:rFonts w:asciiTheme="minorEastAsia" w:hAnsiTheme="minorEastAsia" w:hint="eastAsia"/>
        </w:rPr>
        <w:t>では質量流量は全体的増加したがスロットル開度が</w:t>
      </w:r>
      <w:r w:rsidRPr="000636A0">
        <w:rPr>
          <w:rFonts w:ascii="Times New Roman" w:hAnsi="Times New Roman" w:cs="Times New Roman"/>
        </w:rPr>
        <w:t>80</w:t>
      </w:r>
      <w:r>
        <w:rPr>
          <w:rFonts w:asciiTheme="minorEastAsia" w:hAnsiTheme="minorEastAsia" w:hint="eastAsia"/>
        </w:rPr>
        <w:t>を超えると質量流量が減少した.また，</w:t>
      </w:r>
      <w:r w:rsidRPr="000636A0">
        <w:rPr>
          <w:rFonts w:ascii="Century" w:hAnsi="Century"/>
        </w:rPr>
        <w:t>GT-power</w:t>
      </w:r>
      <w:r>
        <w:rPr>
          <w:rFonts w:asciiTheme="minorEastAsia" w:hAnsiTheme="minorEastAsia" w:hint="eastAsia"/>
        </w:rPr>
        <w:t>を用いた解析ではφ</w:t>
      </w:r>
      <w:r w:rsidRPr="000636A0">
        <w:rPr>
          <w:rFonts w:ascii="Times New Roman" w:hAnsi="Times New Roman" w:cs="Times New Roman"/>
        </w:rPr>
        <w:t>25</w:t>
      </w:r>
      <w:r>
        <w:rPr>
          <w:rFonts w:asciiTheme="minorEastAsia" w:hAnsiTheme="minorEastAsia" w:hint="eastAsia"/>
        </w:rPr>
        <w:t>とφ</w:t>
      </w:r>
      <w:r w:rsidRPr="000636A0">
        <w:rPr>
          <w:rFonts w:ascii="Times New Roman" w:hAnsi="Times New Roman" w:cs="Times New Roman"/>
        </w:rPr>
        <w:t>32</w:t>
      </w:r>
      <w:r>
        <w:rPr>
          <w:rFonts w:asciiTheme="minorEastAsia" w:hAnsiTheme="minorEastAsia" w:hint="eastAsia"/>
        </w:rPr>
        <w:t>で出力特性に差は見られなかった。そこで，今年度はφ</w:t>
      </w:r>
      <w:r w:rsidRPr="000636A0">
        <w:rPr>
          <w:rFonts w:ascii="Times New Roman" w:hAnsi="Times New Roman" w:cs="Times New Roman"/>
        </w:rPr>
        <w:t>25</w:t>
      </w:r>
      <w:r>
        <w:rPr>
          <w:rFonts w:asciiTheme="minorEastAsia" w:hAnsiTheme="minorEastAsia" w:hint="eastAsia"/>
        </w:rPr>
        <w:t>とφ</w:t>
      </w:r>
      <w:r w:rsidRPr="000636A0">
        <w:rPr>
          <w:rFonts w:ascii="Times New Roman" w:hAnsi="Times New Roman" w:cs="Times New Roman"/>
        </w:rPr>
        <w:t>32</w:t>
      </w:r>
      <w:r>
        <w:rPr>
          <w:rFonts w:asciiTheme="minorEastAsia" w:hAnsiTheme="minorEastAsia" w:hint="eastAsia"/>
        </w:rPr>
        <w:t>のスロットルボディを製作し実走行にて評価を行う予定である.</w:t>
      </w:r>
    </w:p>
    <w:p w:rsidR="000636A0" w:rsidRDefault="000636A0" w:rsidP="000636A0">
      <w:pPr>
        <w:ind w:firstLineChars="100" w:firstLine="210"/>
        <w:rPr>
          <w:rFonts w:asciiTheme="minorEastAsia" w:hAnsiTheme="minorEastAsia"/>
        </w:rPr>
      </w:pPr>
    </w:p>
    <w:p w:rsidR="000636A0" w:rsidRDefault="000636A0" w:rsidP="000636A0">
      <w:pPr>
        <w:ind w:firstLineChars="100" w:firstLine="210"/>
        <w:rPr>
          <w:rFonts w:asciiTheme="minorEastAsia" w:hAnsiTheme="minorEastAsia"/>
        </w:rPr>
      </w:pPr>
      <w:r>
        <w:rPr>
          <w:rFonts w:asciiTheme="minorEastAsia" w:hAnsiTheme="minorEastAsia" w:hint="eastAsia"/>
        </w:rPr>
        <w:t>出力特性</w:t>
      </w:r>
      <w:bookmarkStart w:id="0" w:name="_GoBack"/>
      <w:bookmarkEnd w:id="0"/>
    </w:p>
    <w:p w:rsidR="000636A0" w:rsidRDefault="000636A0" w:rsidP="000636A0">
      <w:pPr>
        <w:ind w:firstLineChars="100" w:firstLine="210"/>
        <w:rPr>
          <w:rFonts w:asciiTheme="minorEastAsia" w:hAnsiTheme="minorEastAsia" w:hint="eastAsia"/>
        </w:rPr>
      </w:pPr>
      <w:r w:rsidRPr="000636A0">
        <w:rPr>
          <w:rFonts w:ascii="Century" w:hAnsi="Century"/>
        </w:rPr>
        <w:t>GT-power</w:t>
      </w:r>
      <w:r>
        <w:rPr>
          <w:rFonts w:asciiTheme="minorEastAsia" w:hAnsiTheme="minorEastAsia" w:hint="eastAsia"/>
        </w:rPr>
        <w:t>を用いて吸排気系でのパワー・トルク特性の評価を行った.吸排気での設計は吸気系がマシンの出力特性に及ぼす影響が大きいので吸気系の設計を先に行った</w:t>
      </w:r>
      <w:r w:rsidRPr="000636A0">
        <w:rPr>
          <w:rFonts w:ascii="Century" w:hAnsi="Century"/>
        </w:rPr>
        <w:t>.GT-power</w:t>
      </w:r>
      <w:r>
        <w:rPr>
          <w:rFonts w:asciiTheme="minorEastAsia" w:hAnsiTheme="minorEastAsia" w:hint="eastAsia"/>
        </w:rPr>
        <w:t>での設計は排気系を昨年度のままで主に吸気管長とタンク容量の決定を行った.吸気管長はファンネルから吸気ポートまでの距離のことを言い昨年度の</w:t>
      </w:r>
      <w:r w:rsidRPr="000636A0">
        <w:rPr>
          <w:rFonts w:ascii="Times New Roman" w:hAnsi="Times New Roman" w:cs="Times New Roman"/>
        </w:rPr>
        <w:t>130</w:t>
      </w:r>
      <w:r w:rsidRPr="000636A0">
        <w:rPr>
          <w:rFonts w:ascii="Century" w:hAnsi="Century"/>
        </w:rPr>
        <w:t>mm</w:t>
      </w:r>
      <w:r>
        <w:rPr>
          <w:rFonts w:asciiTheme="minorEastAsia" w:hAnsiTheme="minorEastAsia" w:hint="eastAsia"/>
        </w:rPr>
        <w:t>から管長を長くしていった.その結果，</w:t>
      </w:r>
      <w:r w:rsidRPr="000636A0">
        <w:rPr>
          <w:rFonts w:ascii="Century" w:hAnsi="Century"/>
        </w:rPr>
        <w:t>Fg</w:t>
      </w:r>
      <w:r w:rsidRPr="000636A0">
        <w:rPr>
          <w:rFonts w:ascii="Times New Roman" w:hAnsi="Times New Roman" w:cs="Times New Roman"/>
        </w:rPr>
        <w:t>2</w:t>
      </w:r>
      <w:r>
        <w:rPr>
          <w:rFonts w:asciiTheme="minorEastAsia" w:hAnsiTheme="minorEastAsia" w:hint="eastAsia"/>
        </w:rPr>
        <w:t>のように管長が</w:t>
      </w:r>
      <w:r w:rsidRPr="000636A0">
        <w:rPr>
          <w:rFonts w:ascii="Times New Roman" w:hAnsi="Times New Roman" w:cs="Times New Roman"/>
        </w:rPr>
        <w:t>280</w:t>
      </w:r>
      <w:r w:rsidRPr="000636A0">
        <w:rPr>
          <w:rFonts w:ascii="Century" w:hAnsi="Century"/>
        </w:rPr>
        <w:t>ｍｍ</w:t>
      </w:r>
      <w:r>
        <w:rPr>
          <w:rFonts w:asciiTheme="minorEastAsia" w:hAnsiTheme="minorEastAsia" w:hint="eastAsia"/>
        </w:rPr>
        <w:t>，タンク容量</w:t>
      </w:r>
      <w:r w:rsidRPr="000636A0">
        <w:rPr>
          <w:rFonts w:ascii="Times New Roman" w:hAnsi="Times New Roman" w:cs="Times New Roman"/>
        </w:rPr>
        <w:t>3.5</w:t>
      </w:r>
      <w:r w:rsidRPr="000636A0">
        <w:rPr>
          <w:rFonts w:ascii="Century" w:hAnsi="Century"/>
        </w:rPr>
        <w:t>L</w:t>
      </w:r>
      <w:r>
        <w:rPr>
          <w:rFonts w:asciiTheme="minorEastAsia" w:hAnsiTheme="minorEastAsia" w:hint="eastAsia"/>
        </w:rPr>
        <w:t>の時にピークトルクが</w:t>
      </w:r>
      <w:r w:rsidRPr="000636A0">
        <w:rPr>
          <w:rFonts w:ascii="Times New Roman" w:hAnsi="Times New Roman" w:cs="Times New Roman"/>
        </w:rPr>
        <w:t>7000</w:t>
      </w:r>
      <w:r w:rsidRPr="000636A0">
        <w:rPr>
          <w:rFonts w:ascii="Century" w:hAnsi="Century"/>
        </w:rPr>
        <w:t>ｒｐｍ</w:t>
      </w:r>
      <w:r>
        <w:rPr>
          <w:rFonts w:asciiTheme="minorEastAsia" w:hAnsiTheme="minorEastAsia" w:hint="eastAsia"/>
        </w:rPr>
        <w:t>となり</w:t>
      </w:r>
      <w:r w:rsidRPr="000636A0">
        <w:rPr>
          <w:rFonts w:ascii="Times New Roman" w:hAnsi="Times New Roman" w:cs="Times New Roman"/>
        </w:rPr>
        <w:t>5000~8000</w:t>
      </w:r>
      <w:r w:rsidRPr="000636A0">
        <w:rPr>
          <w:rFonts w:ascii="Century" w:hAnsi="Century"/>
        </w:rPr>
        <w:t>rpm</w:t>
      </w:r>
      <w:r>
        <w:rPr>
          <w:rFonts w:asciiTheme="minorEastAsia" w:hAnsiTheme="minorEastAsia" w:hint="eastAsia"/>
        </w:rPr>
        <w:t>にかけての出力特性を向上することができた.実測による評価は今後行う予定である.</w:t>
      </w:r>
    </w:p>
    <w:p w:rsidR="000636A0" w:rsidRDefault="000636A0" w:rsidP="000636A0">
      <w:pPr>
        <w:ind w:firstLineChars="100" w:firstLine="210"/>
        <w:rPr>
          <w:rFonts w:asciiTheme="minorEastAsia" w:hAnsiTheme="minorEastAsia"/>
        </w:rPr>
      </w:pPr>
    </w:p>
    <w:p w:rsidR="000636A0" w:rsidRDefault="000636A0" w:rsidP="000636A0">
      <w:pPr>
        <w:ind w:firstLineChars="100" w:firstLine="210"/>
        <w:rPr>
          <w:rFonts w:asciiTheme="minorEastAsia" w:hAnsiTheme="minorEastAsia"/>
        </w:rPr>
      </w:pPr>
      <w:r>
        <w:rPr>
          <w:rFonts w:asciiTheme="minorEastAsia" w:hAnsiTheme="minorEastAsia" w:hint="eastAsia"/>
        </w:rPr>
        <w:t>サージタンク</w:t>
      </w:r>
    </w:p>
    <w:p w:rsidR="000636A0" w:rsidRDefault="000636A0" w:rsidP="000636A0">
      <w:pPr>
        <w:ind w:firstLineChars="100" w:firstLine="210"/>
        <w:rPr>
          <w:rFonts w:asciiTheme="minorEastAsia" w:hAnsiTheme="minorEastAsia" w:hint="eastAsia"/>
        </w:rPr>
      </w:pPr>
      <w:r>
        <w:rPr>
          <w:rFonts w:asciiTheme="minorEastAsia" w:hAnsiTheme="minorEastAsia" w:hint="eastAsia"/>
        </w:rPr>
        <w:t xml:space="preserve">　サージタンクの容量は</w:t>
      </w:r>
      <w:r w:rsidRPr="000636A0">
        <w:rPr>
          <w:rFonts w:ascii="Century" w:hAnsi="Century"/>
        </w:rPr>
        <w:t>GT-power</w:t>
      </w:r>
      <w:r>
        <w:rPr>
          <w:rFonts w:asciiTheme="minorEastAsia" w:hAnsiTheme="minorEastAsia" w:hint="eastAsia"/>
        </w:rPr>
        <w:t>の解析による結果</w:t>
      </w:r>
      <w:r w:rsidRPr="000636A0">
        <w:rPr>
          <w:rFonts w:ascii="Times New Roman" w:hAnsi="Times New Roman" w:cs="Times New Roman"/>
        </w:rPr>
        <w:t>3.5</w:t>
      </w:r>
      <w:r w:rsidRPr="000636A0">
        <w:rPr>
          <w:rFonts w:ascii="Century" w:hAnsi="Century"/>
        </w:rPr>
        <w:t>L</w:t>
      </w:r>
      <w:r>
        <w:rPr>
          <w:rFonts w:asciiTheme="minorEastAsia" w:hAnsiTheme="minorEastAsia" w:hint="eastAsia"/>
        </w:rPr>
        <w:t>に決定し，形状は流体解析ソフト</w:t>
      </w:r>
      <w:r w:rsidRPr="000636A0">
        <w:rPr>
          <w:rFonts w:ascii="Century" w:hAnsi="Century"/>
        </w:rPr>
        <w:t>ANSYS</w:t>
      </w:r>
      <w:r>
        <w:rPr>
          <w:rFonts w:asciiTheme="minorEastAsia" w:hAnsiTheme="minorEastAsia" w:hint="eastAsia"/>
        </w:rPr>
        <w:t>を用いて各気筒への吸気流量にばらつきがないように形状を決定した.その結果，各気筒への吸気流量のバラつき</w:t>
      </w:r>
      <w:r w:rsidRPr="000636A0">
        <w:rPr>
          <w:rFonts w:ascii="Times New Roman" w:hAnsi="Times New Roman" w:cs="Times New Roman"/>
        </w:rPr>
        <w:t>2.5</w:t>
      </w:r>
      <w:r w:rsidRPr="000636A0">
        <w:rPr>
          <w:rFonts w:ascii="Century" w:hAnsi="Century"/>
        </w:rPr>
        <w:t>%</w:t>
      </w:r>
      <w:r>
        <w:rPr>
          <w:rFonts w:asciiTheme="minorEastAsia" w:hAnsiTheme="minorEastAsia" w:hint="eastAsia"/>
        </w:rPr>
        <w:t>以下に抑えることができた.</w:t>
      </w:r>
    </w:p>
    <w:p w:rsidR="000636A0" w:rsidRDefault="000636A0" w:rsidP="000636A0">
      <w:pPr>
        <w:ind w:firstLineChars="100" w:firstLine="210"/>
        <w:rPr>
          <w:rFonts w:asciiTheme="minorEastAsia" w:hAnsiTheme="minorEastAsia"/>
        </w:rPr>
      </w:pPr>
    </w:p>
    <w:p w:rsidR="000636A0" w:rsidRDefault="000636A0" w:rsidP="000636A0">
      <w:pPr>
        <w:ind w:firstLineChars="100" w:firstLine="210"/>
        <w:rPr>
          <w:rFonts w:asciiTheme="minorEastAsia" w:hAnsiTheme="minorEastAsia"/>
        </w:rPr>
      </w:pPr>
      <w:r>
        <w:rPr>
          <w:rFonts w:asciiTheme="minorEastAsia" w:hAnsiTheme="minorEastAsia" w:hint="eastAsia"/>
        </w:rPr>
        <w:t>リストリクター</w:t>
      </w:r>
    </w:p>
    <w:p w:rsidR="000636A0" w:rsidRDefault="000636A0" w:rsidP="000636A0">
      <w:pPr>
        <w:ind w:firstLineChars="100" w:firstLine="210"/>
        <w:rPr>
          <w:rFonts w:asciiTheme="minorEastAsia" w:hAnsiTheme="minorEastAsia" w:hint="eastAsia"/>
        </w:rPr>
      </w:pPr>
      <w:r>
        <w:rPr>
          <w:rFonts w:asciiTheme="minorEastAsia" w:hAnsiTheme="minorEastAsia" w:hint="eastAsia"/>
        </w:rPr>
        <w:t>三浦君に書かせます.</w:t>
      </w:r>
    </w:p>
    <w:p w:rsidR="000636A0" w:rsidRDefault="000636A0" w:rsidP="000636A0">
      <w:pPr>
        <w:ind w:firstLineChars="100" w:firstLine="210"/>
        <w:rPr>
          <w:rFonts w:asciiTheme="minorEastAsia" w:hAnsiTheme="minorEastAsia" w:hint="eastAsia"/>
        </w:rPr>
      </w:pPr>
    </w:p>
    <w:p w:rsidR="000636A0" w:rsidRPr="000636A0" w:rsidRDefault="000636A0" w:rsidP="000636A0">
      <w:pPr>
        <w:ind w:firstLineChars="100" w:firstLine="210"/>
        <w:rPr>
          <w:rFonts w:asciiTheme="minorEastAsia" w:hAnsiTheme="minorEastAsia"/>
        </w:rPr>
      </w:pPr>
    </w:p>
    <w:p w:rsidR="000636A0" w:rsidRDefault="000636A0" w:rsidP="000636A0">
      <w:pPr>
        <w:ind w:firstLineChars="100" w:firstLine="210"/>
        <w:rPr>
          <w:rFonts w:asciiTheme="minorEastAsia" w:hAnsiTheme="minorEastAsia"/>
        </w:rPr>
      </w:pPr>
    </w:p>
    <w:p w:rsidR="000636A0" w:rsidRDefault="000636A0" w:rsidP="000636A0">
      <w:pPr>
        <w:ind w:firstLineChars="100" w:firstLine="210"/>
      </w:pPr>
      <w:r>
        <w:rPr>
          <w:noProof/>
        </w:rPr>
        <w:lastRenderedPageBreak/>
        <w:drawing>
          <wp:inline distT="0" distB="0" distL="0" distR="0" wp14:anchorId="24DDBDBD" wp14:editId="69C4D160">
            <wp:extent cx="45720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D534BC">
        <w:rPr>
          <w:rFonts w:hint="eastAsia"/>
          <w:vanish/>
        </w:rPr>
        <w:t>ｓ</w:t>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r w:rsidR="00D534BC">
        <w:rPr>
          <w:rFonts w:hint="eastAsia"/>
          <w:vanish/>
        </w:rPr>
        <w:pgNum/>
      </w:r>
    </w:p>
    <w:p w:rsidR="000636A0" w:rsidRDefault="000636A0" w:rsidP="000636A0"/>
    <w:p w:rsidR="008A7DA8" w:rsidRPr="000636A0" w:rsidRDefault="000636A0" w:rsidP="000636A0">
      <w:pPr>
        <w:rPr>
          <w:rFonts w:hint="eastAsia"/>
        </w:rPr>
      </w:pPr>
      <w:r>
        <w:rPr>
          <w:noProof/>
        </w:rPr>
        <w:drawing>
          <wp:inline distT="0" distB="0" distL="0" distR="0" wp14:anchorId="0483AB0C" wp14:editId="16D3F667">
            <wp:extent cx="5400040" cy="3313430"/>
            <wp:effectExtent l="0" t="0" r="0" b="127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5"/>
                    <a:stretch>
                      <a:fillRect/>
                    </a:stretch>
                  </pic:blipFill>
                  <pic:spPr>
                    <a:xfrm>
                      <a:off x="0" y="0"/>
                      <a:ext cx="5400040" cy="3313430"/>
                    </a:xfrm>
                    <a:prstGeom prst="rect">
                      <a:avLst/>
                    </a:prstGeom>
                  </pic:spPr>
                </pic:pic>
              </a:graphicData>
            </a:graphic>
          </wp:inline>
        </w:drawing>
      </w:r>
    </w:p>
    <w:sectPr w:rsidR="008A7DA8" w:rsidRPr="000636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A8"/>
    <w:rsid w:val="000076B0"/>
    <w:rsid w:val="00010859"/>
    <w:rsid w:val="00026895"/>
    <w:rsid w:val="000543AA"/>
    <w:rsid w:val="000636A0"/>
    <w:rsid w:val="000A7D36"/>
    <w:rsid w:val="000E12E9"/>
    <w:rsid w:val="00116648"/>
    <w:rsid w:val="001C63DB"/>
    <w:rsid w:val="001D2005"/>
    <w:rsid w:val="001E5321"/>
    <w:rsid w:val="00245557"/>
    <w:rsid w:val="00285D2D"/>
    <w:rsid w:val="002A200F"/>
    <w:rsid w:val="002B4C5E"/>
    <w:rsid w:val="002B65D4"/>
    <w:rsid w:val="002C4197"/>
    <w:rsid w:val="002E499C"/>
    <w:rsid w:val="0030565D"/>
    <w:rsid w:val="0032234D"/>
    <w:rsid w:val="003327AE"/>
    <w:rsid w:val="00356114"/>
    <w:rsid w:val="00362C2F"/>
    <w:rsid w:val="003B5C41"/>
    <w:rsid w:val="003D0EC7"/>
    <w:rsid w:val="0043145A"/>
    <w:rsid w:val="00474F03"/>
    <w:rsid w:val="004A26AD"/>
    <w:rsid w:val="004A773F"/>
    <w:rsid w:val="004C0E61"/>
    <w:rsid w:val="005074DD"/>
    <w:rsid w:val="00663C38"/>
    <w:rsid w:val="00664EF9"/>
    <w:rsid w:val="006A6809"/>
    <w:rsid w:val="006C1B48"/>
    <w:rsid w:val="006D52E7"/>
    <w:rsid w:val="007122E4"/>
    <w:rsid w:val="0071490D"/>
    <w:rsid w:val="007178B2"/>
    <w:rsid w:val="00742FD8"/>
    <w:rsid w:val="007B6E37"/>
    <w:rsid w:val="007E45B0"/>
    <w:rsid w:val="007E7E63"/>
    <w:rsid w:val="007F4329"/>
    <w:rsid w:val="00833381"/>
    <w:rsid w:val="0083697F"/>
    <w:rsid w:val="008547E1"/>
    <w:rsid w:val="008A7DA8"/>
    <w:rsid w:val="00920375"/>
    <w:rsid w:val="009262EC"/>
    <w:rsid w:val="0094706A"/>
    <w:rsid w:val="00950D70"/>
    <w:rsid w:val="009844D1"/>
    <w:rsid w:val="00A5371C"/>
    <w:rsid w:val="00A549A2"/>
    <w:rsid w:val="00AA00D0"/>
    <w:rsid w:val="00B517B9"/>
    <w:rsid w:val="00B83C2B"/>
    <w:rsid w:val="00BA3B51"/>
    <w:rsid w:val="00BF4734"/>
    <w:rsid w:val="00C019BF"/>
    <w:rsid w:val="00C2244C"/>
    <w:rsid w:val="00C305BD"/>
    <w:rsid w:val="00C60128"/>
    <w:rsid w:val="00C7733C"/>
    <w:rsid w:val="00CA0DAC"/>
    <w:rsid w:val="00CE2EC8"/>
    <w:rsid w:val="00CE61E7"/>
    <w:rsid w:val="00D24174"/>
    <w:rsid w:val="00D27FBE"/>
    <w:rsid w:val="00D534BC"/>
    <w:rsid w:val="00D54089"/>
    <w:rsid w:val="00E278EE"/>
    <w:rsid w:val="00E378C7"/>
    <w:rsid w:val="00E57313"/>
    <w:rsid w:val="00ED661E"/>
    <w:rsid w:val="00EE0597"/>
    <w:rsid w:val="00EE5BD5"/>
    <w:rsid w:val="00F47344"/>
    <w:rsid w:val="00FB7C8A"/>
    <w:rsid w:val="00FD6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5:chartTrackingRefBased/>
  <w15:docId w15:val="{ADEFDAC2-5109-4DB4-ABA3-86BE89A4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150.69.152.201\nasbi7\&#21508;&#29677;&#12501;&#12457;&#12523;&#12480;\2018\&#12497;&#12527;&#12540;&#12488;&#12524;&#12452;&#12531;\&#21560;&#27671;\&#35299;&#26512;\&#12473;&#12525;&#12483;&#12488;&#12523;&#24452;\&#12473;&#12525;&#12483;&#12488;&#12523;&#24452;&#24540;&#31572;&#246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1"/>
          <c:tx>
            <c:v>Φ25</c:v>
          </c:tx>
          <c:marker>
            <c:symbol val="none"/>
          </c:marker>
          <c:xVal>
            <c:numRef>
              <c:f>[スロットル径応答性.xlsx]Sheet1!$A$2:$A$11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[スロットル径応答性.xlsx]Sheet1!$B$2:$B$11</c:f>
              <c:numCache>
                <c:formatCode>General</c:formatCode>
                <c:ptCount val="10"/>
                <c:pt idx="0">
                  <c:v>0</c:v>
                </c:pt>
                <c:pt idx="1">
                  <c:v>1.3527299999999999E-3</c:v>
                </c:pt>
                <c:pt idx="2">
                  <c:v>1.13559E-2</c:v>
                </c:pt>
                <c:pt idx="3">
                  <c:v>1.9851299999999999E-2</c:v>
                </c:pt>
                <c:pt idx="4">
                  <c:v>3.4973200000000003E-2</c:v>
                </c:pt>
                <c:pt idx="5">
                  <c:v>5.6347000000000001E-2</c:v>
                </c:pt>
                <c:pt idx="6">
                  <c:v>8.2434400000000005E-2</c:v>
                </c:pt>
                <c:pt idx="7">
                  <c:v>0.10932</c:v>
                </c:pt>
                <c:pt idx="8">
                  <c:v>0.174093</c:v>
                </c:pt>
                <c:pt idx="9">
                  <c:v>0.20555499999999999</c:v>
                </c:pt>
              </c:numCache>
            </c:numRef>
          </c:yVal>
          <c:smooth val="1"/>
        </c:ser>
        <c:ser>
          <c:idx val="0"/>
          <c:order val="0"/>
          <c:tx>
            <c:v>Φ32</c:v>
          </c:tx>
          <c:marker>
            <c:symbol val="none"/>
          </c:marker>
          <c:xVal>
            <c:numRef>
              <c:f>[スロットル径応答性.xlsx]Sheet1!$A$21:$A$30</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[スロットル径応答性.xlsx]Sheet1!$B$21:$B$30</c:f>
              <c:numCache>
                <c:formatCode>General</c:formatCode>
                <c:ptCount val="10"/>
                <c:pt idx="0">
                  <c:v>0</c:v>
                </c:pt>
                <c:pt idx="1">
                  <c:v>5.0165000000000001E-3</c:v>
                </c:pt>
                <c:pt idx="2">
                  <c:v>1.71608E-2</c:v>
                </c:pt>
                <c:pt idx="3">
                  <c:v>3.8225700000000001E-2</c:v>
                </c:pt>
                <c:pt idx="4">
                  <c:v>6.1890899999999999E-2</c:v>
                </c:pt>
                <c:pt idx="5">
                  <c:v>9.4270300000000001E-2</c:v>
                </c:pt>
                <c:pt idx="6">
                  <c:v>0.152813</c:v>
                </c:pt>
                <c:pt idx="7">
                  <c:v>0.23610700000000001</c:v>
                </c:pt>
                <c:pt idx="8">
                  <c:v>0.265569</c:v>
                </c:pt>
                <c:pt idx="9">
                  <c:v>0.25056</c:v>
                </c:pt>
              </c:numCache>
            </c:numRef>
          </c:yVal>
          <c:smooth val="1"/>
        </c:ser>
        <c:dLbls>
          <c:showLegendKey val="0"/>
          <c:showVal val="0"/>
          <c:showCatName val="0"/>
          <c:showSerName val="0"/>
          <c:showPercent val="0"/>
          <c:showBubbleSize val="0"/>
        </c:dLbls>
        <c:axId val="328073624"/>
        <c:axId val="328068920"/>
      </c:scatterChart>
      <c:valAx>
        <c:axId val="328073624"/>
        <c:scaling>
          <c:orientation val="minMax"/>
          <c:max val="90"/>
          <c:min val="0"/>
        </c:scaling>
        <c:delete val="0"/>
        <c:axPos val="b"/>
        <c:title>
          <c:tx>
            <c:rich>
              <a:bodyPr/>
              <a:lstStyle/>
              <a:p>
                <a:pPr>
                  <a:defRPr/>
                </a:pPr>
                <a:r>
                  <a:rPr lang="ja-JP" altLang="en-US"/>
                  <a:t>スロットル開度</a:t>
                </a:r>
                <a:r>
                  <a:rPr lang="en-US" altLang="ja-JP"/>
                  <a:t>[°]</a:t>
                </a:r>
                <a:endParaRPr lang="ja-JP" altLang="en-US"/>
              </a:p>
            </c:rich>
          </c:tx>
          <c:layout/>
          <c:overlay val="0"/>
        </c:title>
        <c:numFmt formatCode="General" sourceLinked="1"/>
        <c:majorTickMark val="out"/>
        <c:minorTickMark val="none"/>
        <c:tickLblPos val="nextTo"/>
        <c:crossAx val="328068920"/>
        <c:crosses val="autoZero"/>
        <c:crossBetween val="midCat"/>
      </c:valAx>
      <c:valAx>
        <c:axId val="328068920"/>
        <c:scaling>
          <c:orientation val="minMax"/>
        </c:scaling>
        <c:delete val="0"/>
        <c:axPos val="l"/>
        <c:majorGridlines/>
        <c:title>
          <c:tx>
            <c:rich>
              <a:bodyPr/>
              <a:lstStyle/>
              <a:p>
                <a:pPr>
                  <a:defRPr/>
                </a:pPr>
                <a:r>
                  <a:rPr lang="ja-JP" altLang="en-US"/>
                  <a:t>質量流量</a:t>
                </a:r>
                <a:r>
                  <a:rPr lang="en-US" altLang="ja-JP"/>
                  <a:t>[kg/s]</a:t>
                </a:r>
                <a:endParaRPr lang="ja-JP" altLang="en-US"/>
              </a:p>
            </c:rich>
          </c:tx>
          <c:layout/>
          <c:overlay val="0"/>
        </c:title>
        <c:numFmt formatCode="General" sourceLinked="1"/>
        <c:majorTickMark val="out"/>
        <c:minorTickMark val="none"/>
        <c:tickLblPos val="nextTo"/>
        <c:crossAx val="328073624"/>
        <c:crosses val="autoZero"/>
        <c:crossBetween val="midCat"/>
      </c:valAx>
    </c:plotArea>
    <c:legend>
      <c:legendPos val="r"/>
      <c:layout/>
      <c:overlay val="0"/>
    </c:legend>
    <c:plotVisOnly val="1"/>
    <c:dispBlanksAs val="gap"/>
    <c:showDLblsOverMax val="0"/>
  </c:chart>
  <c:spPr>
    <a:ln>
      <a:solidFill>
        <a:schemeClr val="bg1"/>
      </a:solidFill>
    </a:ln>
  </c:sp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145</Words>
  <Characters>832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上野 友基</dc:creator>
  <cp:keywords/>
  <dc:description/>
  <cp:lastModifiedBy>上野 友基</cp:lastModifiedBy>
  <cp:revision>1</cp:revision>
  <dcterms:created xsi:type="dcterms:W3CDTF">2018-04-21T06:53:00Z</dcterms:created>
  <dcterms:modified xsi:type="dcterms:W3CDTF">2018-04-21T08:19:00Z</dcterms:modified>
</cp:coreProperties>
</file>